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960" w:hanging="952"/>
        <w:spacing w:after="0"/>
        <w:tabs>
          <w:tab w:leader="none" w:pos="9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w:t>
      </w:r>
    </w:p>
    <w:p>
      <w:pPr>
        <w:spacing w:after="0" w:line="26" w:lineRule="exact"/>
        <w:rPr>
          <w:sz w:val="24"/>
          <w:szCs w:val="24"/>
          <w:color w:val="auto"/>
        </w:rPr>
      </w:pPr>
    </w:p>
    <w:p>
      <w:pPr>
        <w:ind w:left="520"/>
        <w:spacing w:after="0"/>
        <w:rPr>
          <w:sz w:val="20"/>
          <w:szCs w:val="20"/>
          <w:color w:val="auto"/>
        </w:rPr>
      </w:pPr>
      <w:r>
        <w:rPr>
          <w:rFonts w:ascii="Arial" w:cs="Arial" w:eastAsia="Arial" w:hAnsi="Arial"/>
          <w:sz w:val="22"/>
          <w:szCs w:val="22"/>
          <w:b w:val="1"/>
          <w:bCs w:val="1"/>
          <w:color w:val="auto"/>
        </w:rPr>
        <w:t>OF 1934</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20" w:hanging="512"/>
        <w:spacing w:after="0" w:line="256" w:lineRule="auto"/>
        <w:tabs>
          <w:tab w:leader="none" w:pos="965"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tbl>
      <w:tblPr>
        <w:tblLayout w:type="fixed"/>
        <w:tblInd w:w="35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r>
        <w:trPr>
          <w:trHeight w:val="304"/>
        </w:trPr>
        <w:tc>
          <w:tcPr>
            <w:tcW w:w="3280" w:type="dxa"/>
            <w:vAlign w:val="bottom"/>
            <w:gridSpan w:val="3"/>
          </w:tcPr>
          <w:p>
            <w:pPr>
              <w:ind w:left="820"/>
              <w:spacing w:after="0"/>
              <w:rPr>
                <w:sz w:val="20"/>
                <w:szCs w:val="20"/>
                <w:color w:val="auto"/>
              </w:rPr>
            </w:pPr>
            <w:r>
              <w:rPr>
                <w:rFonts w:ascii="Arial" w:cs="Arial" w:eastAsia="Arial" w:hAnsi="Arial"/>
                <w:sz w:val="18"/>
                <w:szCs w:val="18"/>
                <w:b w:val="1"/>
                <w:bCs w:val="1"/>
                <w:color w:val="auto"/>
                <w:w w:val="89"/>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9"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7380" w:type="dxa"/>
            <w:vAlign w:val="bottom"/>
          </w:tcPr>
          <w:p>
            <w:pPr>
              <w:jc w:val="center"/>
              <w:ind w:right="2782"/>
              <w:spacing w:after="0"/>
              <w:rPr>
                <w:sz w:val="20"/>
                <w:szCs w:val="20"/>
                <w:color w:val="auto"/>
              </w:rPr>
            </w:pPr>
            <w:r>
              <w:rPr>
                <w:rFonts w:ascii="Arial" w:cs="Arial" w:eastAsia="Arial" w:hAnsi="Arial"/>
                <w:sz w:val="18"/>
                <w:szCs w:val="18"/>
                <w:b w:val="1"/>
                <w:bCs w:val="1"/>
                <w:color w:val="auto"/>
                <w:w w:val="91"/>
              </w:rPr>
              <w:t>Delaware</w:t>
            </w:r>
          </w:p>
        </w:tc>
        <w:tc>
          <w:tcPr>
            <w:tcW w:w="118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53"/>
        </w:trPr>
        <w:tc>
          <w:tcPr>
            <w:tcW w:w="7380" w:type="dxa"/>
            <w:vAlign w:val="bottom"/>
          </w:tcPr>
          <w:p>
            <w:pPr>
              <w:jc w:val="center"/>
              <w:ind w:right="2802"/>
              <w:spacing w:after="0" w:line="153" w:lineRule="exact"/>
              <w:rPr>
                <w:sz w:val="20"/>
                <w:szCs w:val="20"/>
                <w:color w:val="auto"/>
              </w:rPr>
            </w:pPr>
            <w:r>
              <w:rPr>
                <w:rFonts w:ascii="Arial" w:cs="Arial" w:eastAsia="Arial" w:hAnsi="Arial"/>
                <w:sz w:val="14"/>
                <w:szCs w:val="14"/>
                <w:b w:val="1"/>
                <w:bCs w:val="1"/>
                <w:color w:val="auto"/>
                <w:w w:val="92"/>
              </w:rPr>
              <w:t>(State or other jurisdiction of</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380" w:type="dxa"/>
            <w:vAlign w:val="bottom"/>
          </w:tcPr>
          <w:p>
            <w:pPr>
              <w:jc w:val="center"/>
              <w:ind w:right="2782"/>
              <w:spacing w:after="0"/>
              <w:rPr>
                <w:sz w:val="20"/>
                <w:szCs w:val="20"/>
                <w:color w:val="auto"/>
              </w:rPr>
            </w:pPr>
            <w:r>
              <w:rPr>
                <w:rFonts w:ascii="Arial" w:cs="Arial" w:eastAsia="Arial" w:hAnsi="Arial"/>
                <w:sz w:val="14"/>
                <w:szCs w:val="14"/>
                <w:b w:val="1"/>
                <w:bCs w:val="1"/>
                <w:color w:val="auto"/>
                <w:w w:val="94"/>
              </w:rPr>
              <w:t>incorporation or organization)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340"/>
        </w:trPr>
        <w:tc>
          <w:tcPr>
            <w:tcW w:w="7380" w:type="dxa"/>
            <w:vAlign w:val="bottom"/>
          </w:tcPr>
          <w:p>
            <w:pPr>
              <w:jc w:val="center"/>
              <w:ind w:right="2782"/>
              <w:spacing w:after="0"/>
              <w:rPr>
                <w:sz w:val="20"/>
                <w:szCs w:val="20"/>
                <w:color w:val="auto"/>
              </w:rPr>
            </w:pPr>
            <w:r>
              <w:rPr>
                <w:rFonts w:ascii="Arial" w:cs="Arial" w:eastAsia="Arial" w:hAnsi="Arial"/>
                <w:sz w:val="18"/>
                <w:szCs w:val="18"/>
                <w:b w:val="1"/>
                <w:bCs w:val="1"/>
                <w:color w:val="auto"/>
                <w:w w:val="91"/>
              </w:rPr>
              <w:t>3503 NW 63</w:t>
            </w:r>
            <w:r>
              <w:rPr>
                <w:rFonts w:ascii="Arial" w:cs="Arial" w:eastAsia="Arial" w:hAnsi="Arial"/>
                <w:sz w:val="24"/>
                <w:szCs w:val="24"/>
                <w:b w:val="1"/>
                <w:bCs w:val="1"/>
                <w:color w:val="auto"/>
                <w:w w:val="91"/>
                <w:vertAlign w:val="superscript"/>
              </w:rPr>
              <w:t>rd</w:t>
            </w:r>
            <w:r>
              <w:rPr>
                <w:rFonts w:ascii="Arial" w:cs="Arial" w:eastAsia="Arial" w:hAnsi="Arial"/>
                <w:sz w:val="18"/>
                <w:szCs w:val="18"/>
                <w:b w:val="1"/>
                <w:bCs w:val="1"/>
                <w:color w:val="auto"/>
                <w:w w:val="91"/>
              </w:rPr>
              <w:t xml:space="preserve"> Street, Suite 500, Oklahoma City, Oklahoma</w:t>
            </w:r>
          </w:p>
        </w:tc>
        <w:tc>
          <w:tcPr>
            <w:tcW w:w="11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73116</w:t>
            </w:r>
          </w:p>
        </w:tc>
      </w:tr>
      <w:tr>
        <w:trPr>
          <w:trHeight w:val="186"/>
        </w:trPr>
        <w:tc>
          <w:tcPr>
            <w:tcW w:w="7380" w:type="dxa"/>
            <w:vAlign w:val="bottom"/>
          </w:tcPr>
          <w:p>
            <w:pPr>
              <w:jc w:val="center"/>
              <w:ind w:right="280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95"/>
        </w:trPr>
        <w:tc>
          <w:tcPr>
            <w:tcW w:w="7380" w:type="dxa"/>
            <w:vAlign w:val="bottom"/>
          </w:tcPr>
          <w:p>
            <w:pPr>
              <w:ind w:left="2920"/>
              <w:spacing w:after="0"/>
              <w:rPr>
                <w:sz w:val="20"/>
                <w:szCs w:val="20"/>
                <w:color w:val="auto"/>
              </w:rPr>
            </w:pPr>
            <w:r>
              <w:rPr>
                <w:rFonts w:ascii="Arial" w:cs="Arial" w:eastAsia="Arial" w:hAnsi="Arial"/>
                <w:sz w:val="14"/>
                <w:szCs w:val="14"/>
                <w:b w:val="1"/>
                <w:bCs w:val="1"/>
                <w:color w:val="auto"/>
                <w:w w:val="93"/>
              </w:rPr>
              <w:t xml:space="preserve">(Registrant's telephone number, including area code) </w:t>
            </w:r>
            <w:r>
              <w:rPr>
                <w:rFonts w:ascii="Arial" w:cs="Arial" w:eastAsia="Arial" w:hAnsi="Arial"/>
                <w:sz w:val="17"/>
                <w:szCs w:val="17"/>
                <w:b w:val="1"/>
                <w:bCs w:val="1"/>
                <w:color w:val="auto"/>
                <w:w w:val="93"/>
              </w:rPr>
              <w:t>(405) 235-4546</w:t>
            </w:r>
          </w:p>
        </w:tc>
        <w:tc>
          <w:tcPr>
            <w:tcW w:w="1180" w:type="dxa"/>
            <w:vAlign w:val="bottom"/>
          </w:tcPr>
          <w:p>
            <w:pPr>
              <w:spacing w:after="0"/>
              <w:rPr>
                <w:sz w:val="24"/>
                <w:szCs w:val="24"/>
                <w:color w:val="auto"/>
              </w:rPr>
            </w:pPr>
          </w:p>
        </w:tc>
      </w:tr>
    </w:tbl>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40" w:type="dxa"/>
            <w:vAlign w:val="bottom"/>
          </w:tcPr>
          <w:p>
            <w:pPr>
              <w:spacing w:after="0"/>
              <w:rPr>
                <w:sz w:val="16"/>
                <w:szCs w:val="16"/>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5"/>
        </w:trPr>
        <w:tc>
          <w:tcPr>
            <w:tcW w:w="42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Common Stock, Par Value $.10</w:t>
            </w:r>
          </w:p>
        </w:tc>
        <w:tc>
          <w:tcPr>
            <w:tcW w:w="16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LXU</w:t>
            </w:r>
          </w:p>
        </w:tc>
        <w:tc>
          <w:tcPr>
            <w:tcW w:w="140" w:type="dxa"/>
            <w:vAlign w:val="bottom"/>
          </w:tcPr>
          <w:p>
            <w:pPr>
              <w:spacing w:after="0"/>
              <w:rPr>
                <w:sz w:val="17"/>
                <w:szCs w:val="17"/>
                <w:color w:val="auto"/>
              </w:rPr>
            </w:pPr>
          </w:p>
        </w:tc>
        <w:tc>
          <w:tcPr>
            <w:tcW w:w="50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63"/>
        </w:trPr>
        <w:tc>
          <w:tcPr>
            <w:tcW w:w="4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Preferred Stock Purchase Rights</w:t>
            </w:r>
          </w:p>
        </w:tc>
        <w:tc>
          <w:tcPr>
            <w:tcW w:w="1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9"/>
              </w:rPr>
              <w:t>N/A</w:t>
            </w:r>
          </w:p>
        </w:tc>
        <w:tc>
          <w:tcPr>
            <w:tcW w:w="140" w:type="dxa"/>
            <w:vAlign w:val="bottom"/>
          </w:tcPr>
          <w:p>
            <w:pPr>
              <w:spacing w:after="0"/>
              <w:rPr>
                <w:sz w:val="16"/>
                <w:szCs w:val="16"/>
                <w:color w:val="auto"/>
              </w:rPr>
            </w:pPr>
          </w:p>
        </w:tc>
        <w:tc>
          <w:tcPr>
            <w:tcW w:w="5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000" w:type="dxa"/>
            <w:vAlign w:val="bottom"/>
          </w:tcPr>
          <w:p>
            <w:pPr>
              <w:ind w:left="284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840"/>
        <w:spacing w:after="0" w:line="250" w:lineRule="exact"/>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The number of shares outstanding of the Registrant's common stock was 74,344,336 shares as of July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80" w:type="dxa"/>
            <w:vAlign w:val="bottom"/>
            <w:gridSpan w:val="3"/>
          </w:tcPr>
          <w:p>
            <w:pPr>
              <w:jc w:val="center"/>
              <w:ind w:right="2480"/>
              <w:spacing w:after="0"/>
              <w:rPr>
                <w:sz w:val="20"/>
                <w:szCs w:val="20"/>
                <w:color w:val="auto"/>
              </w:rPr>
            </w:pPr>
            <w:r>
              <w:rPr>
                <w:rFonts w:ascii="Arial" w:cs="Arial" w:eastAsia="Arial" w:hAnsi="Arial"/>
                <w:sz w:val="18"/>
                <w:szCs w:val="18"/>
                <w:color w:val="auto"/>
                <w:w w:val="93"/>
              </w:rPr>
              <w:t>PART I – Financial Information</w:t>
            </w: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r>
      <w:tr>
        <w:trPr>
          <w:trHeight w:val="426"/>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9580" w:type="dxa"/>
            <w:vAlign w:val="bottom"/>
            <w:gridSpan w:val="9"/>
          </w:tcPr>
          <w:p>
            <w:pPr>
              <w:spacing w:after="0"/>
              <w:rPr>
                <w:sz w:val="20"/>
                <w:szCs w:val="20"/>
                <w:color w:val="auto"/>
              </w:rPr>
            </w:pPr>
            <w:r>
              <w:rPr>
                <w:rFonts w:ascii="Arial" w:cs="Arial" w:eastAsia="Arial" w:hAnsi="Arial"/>
                <w:sz w:val="18"/>
                <w:szCs w:val="18"/>
                <w:color w:val="0000FF"/>
              </w:rPr>
              <w:t>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9580" w:type="dxa"/>
            <w:vAlign w:val="bottom"/>
            <w:gridSpan w:val="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9580" w:type="dxa"/>
            <w:vAlign w:val="bottom"/>
            <w:gridSpan w:val="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260" w:type="dxa"/>
            <w:vAlign w:val="bottom"/>
            <w:tcBorders>
              <w:left w:val="single" w:sz="8" w:color="0000FF"/>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958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507"/>
        </w:trPr>
        <w:tc>
          <w:tcPr>
            <w:tcW w:w="9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7280" w:type="dxa"/>
            <w:vAlign w:val="bottom"/>
            <w:gridSpan w:val="3"/>
          </w:tcPr>
          <w:p>
            <w:pPr>
              <w:jc w:val="center"/>
              <w:ind w:right="2480"/>
              <w:spacing w:after="0"/>
              <w:rPr>
                <w:sz w:val="20"/>
                <w:szCs w:val="20"/>
                <w:color w:val="auto"/>
              </w:rPr>
            </w:pPr>
            <w:r>
              <w:rPr>
                <w:rFonts w:ascii="Arial" w:cs="Arial" w:eastAsia="Arial" w:hAnsi="Arial"/>
                <w:sz w:val="18"/>
                <w:szCs w:val="18"/>
                <w:color w:val="auto"/>
                <w:w w:val="93"/>
              </w:rPr>
              <w:t>PART II – Other Information</w:t>
            </w:r>
          </w:p>
        </w:tc>
        <w:tc>
          <w:tcPr>
            <w:tcW w:w="680" w:type="dxa"/>
            <w:vAlign w:val="bottom"/>
          </w:tcPr>
          <w:p>
            <w:pPr>
              <w:spacing w:after="0"/>
              <w:rPr>
                <w:sz w:val="24"/>
                <w:szCs w:val="24"/>
                <w:color w:val="auto"/>
              </w:rPr>
            </w:pPr>
          </w:p>
        </w:tc>
      </w:tr>
      <w:tr>
        <w:trPr>
          <w:trHeight w:val="446"/>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9580" w:type="dxa"/>
            <w:vAlign w:val="bottom"/>
            <w:gridSpan w:val="9"/>
          </w:tcPr>
          <w:p>
            <w:pPr>
              <w:spacing w:after="0"/>
              <w:rPr>
                <w:sz w:val="20"/>
                <w:szCs w:val="20"/>
                <w:color w:val="auto"/>
              </w:rPr>
            </w:pPr>
            <w:r>
              <w:rPr>
                <w:rFonts w:ascii="Arial" w:cs="Arial" w:eastAsia="Arial" w:hAnsi="Arial"/>
                <w:sz w:val="18"/>
                <w:szCs w:val="18"/>
                <w:color w:val="0000FF"/>
              </w:rPr>
              <w:t>Legal Proceedings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Item 1A.</w:t>
            </w:r>
          </w:p>
        </w:tc>
        <w:tc>
          <w:tcPr>
            <w:tcW w:w="9580" w:type="dxa"/>
            <w:vAlign w:val="bottom"/>
            <w:gridSpan w:val="9"/>
          </w:tcPr>
          <w:p>
            <w:pPr>
              <w:spacing w:after="0"/>
              <w:rPr>
                <w:sz w:val="20"/>
                <w:szCs w:val="20"/>
                <w:color w:val="auto"/>
              </w:rPr>
            </w:pPr>
            <w:r>
              <w:rPr>
                <w:rFonts w:ascii="Arial" w:cs="Arial" w:eastAsia="Arial" w:hAnsi="Arial"/>
                <w:sz w:val="18"/>
                <w:szCs w:val="18"/>
                <w:color w:val="0000FF"/>
              </w:rPr>
              <w:t>Risk Factors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9580" w:type="dxa"/>
            <w:vAlign w:val="bottom"/>
            <w:gridSpan w:val="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9580" w:type="dxa"/>
            <w:vAlign w:val="bottom"/>
            <w:gridSpan w:val="9"/>
          </w:tcPr>
          <w:p>
            <w:pPr>
              <w:spacing w:after="0"/>
              <w:rPr>
                <w:sz w:val="20"/>
                <w:szCs w:val="20"/>
                <w:color w:val="auto"/>
              </w:rPr>
            </w:pPr>
            <w:r>
              <w:rPr>
                <w:rFonts w:ascii="Arial" w:cs="Arial" w:eastAsia="Arial" w:hAnsi="Arial"/>
                <w:sz w:val="18"/>
                <w:szCs w:val="18"/>
                <w:color w:val="0000FF"/>
              </w:rPr>
              <w:t>Defaults Upon Senior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958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Item 5.</w:t>
            </w:r>
          </w:p>
        </w:tc>
        <w:tc>
          <w:tcPr>
            <w:tcW w:w="958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8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Item 6.</w:t>
            </w:r>
          </w:p>
        </w:tc>
        <w:tc>
          <w:tcPr>
            <w:tcW w:w="958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10560" w:type="dxa"/>
            <w:vAlign w:val="bottom"/>
            <w:gridSpan w:val="10"/>
          </w:tcPr>
          <w:p>
            <w:pPr>
              <w:spacing w:after="0"/>
              <w:rPr>
                <w:sz w:val="20"/>
                <w:szCs w:val="20"/>
                <w:color w:val="auto"/>
              </w:rPr>
            </w:pPr>
            <w:r>
              <w:rPr>
                <w:rFonts w:ascii="Arial" w:cs="Arial" w:eastAsia="Arial" w:hAnsi="Arial"/>
                <w:sz w:val="18"/>
                <w:szCs w:val="18"/>
                <w:color w:val="auto"/>
              </w:rPr>
              <w:t>When we refer to "us", "we", "our", "Company" or "LSB" we are describing LSB Industries, Inc. and its subsidiaries.</w:t>
            </w:r>
          </w:p>
        </w:tc>
        <w:tc>
          <w:tcPr>
            <w:tcW w:w="68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6420" w:type="dxa"/>
            <w:vAlign w:val="bottom"/>
            <w:gridSpan w:val="8"/>
          </w:tcPr>
          <w:p>
            <w:pPr>
              <w:jc w:val="right"/>
              <w:ind w:right="1740"/>
              <w:spacing w:after="0"/>
              <w:rPr>
                <w:sz w:val="20"/>
                <w:szCs w:val="20"/>
                <w:color w:val="auto"/>
              </w:rPr>
            </w:pPr>
            <w:r>
              <w:rPr>
                <w:rFonts w:ascii="Arial" w:cs="Arial" w:eastAsia="Arial" w:hAnsi="Arial"/>
                <w:sz w:val="18"/>
                <w:szCs w:val="18"/>
                <w:color w:val="auto"/>
              </w:rPr>
              <w:t>2</w:t>
            </w:r>
          </w:p>
        </w:tc>
        <w:tc>
          <w:tcPr>
            <w:tcW w:w="3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4"/>
        </w:trPr>
        <w:tc>
          <w:tcPr>
            <w:tcW w:w="220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4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LSB INDUSTRIES, INC.</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(Information at June 30, 2023 is unaudited)</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3"/>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June 30,</w:t>
            </w:r>
          </w:p>
        </w:tc>
        <w:tc>
          <w:tcPr>
            <w:tcW w:w="280" w:type="dxa"/>
            <w:vAlign w:val="bottom"/>
          </w:tcPr>
          <w:p>
            <w:pPr>
              <w:spacing w:after="0"/>
              <w:rPr>
                <w:sz w:val="24"/>
                <w:szCs w:val="2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December 31,</w:t>
            </w:r>
          </w:p>
        </w:tc>
      </w:tr>
      <w:tr>
        <w:trPr>
          <w:trHeight w:val="250"/>
        </w:trPr>
        <w:tc>
          <w:tcPr>
            <w:tcW w:w="2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r>
      <w:tr>
        <w:trPr>
          <w:trHeight w:val="220"/>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32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4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3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46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45,072</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63,769</w:t>
            </w:r>
          </w:p>
        </w:tc>
        <w:tc>
          <w:tcPr>
            <w:tcW w:w="140" w:type="dxa"/>
            <w:vAlign w:val="bottom"/>
            <w:shd w:val="clear" w:color="auto" w:fill="CFF0FC"/>
          </w:tcPr>
          <w:p>
            <w:pPr>
              <w:spacing w:after="0"/>
              <w:rPr>
                <w:sz w:val="21"/>
                <w:szCs w:val="21"/>
                <w:color w:val="auto"/>
              </w:rPr>
            </w:pPr>
          </w:p>
        </w:tc>
      </w:tr>
      <w:tr>
        <w:trPr>
          <w:trHeight w:val="237"/>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Short-term investments</w:t>
            </w:r>
          </w:p>
        </w:tc>
        <w:tc>
          <w:tcPr>
            <w:tcW w:w="4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268,762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330,553</w:t>
            </w:r>
          </w:p>
        </w:tc>
        <w:tc>
          <w:tcPr>
            <w:tcW w:w="140" w:type="dxa"/>
            <w:vAlign w:val="bottom"/>
          </w:tcPr>
          <w:p>
            <w:pPr>
              <w:spacing w:after="0"/>
              <w:rPr>
                <w:sz w:val="20"/>
                <w:szCs w:val="20"/>
                <w:color w:val="auto"/>
              </w:rPr>
            </w:pPr>
          </w:p>
        </w:tc>
      </w:tr>
      <w:tr>
        <w:trPr>
          <w:trHeight w:val="249"/>
        </w:trPr>
        <w:tc>
          <w:tcPr>
            <w:tcW w:w="3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Accounts receivable</w:t>
            </w:r>
          </w:p>
        </w:tc>
        <w:tc>
          <w:tcPr>
            <w:tcW w:w="4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51,431</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75,494</w:t>
            </w:r>
          </w:p>
        </w:tc>
        <w:tc>
          <w:tcPr>
            <w:tcW w:w="140" w:type="dxa"/>
            <w:vAlign w:val="bottom"/>
            <w:shd w:val="clear" w:color="auto" w:fill="CFF0FC"/>
          </w:tcPr>
          <w:p>
            <w:pPr>
              <w:spacing w:after="0"/>
              <w:rPr>
                <w:sz w:val="21"/>
                <w:szCs w:val="21"/>
                <w:color w:val="auto"/>
              </w:rPr>
            </w:pPr>
          </w:p>
        </w:tc>
      </w:tr>
      <w:tr>
        <w:trPr>
          <w:trHeight w:val="243"/>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Allowance for doubtful accounts</w:t>
            </w:r>
          </w:p>
        </w:tc>
        <w:tc>
          <w:tcPr>
            <w:tcW w:w="4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(692 )</w:t>
            </w:r>
          </w:p>
        </w:tc>
        <w:tc>
          <w:tcPr>
            <w:tcW w:w="28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(699 )</w:t>
            </w:r>
          </w:p>
        </w:tc>
      </w:tr>
      <w:tr>
        <w:trPr>
          <w:trHeight w:val="237"/>
        </w:trPr>
        <w:tc>
          <w:tcPr>
            <w:tcW w:w="3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4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50,739</w:t>
            </w:r>
          </w:p>
        </w:tc>
        <w:tc>
          <w:tcPr>
            <w:tcW w:w="3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74,795</w:t>
            </w:r>
          </w:p>
        </w:tc>
        <w:tc>
          <w:tcPr>
            <w:tcW w:w="140" w:type="dxa"/>
            <w:vAlign w:val="bottom"/>
            <w:shd w:val="clear" w:color="auto" w:fill="CFF0FC"/>
          </w:tcPr>
          <w:p>
            <w:pPr>
              <w:spacing w:after="0"/>
              <w:rPr>
                <w:sz w:val="20"/>
                <w:szCs w:val="20"/>
                <w:color w:val="auto"/>
              </w:rPr>
            </w:pPr>
          </w:p>
        </w:tc>
      </w:tr>
      <w:tr>
        <w:trPr>
          <w:trHeight w:val="237"/>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Inventories:</w:t>
            </w:r>
          </w:p>
        </w:tc>
        <w:tc>
          <w:tcPr>
            <w:tcW w:w="4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3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Finished goods</w:t>
            </w:r>
          </w:p>
        </w:tc>
        <w:tc>
          <w:tcPr>
            <w:tcW w:w="4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21,281</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28,893</w:t>
            </w:r>
          </w:p>
        </w:tc>
        <w:tc>
          <w:tcPr>
            <w:tcW w:w="140" w:type="dxa"/>
            <w:vAlign w:val="bottom"/>
            <w:shd w:val="clear" w:color="auto" w:fill="CFF0FC"/>
          </w:tcPr>
          <w:p>
            <w:pPr>
              <w:spacing w:after="0"/>
              <w:rPr>
                <w:sz w:val="21"/>
                <w:szCs w:val="21"/>
                <w:color w:val="auto"/>
              </w:rPr>
            </w:pPr>
          </w:p>
        </w:tc>
      </w:tr>
      <w:tr>
        <w:trPr>
          <w:trHeight w:val="243"/>
        </w:trPr>
        <w:tc>
          <w:tcPr>
            <w:tcW w:w="3280" w:type="dxa"/>
            <w:vAlign w:val="bottom"/>
            <w:gridSpan w:val="2"/>
          </w:tcPr>
          <w:p>
            <w:pPr>
              <w:ind w:left="200"/>
              <w:spacing w:after="0"/>
              <w:rPr>
                <w:sz w:val="20"/>
                <w:szCs w:val="20"/>
                <w:color w:val="auto"/>
              </w:rPr>
            </w:pPr>
            <w:r>
              <w:rPr>
                <w:rFonts w:ascii="Arial" w:cs="Arial" w:eastAsia="Arial" w:hAnsi="Arial"/>
                <w:sz w:val="18"/>
                <w:szCs w:val="18"/>
                <w:color w:val="auto"/>
              </w:rPr>
              <w:t>Raw materials</w:t>
            </w:r>
          </w:p>
        </w:tc>
        <w:tc>
          <w:tcPr>
            <w:tcW w:w="4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40" w:type="dxa"/>
            <w:vAlign w:val="bottom"/>
          </w:tcPr>
          <w:p>
            <w:pPr>
              <w:spacing w:after="0"/>
              <w:rPr>
                <w:sz w:val="21"/>
                <w:szCs w:val="21"/>
                <w:color w:val="auto"/>
              </w:rPr>
            </w:pPr>
          </w:p>
        </w:tc>
      </w:tr>
      <w:tr>
        <w:trPr>
          <w:trHeight w:val="237"/>
        </w:trPr>
        <w:tc>
          <w:tcPr>
            <w:tcW w:w="328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Total inventories</w:t>
            </w:r>
          </w:p>
        </w:tc>
        <w:tc>
          <w:tcPr>
            <w:tcW w:w="4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22,701</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30,883</w:t>
            </w:r>
          </w:p>
        </w:tc>
        <w:tc>
          <w:tcPr>
            <w:tcW w:w="140" w:type="dxa"/>
            <w:vAlign w:val="bottom"/>
            <w:shd w:val="clear" w:color="auto" w:fill="CFF0FC"/>
          </w:tcPr>
          <w:p>
            <w:pPr>
              <w:spacing w:after="0"/>
              <w:rPr>
                <w:sz w:val="20"/>
                <w:szCs w:val="20"/>
                <w:color w:val="auto"/>
              </w:rPr>
            </w:pPr>
          </w:p>
        </w:tc>
      </w:tr>
      <w:tr>
        <w:trPr>
          <w:trHeight w:val="237"/>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Supplies, prepaid items and other:</w:t>
            </w:r>
          </w:p>
        </w:tc>
        <w:tc>
          <w:tcPr>
            <w:tcW w:w="4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3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Prepaid insurance</w:t>
            </w:r>
          </w:p>
        </w:tc>
        <w:tc>
          <w:tcPr>
            <w:tcW w:w="4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7,084</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17,429</w:t>
            </w:r>
          </w:p>
        </w:tc>
        <w:tc>
          <w:tcPr>
            <w:tcW w:w="140" w:type="dxa"/>
            <w:vAlign w:val="bottom"/>
            <w:shd w:val="clear" w:color="auto" w:fill="CFF0FC"/>
          </w:tcPr>
          <w:p>
            <w:pPr>
              <w:spacing w:after="0"/>
              <w:rPr>
                <w:sz w:val="21"/>
                <w:szCs w:val="21"/>
                <w:color w:val="auto"/>
              </w:rPr>
            </w:pPr>
          </w:p>
        </w:tc>
      </w:tr>
      <w:tr>
        <w:trPr>
          <w:trHeight w:val="237"/>
        </w:trPr>
        <w:tc>
          <w:tcPr>
            <w:tcW w:w="3280" w:type="dxa"/>
            <w:vAlign w:val="bottom"/>
            <w:gridSpan w:val="2"/>
          </w:tcPr>
          <w:p>
            <w:pPr>
              <w:ind w:left="200"/>
              <w:spacing w:after="0"/>
              <w:rPr>
                <w:sz w:val="20"/>
                <w:szCs w:val="20"/>
                <w:color w:val="auto"/>
              </w:rPr>
            </w:pPr>
            <w:r>
              <w:rPr>
                <w:rFonts w:ascii="Arial" w:cs="Arial" w:eastAsia="Arial" w:hAnsi="Arial"/>
                <w:sz w:val="18"/>
                <w:szCs w:val="18"/>
                <w:color w:val="auto"/>
              </w:rPr>
              <w:t>Precious metals</w:t>
            </w:r>
          </w:p>
        </w:tc>
        <w:tc>
          <w:tcPr>
            <w:tcW w:w="4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13,100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13,323</w:t>
            </w:r>
          </w:p>
        </w:tc>
        <w:tc>
          <w:tcPr>
            <w:tcW w:w="140" w:type="dxa"/>
            <w:vAlign w:val="bottom"/>
          </w:tcPr>
          <w:p>
            <w:pPr>
              <w:spacing w:after="0"/>
              <w:rPr>
                <w:sz w:val="20"/>
                <w:szCs w:val="20"/>
                <w:color w:val="auto"/>
              </w:rPr>
            </w:pPr>
          </w:p>
        </w:tc>
      </w:tr>
      <w:tr>
        <w:trPr>
          <w:trHeight w:val="249"/>
        </w:trPr>
        <w:tc>
          <w:tcPr>
            <w:tcW w:w="3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Supplies</w:t>
            </w:r>
          </w:p>
        </w:tc>
        <w:tc>
          <w:tcPr>
            <w:tcW w:w="4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29,730</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27,501</w:t>
            </w:r>
          </w:p>
        </w:tc>
        <w:tc>
          <w:tcPr>
            <w:tcW w:w="140" w:type="dxa"/>
            <w:vAlign w:val="bottom"/>
            <w:shd w:val="clear" w:color="auto" w:fill="CFF0FC"/>
          </w:tcPr>
          <w:p>
            <w:pPr>
              <w:spacing w:after="0"/>
              <w:rPr>
                <w:sz w:val="21"/>
                <w:szCs w:val="21"/>
                <w:color w:val="auto"/>
              </w:rPr>
            </w:pPr>
          </w:p>
        </w:tc>
      </w:tr>
      <w:tr>
        <w:trPr>
          <w:trHeight w:val="243"/>
        </w:trPr>
        <w:tc>
          <w:tcPr>
            <w:tcW w:w="32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4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8,346</w:t>
            </w:r>
          </w:p>
        </w:tc>
        <w:tc>
          <w:tcPr>
            <w:tcW w:w="140" w:type="dxa"/>
            <w:vAlign w:val="bottom"/>
          </w:tcPr>
          <w:p>
            <w:pPr>
              <w:spacing w:after="0"/>
              <w:rPr>
                <w:sz w:val="21"/>
                <w:szCs w:val="21"/>
                <w:color w:val="auto"/>
              </w:rPr>
            </w:pPr>
          </w:p>
        </w:tc>
      </w:tr>
      <w:tr>
        <w:trPr>
          <w:trHeight w:val="236"/>
        </w:trPr>
        <w:tc>
          <w:tcPr>
            <w:tcW w:w="328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8"/>
                <w:szCs w:val="18"/>
                <w:color w:val="auto"/>
                <w:w w:val="95"/>
              </w:rPr>
              <w:t>Total supplies, prepaid items and other</w:t>
            </w:r>
          </w:p>
        </w:tc>
        <w:tc>
          <w:tcPr>
            <w:tcW w:w="4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52,818</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66,599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4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440,092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566,599</w:t>
            </w:r>
          </w:p>
        </w:tc>
        <w:tc>
          <w:tcPr>
            <w:tcW w:w="140" w:type="dxa"/>
            <w:vAlign w:val="bottom"/>
          </w:tcPr>
          <w:p>
            <w:pPr>
              <w:spacing w:after="0"/>
              <w:rPr>
                <w:sz w:val="20"/>
                <w:szCs w:val="20"/>
                <w:color w:val="auto"/>
              </w:rPr>
            </w:pPr>
          </w:p>
        </w:tc>
      </w:tr>
      <w:tr>
        <w:trPr>
          <w:trHeight w:val="249"/>
        </w:trPr>
        <w:tc>
          <w:tcPr>
            <w:tcW w:w="2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4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835,423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848,661</w:t>
            </w:r>
          </w:p>
        </w:tc>
        <w:tc>
          <w:tcPr>
            <w:tcW w:w="140" w:type="dxa"/>
            <w:vAlign w:val="bottom"/>
          </w:tcPr>
          <w:p>
            <w:pPr>
              <w:spacing w:after="0"/>
              <w:rPr>
                <w:sz w:val="20"/>
                <w:szCs w:val="20"/>
                <w:color w:val="auto"/>
              </w:rPr>
            </w:pPr>
          </w:p>
        </w:tc>
      </w:tr>
      <w:tr>
        <w:trPr>
          <w:trHeight w:val="249"/>
        </w:trPr>
        <w:tc>
          <w:tcPr>
            <w:tcW w:w="2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4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3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Operating lease assets</w:t>
            </w:r>
          </w:p>
        </w:tc>
        <w:tc>
          <w:tcPr>
            <w:tcW w:w="4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25,050</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22,682</w:t>
            </w:r>
          </w:p>
        </w:tc>
        <w:tc>
          <w:tcPr>
            <w:tcW w:w="140" w:type="dxa"/>
            <w:vAlign w:val="bottom"/>
            <w:shd w:val="clear" w:color="auto" w:fill="CFF0FC"/>
          </w:tcPr>
          <w:p>
            <w:pPr>
              <w:spacing w:after="0"/>
              <w:rPr>
                <w:sz w:val="21"/>
                <w:szCs w:val="21"/>
                <w:color w:val="auto"/>
              </w:rPr>
            </w:pPr>
          </w:p>
        </w:tc>
      </w:tr>
      <w:tr>
        <w:trPr>
          <w:trHeight w:val="243"/>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Intangible and other assets, net</w:t>
            </w:r>
          </w:p>
        </w:tc>
        <w:tc>
          <w:tcPr>
            <w:tcW w:w="4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40" w:type="dxa"/>
            <w:vAlign w:val="bottom"/>
          </w:tcPr>
          <w:p>
            <w:pPr>
              <w:spacing w:after="0"/>
              <w:rPr>
                <w:sz w:val="21"/>
                <w:szCs w:val="21"/>
                <w:color w:val="auto"/>
              </w:rPr>
            </w:pPr>
          </w:p>
        </w:tc>
      </w:tr>
      <w:tr>
        <w:trPr>
          <w:trHeight w:val="236"/>
        </w:trPr>
        <w:tc>
          <w:tcPr>
            <w:tcW w:w="22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26,622</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w:t>
            </w:r>
          </w:p>
        </w:tc>
        <w:tc>
          <w:tcPr>
            <w:tcW w:w="140" w:type="dxa"/>
            <w:vAlign w:val="bottom"/>
            <w:shd w:val="clear" w:color="auto" w:fill="CFF0FC"/>
          </w:tcPr>
          <w:p>
            <w:pPr>
              <w:spacing w:after="0"/>
              <w:rPr>
                <w:sz w:val="20"/>
                <w:szCs w:val="20"/>
                <w:color w:val="auto"/>
              </w:rPr>
            </w:pPr>
          </w:p>
        </w:tc>
      </w:tr>
      <w:tr>
        <w:trPr>
          <w:trHeight w:val="243"/>
        </w:trPr>
        <w:tc>
          <w:tcPr>
            <w:tcW w:w="2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4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0"/>
        </w:trPr>
        <w:tc>
          <w:tcPr>
            <w:tcW w:w="220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spacing w:after="0"/>
              <w:rPr>
                <w:sz w:val="23"/>
                <w:szCs w:val="23"/>
                <w:color w:val="auto"/>
              </w:rPr>
            </w:pPr>
          </w:p>
        </w:tc>
        <w:tc>
          <w:tcPr>
            <w:tcW w:w="426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1,302,137</w:t>
            </w:r>
          </w:p>
        </w:tc>
        <w:tc>
          <w:tcPr>
            <w:tcW w:w="3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1,439,819</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459"/>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40" w:type="dxa"/>
            <w:vAlign w:val="bottom"/>
            <w:gridSpan w:val="2"/>
          </w:tcPr>
          <w:p>
            <w:pPr>
              <w:jc w:val="center"/>
              <w:spacing w:after="0"/>
              <w:rPr>
                <w:sz w:val="20"/>
                <w:szCs w:val="20"/>
                <w:color w:val="auto"/>
              </w:rPr>
            </w:pPr>
            <w:r>
              <w:rPr>
                <w:rFonts w:ascii="Arial" w:cs="Arial" w:eastAsia="Arial" w:hAnsi="Arial"/>
                <w:sz w:val="18"/>
                <w:szCs w:val="18"/>
                <w:color w:val="auto"/>
                <w:w w:val="92"/>
              </w:rPr>
              <w:t>(Continued on following page)</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60" w:type="dxa"/>
            <w:vAlign w:val="bottom"/>
          </w:tcPr>
          <w:p>
            <w:pPr>
              <w:jc w:val="center"/>
              <w:ind w:left="330"/>
              <w:spacing w:after="0"/>
              <w:rPr>
                <w:sz w:val="20"/>
                <w:szCs w:val="20"/>
                <w:color w:val="auto"/>
              </w:rPr>
            </w:pPr>
            <w:r>
              <w:rPr>
                <w:rFonts w:ascii="Arial" w:cs="Arial" w:eastAsia="Arial" w:hAnsi="Arial"/>
                <w:sz w:val="18"/>
                <w:szCs w:val="18"/>
                <w:color w:val="auto"/>
                <w:w w:val="79"/>
              </w:rPr>
              <w:t>3</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-2253615</wp:posOffset>
            </wp:positionV>
            <wp:extent cx="8572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-2253615</wp:posOffset>
            </wp:positionV>
            <wp:extent cx="8572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-685165</wp:posOffset>
            </wp:positionV>
            <wp:extent cx="85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-668020</wp:posOffset>
            </wp:positionV>
            <wp:extent cx="85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-685165</wp:posOffset>
            </wp:positionV>
            <wp:extent cx="85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-668020</wp:posOffset>
            </wp:positionV>
            <wp:extent cx="85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2023 is 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June 30,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w w:val="86"/>
              </w:rPr>
              <w:t>December 31,</w:t>
            </w:r>
          </w:p>
        </w:tc>
        <w:tc>
          <w:tcPr>
            <w:tcW w:w="140" w:type="dxa"/>
            <w:vAlign w:val="bottom"/>
          </w:tcPr>
          <w:p>
            <w:pPr>
              <w:spacing w:after="0"/>
              <w:rPr>
                <w:sz w:val="20"/>
                <w:szCs w:val="20"/>
                <w:color w:val="auto"/>
              </w:rPr>
            </w:pPr>
          </w:p>
        </w:tc>
      </w:tr>
      <w:tr>
        <w:trPr>
          <w:trHeight w:val="250"/>
        </w:trPr>
        <w:tc>
          <w:tcPr>
            <w:tcW w:w="75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r>
      <w:tr>
        <w:trPr>
          <w:trHeight w:val="220"/>
        </w:trPr>
        <w:tc>
          <w:tcPr>
            <w:tcW w:w="7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54,524</w:t>
            </w:r>
          </w:p>
        </w:tc>
        <w:tc>
          <w:tcPr>
            <w:tcW w:w="6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78,182</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120"/>
              <w:spacing w:after="0"/>
              <w:rPr>
                <w:sz w:val="20"/>
                <w:szCs w:val="20"/>
                <w:color w:val="auto"/>
              </w:rPr>
            </w:pPr>
            <w:r>
              <w:rPr>
                <w:rFonts w:ascii="Arial" w:cs="Arial" w:eastAsia="Arial" w:hAnsi="Arial"/>
                <w:sz w:val="18"/>
                <w:szCs w:val="18"/>
                <w:color w:val="auto"/>
              </w:rPr>
              <w:t>Short-term financing</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5,118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16,134</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and other liabilities</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31,210</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38,470</w:t>
            </w:r>
          </w:p>
        </w:tc>
        <w:tc>
          <w:tcPr>
            <w:tcW w:w="140" w:type="dxa"/>
            <w:vAlign w:val="bottom"/>
            <w:shd w:val="clear" w:color="auto" w:fill="CFF0FC"/>
          </w:tcPr>
          <w:p>
            <w:pPr>
              <w:spacing w:after="0"/>
              <w:rPr>
                <w:sz w:val="21"/>
                <w:szCs w:val="21"/>
                <w:color w:val="auto"/>
              </w:rPr>
            </w:pPr>
          </w:p>
        </w:tc>
      </w:tr>
      <w:tr>
        <w:trPr>
          <w:trHeight w:val="243"/>
        </w:trPr>
        <w:tc>
          <w:tcPr>
            <w:tcW w:w="756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140" w:type="dxa"/>
            <w:vAlign w:val="bottom"/>
          </w:tcPr>
          <w:p>
            <w:pPr>
              <w:spacing w:after="0"/>
              <w:rPr>
                <w:sz w:val="21"/>
                <w:szCs w:val="21"/>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96,223</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142,308</w:t>
            </w:r>
          </w:p>
        </w:tc>
        <w:tc>
          <w:tcPr>
            <w:tcW w:w="140" w:type="dxa"/>
            <w:vAlign w:val="bottom"/>
            <w:shd w:val="clear" w:color="auto" w:fill="CFF0FC"/>
          </w:tcPr>
          <w:p>
            <w:pPr>
              <w:spacing w:after="0"/>
              <w:rPr>
                <w:sz w:val="20"/>
                <w:szCs w:val="20"/>
                <w:color w:val="auto"/>
              </w:rPr>
            </w:pPr>
          </w:p>
        </w:tc>
      </w:tr>
      <w:tr>
        <w:trPr>
          <w:trHeight w:val="243"/>
        </w:trPr>
        <w:tc>
          <w:tcPr>
            <w:tcW w:w="7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578,214</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702,733</w:t>
            </w:r>
          </w:p>
        </w:tc>
        <w:tc>
          <w:tcPr>
            <w:tcW w:w="140" w:type="dxa"/>
            <w:vAlign w:val="bottom"/>
            <w:shd w:val="clear" w:color="auto" w:fill="CFF0FC"/>
          </w:tcPr>
          <w:p>
            <w:pPr>
              <w:spacing w:after="0"/>
              <w:rPr>
                <w:sz w:val="21"/>
                <w:szCs w:val="21"/>
                <w:color w:val="auto"/>
              </w:rPr>
            </w:pPr>
          </w:p>
        </w:tc>
      </w:tr>
      <w:tr>
        <w:trPr>
          <w:trHeight w:val="243"/>
        </w:trPr>
        <w:tc>
          <w:tcPr>
            <w:tcW w:w="7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16,158</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14,896</w:t>
            </w:r>
          </w:p>
        </w:tc>
        <w:tc>
          <w:tcPr>
            <w:tcW w:w="140" w:type="dxa"/>
            <w:vAlign w:val="bottom"/>
            <w:shd w:val="clear" w:color="auto" w:fill="CFF0FC"/>
          </w:tcPr>
          <w:p>
            <w:pPr>
              <w:spacing w:after="0"/>
              <w:rPr>
                <w:sz w:val="21"/>
                <w:szCs w:val="21"/>
                <w:color w:val="auto"/>
              </w:rPr>
            </w:pPr>
          </w:p>
        </w:tc>
      </w:tr>
      <w:tr>
        <w:trPr>
          <w:trHeight w:val="243"/>
        </w:trPr>
        <w:tc>
          <w:tcPr>
            <w:tcW w:w="7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accrued and other liabilities</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FF0FC"/>
          </w:tcPr>
          <w:p>
            <w:pPr>
              <w:spacing w:after="0"/>
              <w:rPr>
                <w:sz w:val="21"/>
                <w:szCs w:val="21"/>
                <w:color w:val="auto"/>
              </w:rPr>
            </w:pPr>
          </w:p>
        </w:tc>
      </w:tr>
      <w:tr>
        <w:trPr>
          <w:trHeight w:val="243"/>
        </w:trPr>
        <w:tc>
          <w:tcPr>
            <w:tcW w:w="7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71,223</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63,487</w:t>
            </w:r>
          </w:p>
        </w:tc>
        <w:tc>
          <w:tcPr>
            <w:tcW w:w="140" w:type="dxa"/>
            <w:vAlign w:val="bottom"/>
            <w:shd w:val="clear" w:color="auto" w:fill="CFF0FC"/>
          </w:tcPr>
          <w:p>
            <w:pPr>
              <w:spacing w:after="0"/>
              <w:rPr>
                <w:sz w:val="21"/>
                <w:szCs w:val="21"/>
                <w:color w:val="auto"/>
              </w:rPr>
            </w:pPr>
          </w:p>
        </w:tc>
      </w:tr>
      <w:tr>
        <w:trPr>
          <w:trHeight w:val="243"/>
        </w:trPr>
        <w:tc>
          <w:tcPr>
            <w:tcW w:w="7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5)</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43"/>
        </w:trPr>
        <w:tc>
          <w:tcPr>
            <w:tcW w:w="7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560" w:type="dxa"/>
            <w:vAlign w:val="bottom"/>
          </w:tcPr>
          <w:p>
            <w:pPr>
              <w:ind w:left="120"/>
              <w:spacing w:after="0"/>
              <w:rPr>
                <w:sz w:val="20"/>
                <w:szCs w:val="20"/>
                <w:color w:val="auto"/>
              </w:rPr>
            </w:pPr>
            <w:r>
              <w:rPr>
                <w:rFonts w:ascii="Arial" w:cs="Arial" w:eastAsia="Arial" w:hAnsi="Arial"/>
                <w:sz w:val="18"/>
                <w:szCs w:val="18"/>
                <w:color w:val="auto"/>
              </w:rPr>
              <w:t>Common stock, $.10 par value; 150 million shares authorized, 91.2 million</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560" w:type="dxa"/>
            <w:vAlign w:val="bottom"/>
          </w:tcPr>
          <w:p>
            <w:pPr>
              <w:ind w:left="240"/>
              <w:spacing w:after="0"/>
              <w:rPr>
                <w:sz w:val="20"/>
                <w:szCs w:val="20"/>
                <w:color w:val="auto"/>
              </w:rPr>
            </w:pPr>
            <w:r>
              <w:rPr>
                <w:rFonts w:ascii="Arial" w:cs="Arial" w:eastAsia="Arial" w:hAnsi="Arial"/>
                <w:sz w:val="18"/>
                <w:szCs w:val="18"/>
                <w:color w:val="auto"/>
              </w:rPr>
              <w:t>shares issued</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9,117</w:t>
            </w:r>
          </w:p>
        </w:tc>
        <w:tc>
          <w:tcPr>
            <w:tcW w:w="140" w:type="dxa"/>
            <w:vAlign w:val="bottom"/>
          </w:tcPr>
          <w:p>
            <w:pPr>
              <w:spacing w:after="0"/>
              <w:rPr>
                <w:sz w:val="20"/>
                <w:szCs w:val="20"/>
                <w:color w:val="auto"/>
              </w:rPr>
            </w:pPr>
          </w:p>
        </w:tc>
      </w:tr>
      <w:tr>
        <w:trPr>
          <w:trHeight w:val="250"/>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Capital in excess of par value</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498,517</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497,179</w:t>
            </w:r>
          </w:p>
        </w:tc>
        <w:tc>
          <w:tcPr>
            <w:tcW w:w="140" w:type="dxa"/>
            <w:vAlign w:val="bottom"/>
            <w:shd w:val="clear" w:color="auto" w:fill="CFF0FC"/>
          </w:tcPr>
          <w:p>
            <w:pPr>
              <w:spacing w:after="0"/>
              <w:rPr>
                <w:sz w:val="21"/>
                <w:szCs w:val="21"/>
                <w:color w:val="auto"/>
              </w:rPr>
            </w:pPr>
          </w:p>
        </w:tc>
      </w:tr>
      <w:tr>
        <w:trPr>
          <w:trHeight w:val="243"/>
        </w:trPr>
        <w:tc>
          <w:tcPr>
            <w:tcW w:w="75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240,088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199,092</w:t>
            </w:r>
          </w:p>
        </w:tc>
        <w:tc>
          <w:tcPr>
            <w:tcW w:w="140" w:type="dxa"/>
            <w:vAlign w:val="bottom"/>
          </w:tcPr>
          <w:p>
            <w:pPr>
              <w:spacing w:after="0"/>
              <w:rPr>
                <w:sz w:val="21"/>
                <w:szCs w:val="21"/>
                <w:color w:val="auto"/>
              </w:rPr>
            </w:pPr>
          </w:p>
        </w:tc>
      </w:tr>
      <w:tr>
        <w:trPr>
          <w:trHeight w:val="237"/>
        </w:trPr>
        <w:tc>
          <w:tcPr>
            <w:tcW w:w="75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747,722</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705,388</w:t>
            </w:r>
          </w:p>
        </w:tc>
        <w:tc>
          <w:tcPr>
            <w:tcW w:w="140" w:type="dxa"/>
            <w:vAlign w:val="bottom"/>
            <w:shd w:val="clear" w:color="auto" w:fill="CFF0FC"/>
          </w:tcPr>
          <w:p>
            <w:pPr>
              <w:spacing w:after="0"/>
              <w:rPr>
                <w:sz w:val="20"/>
                <w:szCs w:val="20"/>
                <w:color w:val="auto"/>
              </w:rPr>
            </w:pPr>
          </w:p>
        </w:tc>
      </w:tr>
      <w:tr>
        <w:trPr>
          <w:trHeight w:val="237"/>
        </w:trPr>
        <w:tc>
          <w:tcPr>
            <w:tcW w:w="7560" w:type="dxa"/>
            <w:vAlign w:val="bottom"/>
          </w:tcPr>
          <w:p>
            <w:pPr>
              <w:ind w:left="120"/>
              <w:spacing w:after="0"/>
              <w:rPr>
                <w:sz w:val="20"/>
                <w:szCs w:val="20"/>
                <w:color w:val="auto"/>
              </w:rPr>
            </w:pPr>
            <w:r>
              <w:rPr>
                <w:rFonts w:ascii="Arial" w:cs="Arial" w:eastAsia="Arial" w:hAnsi="Arial"/>
                <w:sz w:val="18"/>
                <w:szCs w:val="18"/>
                <w:color w:val="auto"/>
              </w:rPr>
              <w:t>Less treasury stock, at cost:</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Common stock, 16.8 million shares (14.9 million shares at December 31, 2022)</w:t>
            </w:r>
          </w:p>
        </w:tc>
        <w:tc>
          <w:tcPr>
            <w:tcW w:w="3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207,925</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189,515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539,797</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515,873</w:t>
            </w:r>
          </w:p>
        </w:tc>
        <w:tc>
          <w:tcPr>
            <w:tcW w:w="140" w:type="dxa"/>
            <w:vAlign w:val="bottom"/>
          </w:tcPr>
          <w:p>
            <w:pPr>
              <w:spacing w:after="0"/>
              <w:rPr>
                <w:sz w:val="20"/>
                <w:szCs w:val="20"/>
                <w:color w:val="auto"/>
              </w:rPr>
            </w:pPr>
          </w:p>
        </w:tc>
      </w:tr>
      <w:tr>
        <w:trPr>
          <w:trHeight w:val="270"/>
        </w:trPr>
        <w:tc>
          <w:tcPr>
            <w:tcW w:w="75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1,302,137</w:t>
            </w:r>
          </w:p>
        </w:tc>
        <w:tc>
          <w:tcPr>
            <w:tcW w:w="3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1,439,819</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-350520</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jc w:val="center"/>
              <w:ind w:right="5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48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Six Months Ended</w:t>
            </w:r>
          </w:p>
        </w:tc>
      </w:tr>
      <w:tr>
        <w:trPr>
          <w:trHeight w:val="243"/>
        </w:trPr>
        <w:tc>
          <w:tcPr>
            <w:tcW w:w="5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4"/>
          </w:tcPr>
          <w:p>
            <w:pPr>
              <w:jc w:val="center"/>
              <w:ind w:left="53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5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r>
      <w:tr>
        <w:trPr>
          <w:trHeight w:val="220"/>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40" w:type="dxa"/>
            <w:vAlign w:val="bottom"/>
            <w:gridSpan w:val="7"/>
          </w:tcPr>
          <w:p>
            <w:pPr>
              <w:jc w:val="right"/>
              <w:ind w:right="180"/>
              <w:spacing w:after="0"/>
              <w:rPr>
                <w:sz w:val="20"/>
                <w:szCs w:val="20"/>
                <w:color w:val="auto"/>
              </w:rPr>
            </w:pPr>
            <w:r>
              <w:rPr>
                <w:rFonts w:ascii="Arial" w:cs="Arial" w:eastAsia="Arial" w:hAnsi="Arial"/>
                <w:sz w:val="16"/>
                <w:szCs w:val="16"/>
                <w:color w:val="auto"/>
                <w:w w:val="91"/>
              </w:rPr>
              <w:t>(In Thousands, Except Per Share Amounts)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165,845</w:t>
            </w:r>
          </w:p>
        </w:tc>
        <w:tc>
          <w:tcPr>
            <w:tcW w:w="1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284,803</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346,809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483,784</w:t>
            </w:r>
          </w:p>
        </w:tc>
        <w:tc>
          <w:tcPr>
            <w:tcW w:w="140" w:type="dxa"/>
            <w:vAlign w:val="bottom"/>
            <w:shd w:val="clear" w:color="auto" w:fill="CFF0FC"/>
          </w:tcPr>
          <w:p>
            <w:pPr>
              <w:spacing w:after="0"/>
              <w:rPr>
                <w:sz w:val="21"/>
                <w:szCs w:val="2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129,813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141,879</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269,172</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250,130</w:t>
            </w:r>
          </w:p>
        </w:tc>
        <w:tc>
          <w:tcPr>
            <w:tcW w:w="140" w:type="dxa"/>
            <w:vAlign w:val="bottom"/>
          </w:tcPr>
          <w:p>
            <w:pPr>
              <w:spacing w:after="0"/>
              <w:rPr>
                <w:sz w:val="21"/>
                <w:szCs w:val="21"/>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36,032</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142,924</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77,637</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233,654</w:t>
            </w:r>
          </w:p>
        </w:tc>
        <w:tc>
          <w:tcPr>
            <w:tcW w:w="140" w:type="dxa"/>
            <w:vAlign w:val="bottom"/>
            <w:shd w:val="clear" w:color="auto" w:fill="CFF0FC"/>
          </w:tcPr>
          <w:p>
            <w:pPr>
              <w:spacing w:after="0"/>
              <w:rPr>
                <w:sz w:val="20"/>
                <w:szCs w:val="20"/>
                <w:color w:val="auto"/>
              </w:rPr>
            </w:pPr>
          </w:p>
        </w:tc>
      </w:tr>
      <w:tr>
        <w:trPr>
          <w:trHeight w:val="243"/>
        </w:trPr>
        <w:tc>
          <w:tcPr>
            <w:tcW w:w="5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9,436</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19,303</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20,573</w:t>
            </w:r>
          </w:p>
        </w:tc>
        <w:tc>
          <w:tcPr>
            <w:tcW w:w="140" w:type="dxa"/>
            <w:vAlign w:val="bottom"/>
            <w:shd w:val="clear" w:color="auto" w:fill="CFF0FC"/>
          </w:tcPr>
          <w:p>
            <w:pPr>
              <w:spacing w:after="0"/>
              <w:rPr>
                <w:sz w:val="21"/>
                <w:szCs w:val="2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(900 )</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21"/>
                <w:szCs w:val="21"/>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27,496</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132,658</w:t>
            </w: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58,031</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212,629</w:t>
            </w:r>
          </w:p>
        </w:tc>
        <w:tc>
          <w:tcPr>
            <w:tcW w:w="140" w:type="dxa"/>
            <w:vAlign w:val="bottom"/>
            <w:shd w:val="clear" w:color="auto" w:fill="CFF0FC"/>
          </w:tcPr>
          <w:p>
            <w:pPr>
              <w:spacing w:after="0"/>
              <w:rPr>
                <w:sz w:val="20"/>
                <w:szCs w:val="20"/>
                <w:color w:val="auto"/>
              </w:rPr>
            </w:pPr>
          </w:p>
        </w:tc>
      </w:tr>
      <w:tr>
        <w:trPr>
          <w:trHeight w:val="243"/>
        </w:trPr>
        <w:tc>
          <w:tcPr>
            <w:tcW w:w="5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11,836</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22,262</w:t>
            </w:r>
          </w:p>
        </w:tc>
        <w:tc>
          <w:tcPr>
            <w:tcW w:w="140" w:type="dxa"/>
            <w:vAlign w:val="bottom"/>
            <w:shd w:val="clear" w:color="auto" w:fill="CFF0FC"/>
          </w:tcPr>
          <w:p>
            <w:pPr>
              <w:spacing w:after="0"/>
              <w:rPr>
                <w:sz w:val="21"/>
                <w:szCs w:val="2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(Gain) loss on extinguishment of debt</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(8,644 )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(8,644 )</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0"/>
                <w:szCs w:val="20"/>
                <w:color w:val="auto"/>
              </w:rPr>
            </w:pP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Non-operating other income, net</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(3,764 )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(3,430 )</w:t>
            </w: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(7,240 )</w:t>
            </w: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(3,408 )</w:t>
            </w:r>
          </w:p>
        </w:tc>
      </w:tr>
      <w:tr>
        <w:trPr>
          <w:trHeight w:val="230"/>
        </w:trPr>
        <w:tc>
          <w:tcPr>
            <w:tcW w:w="5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28,068</w:t>
            </w: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123,781</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49,867</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193,662</w:t>
            </w:r>
          </w:p>
        </w:tc>
        <w:tc>
          <w:tcPr>
            <w:tcW w:w="140" w:type="dxa"/>
            <w:vAlign w:val="bottom"/>
            <w:tcBorders>
              <w:top w:val="single" w:sz="8" w:color="CFF0FC"/>
            </w:tcBorders>
          </w:tcPr>
          <w:p>
            <w:pPr>
              <w:spacing w:after="0"/>
              <w:rPr>
                <w:sz w:val="20"/>
                <w:szCs w:val="20"/>
                <w:color w:val="auto"/>
              </w:rPr>
            </w:pPr>
          </w:p>
        </w:tc>
      </w:tr>
      <w:tr>
        <w:trPr>
          <w:trHeight w:val="249"/>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20,382</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8,871</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103,399</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40,996</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162,165</w:t>
            </w:r>
          </w:p>
        </w:tc>
        <w:tc>
          <w:tcPr>
            <w:tcW w:w="140" w:type="dxa"/>
            <w:vAlign w:val="bottom"/>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5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-659130</wp:posOffset>
            </wp:positionV>
            <wp:extent cx="8572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-659130</wp:posOffset>
            </wp:positionV>
            <wp:extent cx="857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-659130</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-659130</wp:posOffset>
            </wp:positionV>
            <wp:extent cx="857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-342265</wp:posOffset>
            </wp:positionV>
            <wp:extent cx="8572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-342265</wp:posOffset>
            </wp:positionV>
            <wp:extent cx="8572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-342265</wp:posOffset>
            </wp:positionV>
            <wp:extent cx="8572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-342265</wp:posOffset>
            </wp:positionV>
            <wp:extent cx="8572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ind w:left="20"/>
        <w:spacing w:after="0"/>
        <w:rPr>
          <w:sz w:val="20"/>
          <w:szCs w:val="20"/>
          <w:color w:val="auto"/>
        </w:rPr>
      </w:pPr>
      <w:r>
        <w:rPr>
          <w:rFonts w:ascii="Arial" w:cs="Arial" w:eastAsia="Arial" w:hAnsi="Arial"/>
          <w:sz w:val="16"/>
          <w:szCs w:val="16"/>
          <w:color w:val="auto"/>
        </w:rPr>
        <w:t>Income per common share:</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Basic:</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income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Diluted:</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2640" w:type="dxa"/>
        <w:tblCellMar>
          <w:top w:w="0" w:type="dxa"/>
          <w:left w:w="0" w:type="dxa"/>
          <w:bottom w:w="0" w:type="dxa"/>
          <w:right w:w="0" w:type="dxa"/>
        </w:tblCellMar>
      </w:tblPr>
      <w:tr>
        <w:trPr>
          <w:trHeight w:val="237"/>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0.33</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0.54</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709"/>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0.33</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0.54</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-822325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-488315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-179070</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2" w:lineRule="exact"/>
        <w:rPr>
          <w:sz w:val="20"/>
          <w:szCs w:val="20"/>
          <w:color w:val="auto"/>
        </w:rPr>
      </w:pPr>
    </w:p>
    <w:p>
      <w:pPr>
        <w:jc w:val="center"/>
        <w:ind w:right="3000"/>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60"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80" w:space="720"/>
            <w:col w:w="8240"/>
          </w:cols>
          <w:pgMar w:left="320" w:top="337" w:right="33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2022</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Shares issued restricted stock units</w:t>
      </w:r>
    </w:p>
    <w:p>
      <w:pPr>
        <w:spacing w:after="0" w:line="26" w:lineRule="exact"/>
        <w:rPr>
          <w:sz w:val="20"/>
          <w:szCs w:val="20"/>
          <w:color w:val="auto"/>
        </w:rPr>
      </w:pPr>
    </w:p>
    <w:p>
      <w:pPr>
        <w:ind w:left="80" w:hanging="71"/>
        <w:spacing w:after="0" w:line="260" w:lineRule="auto"/>
        <w:rPr>
          <w:sz w:val="20"/>
          <w:szCs w:val="20"/>
          <w:color w:val="auto"/>
        </w:rPr>
      </w:pPr>
      <w:r>
        <w:rPr>
          <w:rFonts w:ascii="Arial" w:cs="Arial" w:eastAsia="Arial" w:hAnsi="Arial"/>
          <w:sz w:val="13"/>
          <w:szCs w:val="13"/>
          <w:color w:val="auto"/>
        </w:rPr>
        <w:t>Shares withheld restricted stock and restricted stock units vesting</w:t>
      </w:r>
    </w:p>
    <w:p>
      <w:pPr>
        <w:spacing w:after="0"/>
        <w:rPr>
          <w:sz w:val="20"/>
          <w:szCs w:val="20"/>
          <w:color w:val="auto"/>
        </w:rPr>
      </w:pPr>
      <w:r>
        <w:rPr>
          <w:rFonts w:ascii="Arial" w:cs="Arial" w:eastAsia="Arial" w:hAnsi="Arial"/>
          <w:sz w:val="14"/>
          <w:szCs w:val="14"/>
          <w:color w:val="auto"/>
        </w:rPr>
        <w:t>Balance at March 31, 2023</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Purchase of common stock</w:t>
      </w:r>
    </w:p>
    <w:p>
      <w:pPr>
        <w:spacing w:after="0" w:line="15" w:lineRule="exact"/>
        <w:rPr>
          <w:sz w:val="20"/>
          <w:szCs w:val="20"/>
          <w:color w:val="auto"/>
        </w:rPr>
      </w:pPr>
    </w:p>
    <w:p>
      <w:pPr>
        <w:ind w:left="80" w:right="80" w:hanging="71"/>
        <w:spacing w:after="0" w:line="241" w:lineRule="auto"/>
        <w:rPr>
          <w:sz w:val="20"/>
          <w:szCs w:val="20"/>
          <w:color w:val="auto"/>
        </w:rPr>
      </w:pPr>
      <w:r>
        <w:rPr>
          <w:rFonts w:ascii="Arial" w:cs="Arial" w:eastAsia="Arial" w:hAnsi="Arial"/>
          <w:sz w:val="14"/>
          <w:szCs w:val="14"/>
          <w:color w:val="auto"/>
        </w:rPr>
        <w:t>Shares issued restricted stock units and ESPP participants</w:t>
      </w:r>
    </w:p>
    <w:p>
      <w:pPr>
        <w:spacing w:after="0" w:line="1" w:lineRule="exact"/>
        <w:rPr>
          <w:sz w:val="20"/>
          <w:szCs w:val="20"/>
          <w:color w:val="auto"/>
        </w:rPr>
      </w:pPr>
    </w:p>
    <w:p>
      <w:pPr>
        <w:ind w:left="80" w:right="240" w:hanging="71"/>
        <w:spacing w:after="0" w:line="243" w:lineRule="auto"/>
        <w:rPr>
          <w:sz w:val="20"/>
          <w:szCs w:val="20"/>
          <w:color w:val="auto"/>
        </w:rPr>
      </w:pPr>
      <w:r>
        <w:rPr>
          <w:rFonts w:ascii="Arial" w:cs="Arial" w:eastAsia="Arial" w:hAnsi="Arial"/>
          <w:sz w:val="14"/>
          <w:szCs w:val="14"/>
          <w:color w:val="auto"/>
        </w:rPr>
        <w:t>Shares withheld restricted stock units vesting</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Balance at June 30, 2023</w:t>
      </w:r>
    </w:p>
    <w:p>
      <w:pPr>
        <w:spacing w:after="0" w:line="190" w:lineRule="exact"/>
        <w:rPr>
          <w:sz w:val="20"/>
          <w:szCs w:val="20"/>
          <w:color w:val="auto"/>
        </w:rPr>
      </w:pPr>
    </w:p>
    <w:p>
      <w:pPr>
        <w:ind w:right="300"/>
        <w:spacing w:after="0" w:line="266" w:lineRule="auto"/>
        <w:rPr>
          <w:sz w:val="20"/>
          <w:szCs w:val="20"/>
          <w:color w:val="auto"/>
        </w:rPr>
      </w:pPr>
      <w:r>
        <w:rPr>
          <w:rFonts w:ascii="Arial" w:cs="Arial" w:eastAsia="Arial" w:hAnsi="Arial"/>
          <w:sz w:val="14"/>
          <w:szCs w:val="14"/>
          <w:color w:val="auto"/>
        </w:rPr>
        <w:t>Balance at December 31, 2021 Net income</w:t>
      </w:r>
    </w:p>
    <w:p>
      <w:pPr>
        <w:spacing w:after="0" w:line="1" w:lineRule="exact"/>
        <w:rPr>
          <w:sz w:val="20"/>
          <w:szCs w:val="20"/>
          <w:color w:val="auto"/>
        </w:rPr>
      </w:pPr>
    </w:p>
    <w:p>
      <w:pPr>
        <w:ind w:right="540"/>
        <w:spacing w:after="0" w:line="271" w:lineRule="auto"/>
        <w:rPr>
          <w:sz w:val="20"/>
          <w:szCs w:val="20"/>
          <w:color w:val="auto"/>
        </w:rPr>
      </w:pPr>
      <w:r>
        <w:rPr>
          <w:rFonts w:ascii="Arial" w:cs="Arial" w:eastAsia="Arial" w:hAnsi="Arial"/>
          <w:sz w:val="14"/>
          <w:szCs w:val="14"/>
          <w:color w:val="auto"/>
        </w:rPr>
        <w:t>Stock-based compensation Other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Balance at March 31, 2022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Purchase of common stock</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Balance at June 30, 2022</w:t>
      </w:r>
    </w:p>
    <w:p>
      <w:pPr>
        <w:spacing w:after="0" w:line="20" w:lineRule="exact"/>
        <w:rPr>
          <w:sz w:val="20"/>
          <w:szCs w:val="20"/>
          <w:color w:val="auto"/>
        </w:rPr>
      </w:pPr>
      <w:r>
        <w:rPr>
          <w:sz w:val="20"/>
          <w:szCs w:val="20"/>
          <w:color w:val="auto"/>
        </w:rPr>
        <w:br w:type="column"/>
      </w:r>
    </w:p>
    <w:p>
      <w:pPr>
        <w:jc w:val="center"/>
        <w:ind w:right="228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28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1" w:lineRule="exact"/>
        <w:rPr>
          <w:sz w:val="20"/>
          <w:szCs w:val="20"/>
          <w:color w:val="auto"/>
        </w:rPr>
      </w:pPr>
    </w:p>
    <w:p>
      <w:pPr>
        <w:jc w:val="center"/>
        <w:ind w:right="228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428"/>
              <w:spacing w:after="0"/>
              <w:rPr>
                <w:sz w:val="20"/>
                <w:szCs w:val="20"/>
                <w:color w:val="auto"/>
              </w:rPr>
            </w:pPr>
            <w:r>
              <w:rPr>
                <w:rFonts w:ascii="Arial" w:cs="Arial" w:eastAsia="Arial" w:hAnsi="Arial"/>
                <w:sz w:val="14"/>
                <w:szCs w:val="14"/>
                <w:color w:val="auto"/>
              </w:rPr>
              <w:t>Treasury</w:t>
            </w:r>
          </w:p>
        </w:tc>
        <w:tc>
          <w:tcPr>
            <w:tcW w:w="120" w:type="dxa"/>
            <w:vAlign w:val="bottom"/>
          </w:tcPr>
          <w:p>
            <w:pPr>
              <w:spacing w:after="0"/>
              <w:rPr>
                <w:sz w:val="14"/>
                <w:szCs w:val="1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color w:val="auto"/>
                <w:w w:val="95"/>
              </w:rPr>
              <w:t>Common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Capital in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Common</w:t>
            </w:r>
          </w:p>
        </w:tc>
        <w:tc>
          <w:tcPr>
            <w:tcW w:w="280" w:type="dxa"/>
            <w:vAlign w:val="bottom"/>
          </w:tcPr>
          <w:p>
            <w:pPr>
              <w:spacing w:after="0"/>
              <w:rPr>
                <w:sz w:val="12"/>
                <w:szCs w:val="12"/>
                <w:color w:val="auto"/>
              </w:rPr>
            </w:pPr>
          </w:p>
        </w:tc>
        <w:tc>
          <w:tcPr>
            <w:tcW w:w="122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Stock-</w:t>
            </w:r>
          </w:p>
        </w:tc>
        <w:tc>
          <w:tcPr>
            <w:tcW w:w="120" w:type="dxa"/>
            <w:vAlign w:val="bottom"/>
          </w:tcPr>
          <w:p>
            <w:pPr>
              <w:spacing w:after="0"/>
              <w:rPr>
                <w:sz w:val="12"/>
                <w:szCs w:val="12"/>
                <w:color w:val="auto"/>
              </w:rPr>
            </w:pPr>
          </w:p>
        </w:tc>
        <w:tc>
          <w:tcPr>
            <w:tcW w:w="78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1"/>
              </w:rPr>
              <w:t>Stock</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Excess of</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2"/>
                <w:szCs w:val="12"/>
                <w:color w:val="auto"/>
              </w:rPr>
            </w:pPr>
          </w:p>
        </w:tc>
        <w:tc>
          <w:tcPr>
            <w:tcW w:w="1020" w:type="dxa"/>
            <w:vAlign w:val="bottom"/>
            <w:gridSpan w:val="2"/>
          </w:tcPr>
          <w:p>
            <w:pPr>
              <w:jc w:val="center"/>
              <w:ind w:right="328"/>
              <w:spacing w:after="0" w:line="149" w:lineRule="exact"/>
              <w:rPr>
                <w:sz w:val="20"/>
                <w:szCs w:val="20"/>
                <w:color w:val="auto"/>
              </w:rPr>
            </w:pPr>
            <w:r>
              <w:rPr>
                <w:rFonts w:ascii="Arial" w:cs="Arial" w:eastAsia="Arial" w:hAnsi="Arial"/>
                <w:sz w:val="14"/>
                <w:szCs w:val="14"/>
                <w:color w:val="auto"/>
                <w:w w:val="90"/>
              </w:rPr>
              <w:t>Treasury</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280" w:type="dxa"/>
            <w:vAlign w:val="bottom"/>
          </w:tcPr>
          <w:p>
            <w:pPr>
              <w:spacing w:after="0"/>
              <w:rPr>
                <w:sz w:val="12"/>
                <w:szCs w:val="12"/>
                <w:color w:val="auto"/>
              </w:rPr>
            </w:pPr>
          </w:p>
        </w:tc>
        <w:tc>
          <w:tcPr>
            <w:tcW w:w="1220" w:type="dxa"/>
            <w:vAlign w:val="bottom"/>
            <w:gridSpan w:val="2"/>
          </w:tcPr>
          <w:p>
            <w:pPr>
              <w:jc w:val="right"/>
              <w:ind w:right="428"/>
              <w:spacing w:after="0" w:line="149" w:lineRule="exact"/>
              <w:rPr>
                <w:sz w:val="20"/>
                <w:szCs w:val="20"/>
                <w:color w:val="auto"/>
              </w:rPr>
            </w:pPr>
            <w:r>
              <w:rPr>
                <w:rFonts w:ascii="Arial" w:cs="Arial" w:eastAsia="Arial" w:hAnsi="Arial"/>
                <w:sz w:val="14"/>
                <w:szCs w:val="14"/>
                <w:color w:val="auto"/>
              </w:rPr>
              <w:t>Common</w:t>
            </w:r>
          </w:p>
        </w:tc>
        <w:tc>
          <w:tcPr>
            <w:tcW w:w="120" w:type="dxa"/>
            <w:vAlign w:val="bottom"/>
          </w:tcPr>
          <w:p>
            <w:pPr>
              <w:spacing w:after="0"/>
              <w:rPr>
                <w:sz w:val="12"/>
                <w:szCs w:val="12"/>
                <w:color w:val="auto"/>
              </w:rPr>
            </w:pPr>
          </w:p>
        </w:tc>
        <w:tc>
          <w:tcPr>
            <w:tcW w:w="78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1"/>
              </w:rPr>
              <w:t>Par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Par</w:t>
            </w:r>
          </w:p>
        </w:tc>
        <w:tc>
          <w:tcPr>
            <w:tcW w:w="12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5"/>
              </w:rPr>
              <w:t>(Accumulated</w:t>
            </w:r>
          </w:p>
        </w:tc>
        <w:tc>
          <w:tcPr>
            <w:tcW w:w="140" w:type="dxa"/>
            <w:vAlign w:val="bottom"/>
          </w:tcPr>
          <w:p>
            <w:pPr>
              <w:spacing w:after="0"/>
              <w:rPr>
                <w:sz w:val="12"/>
                <w:szCs w:val="12"/>
                <w:color w:val="auto"/>
              </w:rPr>
            </w:pPr>
          </w:p>
        </w:tc>
        <w:tc>
          <w:tcPr>
            <w:tcW w:w="1020" w:type="dxa"/>
            <w:vAlign w:val="bottom"/>
            <w:gridSpan w:val="2"/>
          </w:tcPr>
          <w:p>
            <w:pPr>
              <w:jc w:val="center"/>
              <w:ind w:right="328"/>
              <w:spacing w:after="0" w:line="149" w:lineRule="exact"/>
              <w:rPr>
                <w:sz w:val="20"/>
                <w:szCs w:val="20"/>
                <w:color w:val="auto"/>
              </w:rPr>
            </w:pPr>
            <w:r>
              <w:rPr>
                <w:rFonts w:ascii="Arial" w:cs="Arial" w:eastAsia="Arial" w:hAnsi="Arial"/>
                <w:sz w:val="14"/>
                <w:szCs w:val="14"/>
                <w:color w:val="auto"/>
                <w:w w:val="95"/>
              </w:rPr>
              <w:t>Stock-</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5"/>
                <w:szCs w:val="15"/>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89"/>
              </w:rPr>
              <w:t>Value</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Value</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Deficit)</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5"/>
              </w:rPr>
              <w:t>Common</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5"/>
                <w:szCs w:val="15"/>
                <w:color w:val="auto"/>
              </w:rPr>
            </w:pPr>
          </w:p>
        </w:tc>
      </w:tr>
      <w:tr>
        <w:trPr>
          <w:trHeight w:val="204"/>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w w:val="92"/>
              </w:rPr>
              <w:t>(In Thousands)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900" w:type="dxa"/>
            <w:vAlign w:val="bottom"/>
          </w:tcPr>
          <w:p>
            <w:pPr>
              <w:jc w:val="right"/>
              <w:spacing w:after="0"/>
              <w:rPr>
                <w:sz w:val="20"/>
                <w:szCs w:val="20"/>
                <w:color w:val="auto"/>
              </w:rPr>
            </w:pPr>
            <w:r>
              <w:rPr>
                <w:rFonts w:ascii="Arial" w:cs="Arial" w:eastAsia="Arial" w:hAnsi="Arial"/>
                <w:sz w:val="14"/>
                <w:szCs w:val="14"/>
                <w:color w:val="auto"/>
              </w:rPr>
              <w:t>91,168</w:t>
            </w:r>
          </w:p>
        </w:tc>
        <w:tc>
          <w:tcPr>
            <w:tcW w:w="1500" w:type="dxa"/>
            <w:vAlign w:val="bottom"/>
            <w:gridSpan w:val="3"/>
          </w:tcPr>
          <w:p>
            <w:pPr>
              <w:jc w:val="right"/>
              <w:ind w:right="148"/>
              <w:spacing w:after="0"/>
              <w:rPr>
                <w:sz w:val="20"/>
                <w:szCs w:val="20"/>
                <w:color w:val="auto"/>
              </w:rPr>
            </w:pPr>
            <w:r>
              <w:rPr>
                <w:rFonts w:ascii="Arial" w:cs="Arial" w:eastAsia="Arial" w:hAnsi="Arial"/>
                <w:sz w:val="14"/>
                <w:szCs w:val="14"/>
                <w:color w:val="auto"/>
              </w:rPr>
              <w:t>(14,888 )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9,117</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497,179</w:t>
            </w:r>
          </w:p>
        </w:tc>
        <w:tc>
          <w:tcPr>
            <w:tcW w:w="24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199,092</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(189,515 )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515,873</w:t>
            </w:r>
          </w:p>
        </w:tc>
        <w:tc>
          <w:tcPr>
            <w:tcW w:w="60" w:type="dxa"/>
            <w:vAlign w:val="bottom"/>
          </w:tcPr>
          <w:p>
            <w:pPr>
              <w:spacing w:after="0"/>
              <w:rPr>
                <w:sz w:val="16"/>
                <w:szCs w:val="16"/>
                <w:color w:val="auto"/>
              </w:rPr>
            </w:pPr>
          </w:p>
        </w:tc>
      </w:tr>
      <w:tr>
        <w:trPr>
          <w:trHeight w:val="176"/>
        </w:trPr>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15,901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15,901</w:t>
            </w:r>
          </w:p>
        </w:tc>
        <w:tc>
          <w:tcPr>
            <w:tcW w:w="6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719</w:t>
            </w:r>
          </w:p>
        </w:tc>
        <w:tc>
          <w:tcPr>
            <w:tcW w:w="60" w:type="dxa"/>
            <w:vAlign w:val="bottom"/>
          </w:tcPr>
          <w:p>
            <w:pPr>
              <w:spacing w:after="0"/>
              <w:rPr>
                <w:sz w:val="15"/>
                <w:szCs w:val="15"/>
                <w:color w:val="auto"/>
              </w:rPr>
            </w:pPr>
          </w:p>
        </w:tc>
      </w:tr>
      <w:tr>
        <w:trPr>
          <w:trHeight w:val="182"/>
        </w:trPr>
        <w:tc>
          <w:tcPr>
            <w:tcW w:w="9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(682 )</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309"/>
        </w:trPr>
        <w:tc>
          <w:tcPr>
            <w:tcW w:w="900" w:type="dxa"/>
            <w:vAlign w:val="bottom"/>
          </w:tcPr>
          <w:p>
            <w:pPr>
              <w:spacing w:after="0"/>
              <w:rPr>
                <w:sz w:val="24"/>
                <w:szCs w:val="24"/>
                <w:color w:val="auto"/>
              </w:rPr>
            </w:pPr>
          </w:p>
        </w:tc>
        <w:tc>
          <w:tcPr>
            <w:tcW w:w="1500" w:type="dxa"/>
            <w:vAlign w:val="bottom"/>
            <w:gridSpan w:val="3"/>
          </w:tcPr>
          <w:p>
            <w:pPr>
              <w:jc w:val="right"/>
              <w:ind w:right="148"/>
              <w:spacing w:after="0"/>
              <w:rPr>
                <w:sz w:val="20"/>
                <w:szCs w:val="20"/>
                <w:color w:val="auto"/>
              </w:rPr>
            </w:pPr>
            <w:r>
              <w:rPr>
                <w:rFonts w:ascii="Arial" w:cs="Arial" w:eastAsia="Arial" w:hAnsi="Arial"/>
                <w:sz w:val="14"/>
                <w:szCs w:val="14"/>
                <w:color w:val="auto"/>
              </w:rPr>
              <w:t>(204 )</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(2,541 )</w:t>
            </w: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(2,541 )</w:t>
            </w:r>
          </w:p>
        </w:tc>
      </w:tr>
      <w:tr>
        <w:trPr>
          <w:trHeight w:val="164"/>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91,168</w:t>
            </w:r>
          </w:p>
        </w:tc>
        <w:tc>
          <w:tcPr>
            <w:tcW w:w="28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(15,039</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9,117</w:t>
            </w: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497,216</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214,993</w:t>
            </w: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(191,374</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529,952</w:t>
            </w:r>
          </w:p>
        </w:tc>
        <w:tc>
          <w:tcPr>
            <w:tcW w:w="60" w:type="dxa"/>
            <w:vAlign w:val="bottom"/>
          </w:tcPr>
          <w:p>
            <w:pPr>
              <w:spacing w:after="0"/>
              <w:rPr>
                <w:sz w:val="14"/>
                <w:szCs w:val="14"/>
                <w:color w:val="auto"/>
              </w:rPr>
            </w:pPr>
          </w:p>
        </w:tc>
      </w:tr>
      <w:tr>
        <w:trPr>
          <w:trHeight w:val="175"/>
        </w:trPr>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25,095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25,095</w:t>
            </w:r>
          </w:p>
        </w:tc>
        <w:tc>
          <w:tcPr>
            <w:tcW w:w="6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1,927</w:t>
            </w:r>
          </w:p>
        </w:tc>
        <w:tc>
          <w:tcPr>
            <w:tcW w:w="60" w:type="dxa"/>
            <w:vAlign w:val="bottom"/>
          </w:tcPr>
          <w:p>
            <w:pPr>
              <w:spacing w:after="0"/>
              <w:rPr>
                <w:sz w:val="15"/>
                <w:szCs w:val="15"/>
                <w:color w:val="auto"/>
              </w:rPr>
            </w:pPr>
          </w:p>
        </w:tc>
      </w:tr>
      <w:tr>
        <w:trPr>
          <w:trHeight w:val="182"/>
        </w:trPr>
        <w:tc>
          <w:tcPr>
            <w:tcW w:w="900" w:type="dxa"/>
            <w:vAlign w:val="bottom"/>
          </w:tcPr>
          <w:p>
            <w:pPr>
              <w:spacing w:after="0"/>
              <w:rPr>
                <w:sz w:val="15"/>
                <w:szCs w:val="15"/>
                <w:color w:val="auto"/>
              </w:rPr>
            </w:pPr>
          </w:p>
        </w:tc>
        <w:tc>
          <w:tcPr>
            <w:tcW w:w="1500" w:type="dxa"/>
            <w:vAlign w:val="bottom"/>
            <w:gridSpan w:val="3"/>
          </w:tcPr>
          <w:p>
            <w:pPr>
              <w:jc w:val="right"/>
              <w:ind w:right="148"/>
              <w:spacing w:after="0"/>
              <w:rPr>
                <w:sz w:val="20"/>
                <w:szCs w:val="20"/>
                <w:color w:val="auto"/>
              </w:rPr>
            </w:pPr>
            <w:r>
              <w:rPr>
                <w:rFonts w:ascii="Arial" w:cs="Arial" w:eastAsia="Arial" w:hAnsi="Arial"/>
                <w:sz w:val="14"/>
                <w:szCs w:val="14"/>
                <w:color w:val="auto"/>
              </w:rPr>
              <w:t>(1,795 )</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(17,218 )</w:t>
            </w:r>
          </w:p>
        </w:tc>
        <w:tc>
          <w:tcPr>
            <w:tcW w:w="2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(17,218 )</w:t>
            </w:r>
          </w:p>
        </w:tc>
      </w:tr>
      <w:tr>
        <w:trPr>
          <w:trHeight w:val="324"/>
        </w:trPr>
        <w:tc>
          <w:tcPr>
            <w:tcW w:w="9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(626 )</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w:t>
            </w:r>
          </w:p>
        </w:tc>
        <w:tc>
          <w:tcPr>
            <w:tcW w:w="60" w:type="dxa"/>
            <w:vAlign w:val="bottom"/>
          </w:tcPr>
          <w:p>
            <w:pPr>
              <w:spacing w:after="0"/>
              <w:rPr>
                <w:sz w:val="24"/>
                <w:szCs w:val="24"/>
                <w:color w:val="auto"/>
              </w:rPr>
            </w:pPr>
          </w:p>
        </w:tc>
      </w:tr>
      <w:tr>
        <w:trPr>
          <w:trHeight w:val="309"/>
        </w:trPr>
        <w:tc>
          <w:tcPr>
            <w:tcW w:w="900" w:type="dxa"/>
            <w:vAlign w:val="bottom"/>
          </w:tcPr>
          <w:p>
            <w:pPr>
              <w:spacing w:after="0"/>
              <w:rPr>
                <w:sz w:val="24"/>
                <w:szCs w:val="24"/>
                <w:color w:val="auto"/>
              </w:rPr>
            </w:pPr>
          </w:p>
        </w:tc>
        <w:tc>
          <w:tcPr>
            <w:tcW w:w="1500" w:type="dxa"/>
            <w:vAlign w:val="bottom"/>
            <w:gridSpan w:val="3"/>
          </w:tcPr>
          <w:p>
            <w:pPr>
              <w:jc w:val="right"/>
              <w:ind w:right="148"/>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(65 )</w:t>
            </w: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(65 )</w:t>
            </w:r>
          </w:p>
        </w:tc>
      </w:tr>
      <w:tr>
        <w:trPr>
          <w:trHeight w:val="169"/>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91,168</w:t>
            </w:r>
          </w:p>
        </w:tc>
        <w:tc>
          <w:tcPr>
            <w:tcW w:w="2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(16,783</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9,117</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498,517</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240,088</w:t>
            </w: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(207,925</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539,797</w:t>
            </w:r>
          </w:p>
        </w:tc>
        <w:tc>
          <w:tcPr>
            <w:tcW w:w="60" w:type="dxa"/>
            <w:vAlign w:val="bottom"/>
          </w:tcPr>
          <w:p>
            <w:pPr>
              <w:spacing w:after="0"/>
              <w:rPr>
                <w:sz w:val="14"/>
                <w:szCs w:val="14"/>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6"/>
        </w:trPr>
        <w:tc>
          <w:tcPr>
            <w:tcW w:w="900" w:type="dxa"/>
            <w:vAlign w:val="bottom"/>
          </w:tcPr>
          <w:p>
            <w:pPr>
              <w:jc w:val="right"/>
              <w:spacing w:after="0"/>
              <w:rPr>
                <w:sz w:val="20"/>
                <w:szCs w:val="20"/>
                <w:color w:val="auto"/>
              </w:rPr>
            </w:pPr>
            <w:r>
              <w:rPr>
                <w:rFonts w:ascii="Arial" w:cs="Arial" w:eastAsia="Arial" w:hAnsi="Arial"/>
                <w:sz w:val="14"/>
                <w:szCs w:val="14"/>
                <w:color w:val="auto"/>
              </w:rPr>
              <w:t>91,168</w:t>
            </w:r>
          </w:p>
        </w:tc>
        <w:tc>
          <w:tcPr>
            <w:tcW w:w="1500" w:type="dxa"/>
            <w:vAlign w:val="bottom"/>
            <w:gridSpan w:val="3"/>
          </w:tcPr>
          <w:p>
            <w:pPr>
              <w:jc w:val="right"/>
              <w:ind w:right="148"/>
              <w:spacing w:after="0"/>
              <w:rPr>
                <w:sz w:val="20"/>
                <w:szCs w:val="20"/>
                <w:color w:val="auto"/>
              </w:rPr>
            </w:pPr>
            <w:r>
              <w:rPr>
                <w:rFonts w:ascii="Arial" w:cs="Arial" w:eastAsia="Arial" w:hAnsi="Arial"/>
                <w:sz w:val="14"/>
                <w:szCs w:val="14"/>
                <w:color w:val="auto"/>
              </w:rPr>
              <w:t>(1,375 )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9,117</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493,161</w:t>
            </w:r>
          </w:p>
        </w:tc>
        <w:tc>
          <w:tcPr>
            <w:tcW w:w="24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(31,255 )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(10,533 )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460,490</w:t>
            </w:r>
          </w:p>
        </w:tc>
        <w:tc>
          <w:tcPr>
            <w:tcW w:w="60" w:type="dxa"/>
            <w:vAlign w:val="bottom"/>
          </w:tcPr>
          <w:p>
            <w:pPr>
              <w:spacing w:after="0"/>
              <w:rPr>
                <w:sz w:val="24"/>
                <w:szCs w:val="24"/>
                <w:color w:val="auto"/>
              </w:rPr>
            </w:pPr>
          </w:p>
        </w:tc>
      </w:tr>
      <w:tr>
        <w:trPr>
          <w:trHeight w:val="176"/>
        </w:trPr>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58,766</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58,766</w:t>
            </w:r>
          </w:p>
        </w:tc>
        <w:tc>
          <w:tcPr>
            <w:tcW w:w="6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803</w:t>
            </w:r>
          </w:p>
        </w:tc>
        <w:tc>
          <w:tcPr>
            <w:tcW w:w="60" w:type="dxa"/>
            <w:vAlign w:val="bottom"/>
          </w:tcPr>
          <w:p>
            <w:pPr>
              <w:spacing w:after="0"/>
              <w:rPr>
                <w:sz w:val="15"/>
                <w:szCs w:val="15"/>
                <w:color w:val="auto"/>
              </w:rPr>
            </w:pPr>
          </w:p>
        </w:tc>
      </w:tr>
      <w:tr>
        <w:trPr>
          <w:trHeight w:val="181"/>
        </w:trPr>
        <w:tc>
          <w:tcPr>
            <w:tcW w:w="900" w:type="dxa"/>
            <w:vAlign w:val="bottom"/>
          </w:tcPr>
          <w:p>
            <w:pPr>
              <w:spacing w:after="0"/>
              <w:rPr>
                <w:sz w:val="15"/>
                <w:szCs w:val="15"/>
                <w:color w:val="auto"/>
              </w:rPr>
            </w:pPr>
          </w:p>
        </w:tc>
        <w:tc>
          <w:tcPr>
            <w:tcW w:w="1500" w:type="dxa"/>
            <w:vAlign w:val="bottom"/>
            <w:gridSpan w:val="3"/>
          </w:tcPr>
          <w:p>
            <w:pPr>
              <w:jc w:val="right"/>
              <w:ind w:right="148"/>
              <w:spacing w:after="0"/>
              <w:rPr>
                <w:sz w:val="20"/>
                <w:szCs w:val="20"/>
                <w:color w:val="auto"/>
              </w:rPr>
            </w:pPr>
            <w:r>
              <w:rPr>
                <w:rFonts w:ascii="Arial" w:cs="Arial" w:eastAsia="Arial" w:hAnsi="Arial"/>
                <w:sz w:val="14"/>
                <w:szCs w:val="14"/>
                <w:color w:val="auto"/>
              </w:rPr>
              <w:t>(229 )</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(1,871 )</w:t>
            </w:r>
          </w:p>
        </w:tc>
        <w:tc>
          <w:tcPr>
            <w:tcW w:w="2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(1,871 )</w:t>
            </w:r>
          </w:p>
        </w:tc>
      </w:tr>
      <w:tr>
        <w:trPr>
          <w:trHeight w:val="164"/>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91,168</w:t>
            </w:r>
          </w:p>
        </w:tc>
        <w:tc>
          <w:tcPr>
            <w:tcW w:w="28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(1,604</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9,117</w:t>
            </w: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493,964</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27,511</w:t>
            </w: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(12,404</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518,188</w:t>
            </w:r>
          </w:p>
        </w:tc>
        <w:tc>
          <w:tcPr>
            <w:tcW w:w="60" w:type="dxa"/>
            <w:vAlign w:val="bottom"/>
          </w:tcPr>
          <w:p>
            <w:pPr>
              <w:spacing w:after="0"/>
              <w:rPr>
                <w:sz w:val="14"/>
                <w:szCs w:val="14"/>
                <w:color w:val="auto"/>
              </w:rPr>
            </w:pPr>
          </w:p>
        </w:tc>
      </w:tr>
      <w:tr>
        <w:trPr>
          <w:trHeight w:val="175"/>
        </w:trPr>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103,399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103,399</w:t>
            </w:r>
          </w:p>
        </w:tc>
        <w:tc>
          <w:tcPr>
            <w:tcW w:w="6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1,366</w:t>
            </w:r>
          </w:p>
        </w:tc>
        <w:tc>
          <w:tcPr>
            <w:tcW w:w="60" w:type="dxa"/>
            <w:vAlign w:val="bottom"/>
          </w:tcPr>
          <w:p>
            <w:pPr>
              <w:spacing w:after="0"/>
              <w:rPr>
                <w:sz w:val="15"/>
                <w:szCs w:val="15"/>
                <w:color w:val="auto"/>
              </w:rPr>
            </w:pPr>
          </w:p>
        </w:tc>
      </w:tr>
      <w:tr>
        <w:trPr>
          <w:trHeight w:val="181"/>
        </w:trPr>
        <w:tc>
          <w:tcPr>
            <w:tcW w:w="900" w:type="dxa"/>
            <w:vAlign w:val="bottom"/>
          </w:tcPr>
          <w:p>
            <w:pPr>
              <w:spacing w:after="0"/>
              <w:rPr>
                <w:sz w:val="15"/>
                <w:szCs w:val="15"/>
                <w:color w:val="auto"/>
              </w:rPr>
            </w:pPr>
          </w:p>
        </w:tc>
        <w:tc>
          <w:tcPr>
            <w:tcW w:w="1500" w:type="dxa"/>
            <w:vAlign w:val="bottom"/>
            <w:gridSpan w:val="3"/>
          </w:tcPr>
          <w:p>
            <w:pPr>
              <w:jc w:val="right"/>
              <w:ind w:right="148"/>
              <w:spacing w:after="0"/>
              <w:rPr>
                <w:sz w:val="20"/>
                <w:szCs w:val="20"/>
                <w:color w:val="auto"/>
              </w:rPr>
            </w:pPr>
            <w:r>
              <w:rPr>
                <w:rFonts w:ascii="Arial" w:cs="Arial" w:eastAsia="Arial" w:hAnsi="Arial"/>
                <w:sz w:val="14"/>
                <w:szCs w:val="14"/>
                <w:color w:val="auto"/>
              </w:rPr>
              <w:t>(713 )</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(13,394 )</w:t>
            </w:r>
          </w:p>
        </w:tc>
        <w:tc>
          <w:tcPr>
            <w:tcW w:w="2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(13,394 )</w:t>
            </w:r>
          </w:p>
        </w:tc>
      </w:tr>
      <w:tr>
        <w:trPr>
          <w:trHeight w:val="169"/>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91,168</w:t>
            </w:r>
          </w:p>
        </w:tc>
        <w:tc>
          <w:tcPr>
            <w:tcW w:w="2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(2,317</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9,117</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495,330</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130,910</w:t>
            </w: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(25,798</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609,559</w:t>
            </w:r>
          </w:p>
        </w:tc>
        <w:tc>
          <w:tcPr>
            <w:tcW w:w="60" w:type="dxa"/>
            <w:vAlign w:val="bottom"/>
          </w:tcPr>
          <w:p>
            <w:pPr>
              <w:spacing w:after="0"/>
              <w:rPr>
                <w:sz w:val="14"/>
                <w:szCs w:val="14"/>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-2802255</wp:posOffset>
            </wp:positionV>
            <wp:extent cx="7132320" cy="111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-2579370</wp:posOffset>
            </wp:positionV>
            <wp:extent cx="7132320" cy="111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-2357120</wp:posOffset>
            </wp:positionV>
            <wp:extent cx="7132320" cy="428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-1816735</wp:posOffset>
            </wp:positionV>
            <wp:extent cx="7132320" cy="1111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-1499870</wp:posOffset>
            </wp:positionV>
            <wp:extent cx="7132320" cy="5657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56578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-822325</wp:posOffset>
            </wp:positionV>
            <wp:extent cx="7132320" cy="111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-591185</wp:posOffset>
            </wp:positionV>
            <wp:extent cx="7132320" cy="111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-368300</wp:posOffset>
            </wp:positionV>
            <wp:extent cx="7132320" cy="111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-136525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4" w:lineRule="exact"/>
        <w:rPr>
          <w:sz w:val="20"/>
          <w:szCs w:val="20"/>
          <w:color w:val="auto"/>
        </w:rPr>
      </w:pPr>
    </w:p>
    <w:p>
      <w:pPr>
        <w:jc w:val="center"/>
        <w:ind w:right="22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80" w:space="260"/>
            <w:col w:w="8800"/>
          </w:cols>
          <w:pgMar w:left="340" w:top="337" w:right="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gridSpan w:val="4"/>
          </w:tcPr>
          <w:p>
            <w:pPr>
              <w:jc w:val="center"/>
              <w:ind w:left="570"/>
              <w:spacing w:after="0"/>
              <w:rPr>
                <w:sz w:val="20"/>
                <w:szCs w:val="20"/>
                <w:color w:val="auto"/>
              </w:rPr>
            </w:pPr>
            <w:r>
              <w:rPr>
                <w:rFonts w:ascii="Arial" w:cs="Arial" w:eastAsia="Arial" w:hAnsi="Arial"/>
                <w:sz w:val="18"/>
                <w:szCs w:val="18"/>
                <w:color w:val="auto"/>
                <w:w w:val="91"/>
              </w:rPr>
              <w:t>Six Months Ended</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7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gridSpan w:val="4"/>
          </w:tcPr>
          <w:p>
            <w:pPr>
              <w:jc w:val="center"/>
              <w:ind w:left="590"/>
              <w:spacing w:after="0"/>
              <w:rPr>
                <w:sz w:val="20"/>
                <w:szCs w:val="20"/>
                <w:color w:val="auto"/>
              </w:rPr>
            </w:pPr>
            <w:r>
              <w:rPr>
                <w:rFonts w:ascii="Arial" w:cs="Arial" w:eastAsia="Arial" w:hAnsi="Arial"/>
                <w:sz w:val="18"/>
                <w:szCs w:val="18"/>
                <w:color w:val="auto"/>
                <w:w w:val="86"/>
              </w:rPr>
              <w:t>June 30,</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76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2022</w:t>
            </w:r>
          </w:p>
        </w:tc>
        <w:tc>
          <w:tcPr>
            <w:tcW w:w="140" w:type="dxa"/>
            <w:vAlign w:val="bottom"/>
          </w:tcPr>
          <w:p>
            <w:pPr>
              <w:spacing w:after="0"/>
              <w:rPr>
                <w:sz w:val="21"/>
                <w:szCs w:val="21"/>
                <w:color w:val="auto"/>
              </w:rPr>
            </w:pPr>
          </w:p>
        </w:tc>
      </w:tr>
      <w:tr>
        <w:trPr>
          <w:trHeight w:val="220"/>
        </w:trPr>
        <w:tc>
          <w:tcPr>
            <w:tcW w:w="7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gridSpan w:val="4"/>
          </w:tcPr>
          <w:p>
            <w:pPr>
              <w:jc w:val="center"/>
              <w:ind w:left="590"/>
              <w:spacing w:after="0"/>
              <w:rPr>
                <w:sz w:val="20"/>
                <w:szCs w:val="20"/>
                <w:color w:val="auto"/>
              </w:rPr>
            </w:pPr>
            <w:r>
              <w:rPr>
                <w:rFonts w:ascii="Arial" w:cs="Arial" w:eastAsia="Arial" w:hAnsi="Arial"/>
                <w:sz w:val="16"/>
                <w:szCs w:val="16"/>
                <w:color w:val="auto"/>
                <w:w w:val="92"/>
              </w:rPr>
              <w:t>(In Thousands)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40,996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162,165</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7,736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30,600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(gain) on extinguishment of debt</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(8,644 )</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Depreciation and amortization of property, plant and equipment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34,416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33,883</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intangible and other assets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2,168</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(850 )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Cash provided (used) by changes in assets and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24,937</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(8,631 )</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8,171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(19,392 )</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insurance</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Supplies, prepaid items and other</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(4,749 )</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(14,789 )</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(4,054 )</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(1,008 )</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 and other liabilities</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(4,127 )</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(3,151 )</w:t>
            </w:r>
          </w:p>
        </w:tc>
      </w:tr>
      <w:tr>
        <w:trPr>
          <w:trHeight w:val="230"/>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102,949</w:t>
            </w: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220,813</w:t>
            </w:r>
          </w:p>
        </w:tc>
        <w:tc>
          <w:tcPr>
            <w:tcW w:w="140" w:type="dxa"/>
            <w:vAlign w:val="bottom"/>
            <w:tcBorders>
              <w:top w:val="single" w:sz="8" w:color="CFF0FC"/>
            </w:tcBorders>
          </w:tcPr>
          <w:p>
            <w:pPr>
              <w:spacing w:after="0"/>
              <w:rPr>
                <w:sz w:val="20"/>
                <w:szCs w:val="20"/>
                <w:color w:val="auto"/>
              </w:rPr>
            </w:pPr>
          </w:p>
        </w:tc>
      </w:tr>
      <w:tr>
        <w:trPr>
          <w:trHeight w:val="249"/>
        </w:trPr>
        <w:tc>
          <w:tcPr>
            <w:tcW w:w="76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(32,263 )</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(16,431 )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Proceeds from short-term investments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264,212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short-term investments</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(201,751 )</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(325,566 )</w:t>
            </w: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1"/>
                <w:szCs w:val="21"/>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(used) by investing activities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30,208</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(341,934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Net proceeds from 6.25% senior secured notes</w:t>
            </w:r>
          </w:p>
        </w:tc>
        <w:tc>
          <w:tcPr>
            <w:tcW w:w="36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Repurchases of 6.25% senior secured notes</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(114,320 )</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Payments on other long-term debt</w:t>
            </w:r>
          </w:p>
        </w:tc>
        <w:tc>
          <w:tcPr>
            <w:tcW w:w="3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(6,800 )</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(8,907 )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short-term financing</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(11,016 )</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(7,034 )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Acquisition of treasury stock, net</w:t>
            </w:r>
          </w:p>
        </w:tc>
        <w:tc>
          <w:tcPr>
            <w:tcW w:w="3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(19,718 )</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(15,264 )</w:t>
            </w:r>
          </w:p>
        </w:tc>
      </w:tr>
      <w:tr>
        <w:trPr>
          <w:trHeight w:val="221"/>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debt-related costs, including</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extinguishment costs</w:t>
            </w:r>
          </w:p>
        </w:tc>
        <w:tc>
          <w:tcPr>
            <w:tcW w:w="360" w:type="dxa"/>
            <w:vAlign w:val="bottom"/>
            <w:shd w:val="clear" w:color="auto" w:fill="CFF0FC"/>
          </w:tcPr>
          <w:p>
            <w:pPr>
              <w:spacing w:after="0"/>
              <w:rPr>
                <w:sz w:val="21"/>
                <w:szCs w:val="21"/>
                <w:color w:val="auto"/>
              </w:rPr>
            </w:pPr>
          </w:p>
        </w:tc>
        <w:tc>
          <w:tcPr>
            <w:tcW w:w="156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(4,454 )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Other financing activities</w:t>
            </w:r>
          </w:p>
        </w:tc>
        <w:tc>
          <w:tcPr>
            <w:tcW w:w="36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(133 )</w:t>
            </w:r>
          </w:p>
        </w:tc>
      </w:tr>
      <w:tr>
        <w:trPr>
          <w:trHeight w:val="243"/>
        </w:trPr>
        <w:tc>
          <w:tcPr>
            <w:tcW w:w="7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(151,854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164,208</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(18,697 )</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43,087</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63,769</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125,231</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-3754120</wp:posOffset>
            </wp:positionV>
            <wp:extent cx="8572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-3754120</wp:posOffset>
            </wp:positionV>
            <wp:extent cx="8572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-989330</wp:posOffset>
            </wp:positionV>
            <wp:extent cx="7145020" cy="3384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interim financial statements and notes of LSB have been prepared pursuant to the rules and regulations of the Securities and Exchange Commission (“SEC”). Pursuant to such rules and regulations, certain disclosures normally included in financial statements prepared in accordance with U.S. GAAP have been omitted. The accompanying unaudited interim financial statements and notes should be read in conjunction with the financial statements and notes included in the Company’s Form 10-K for the year ended December 31, 2022 (our “2022 Form 10-K”), filed with the SEC on February 23, 2023. The accompanying unaudited interim financial statements in this report reflect all adjustments that are, in the opinion of management, necessary for a fair statement of the Company’s results of operations and cash flows for the three-month and six-month periods ended June 30, 2023 and 2022 and the Company’s financial position as of June 30, 2023.</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Basis of Consolidation – </w:t>
      </w:r>
      <w:r>
        <w:rPr>
          <w:rFonts w:ascii="Arial" w:cs="Arial" w:eastAsia="Arial" w:hAnsi="Arial"/>
          <w:sz w:val="18"/>
          <w:szCs w:val="18"/>
          <w:color w:val="auto"/>
        </w:rPr>
        <w:t>LSB and its subsidiaries are consolidated in the accompanying condensed consolidated financial statements. LSB is a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no significant operations or assets other than cash, cash equivalents, short-term investments and investments in its subsidiaries. All material intercompany accounts and transactions have been eliminated. Certain prior period amounts reported in our condensed consolidated financial statements and notes thereto have been reclassified to conform to current period presentation.</w:t>
      </w:r>
    </w:p>
    <w:p>
      <w:pPr>
        <w:spacing w:after="0" w:line="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 </w:t>
      </w:r>
      <w:r>
        <w:rPr>
          <w:rFonts w:ascii="Arial" w:cs="Arial" w:eastAsia="Arial" w:hAnsi="Arial"/>
          <w:sz w:val="17"/>
          <w:szCs w:val="17"/>
          <w:color w:val="auto"/>
        </w:rPr>
        <w:t>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ammonium nitrate (“AN” and “HDAN”) and urea ammonium nitrate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Covestro in Baytown, Texas.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 Canada and the Caribbean.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7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U.S. GAAP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Repurchase Program – </w:t>
      </w:r>
      <w:r>
        <w:rPr>
          <w:rFonts w:ascii="Arial" w:cs="Arial" w:eastAsia="Arial" w:hAnsi="Arial"/>
          <w:sz w:val="16"/>
          <w:szCs w:val="16"/>
          <w:color w:val="auto"/>
        </w:rPr>
        <w:t>In May 2023, our Board of Directors (our “Board”) authorized a $150 million stock repurchase program. Total repurchase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remaining under the repurchase program was $133 million as of June 30, 2023. The repurchase program may be suspended, terminated or modified at any time for any reason, including market conditions, the cost of repurchasing securities, the availability of alternative investment opportunities, liquidity, and other factors deemed appropriate. The repurchase program does not obligate us to purchase any particular number or type of securities. During the second quarter of 2023, we repurchased approximately 1.8 million shares of common stock at an average cost of $9.59 per share.</w:t>
      </w: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Short-Term Investments - </w:t>
      </w:r>
      <w:r>
        <w:rPr>
          <w:rFonts w:ascii="Arial" w:cs="Arial" w:eastAsia="Arial" w:hAnsi="Arial"/>
          <w:sz w:val="18"/>
          <w:szCs w:val="18"/>
          <w:color w:val="auto"/>
        </w:rPr>
        <w:t>Investments, which consist of U.S. treasury bills with an original maturity up to and less than 52 weeks, are considered short-term investments and are classified as Level 1. We plan to hold these investments to maturity and have a history of holding investments to maturity. Due to the nature of these investments, as U.S. treasury securities, no impairment is anticipated.</w:t>
      </w:r>
    </w:p>
    <w:p>
      <w:pPr>
        <w:spacing w:after="0" w:line="6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 Our accounts receivable are presented at net realizable value. This value includes an appropriate allowance for estimated</w:t>
      </w:r>
      <w:r>
        <w:rPr>
          <w:rFonts w:ascii="Arial" w:cs="Arial" w:eastAsia="Arial" w:hAnsi="Arial"/>
          <w:sz w:val="17"/>
          <w:szCs w:val="17"/>
          <w:b w:val="1"/>
          <w:bCs w:val="1"/>
          <w:color w:val="auto"/>
        </w:rPr>
        <w:t xml:space="preserve"> </w:t>
      </w:r>
      <w:r>
        <w:rPr>
          <w:rFonts w:ascii="Arial" w:cs="Arial" w:eastAsia="Arial" w:hAnsi="Arial"/>
          <w:sz w:val="17"/>
          <w:szCs w:val="17"/>
          <w:color w:val="auto"/>
        </w:rPr>
        <w:t>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 and forward looking assessment, where applicable.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Derivatives, Hedges and Financial Instruments </w:t>
      </w:r>
      <w:r>
        <w:rPr>
          <w:rFonts w:ascii="Arial" w:cs="Arial" w:eastAsia="Arial" w:hAnsi="Arial"/>
          <w:sz w:val="18"/>
          <w:szCs w:val="18"/>
          <w:color w:val="auto"/>
        </w:rPr>
        <w:t>– Periodically, we entered into certain forward natural gas contracts. Whenever we have such derivative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outstanding, they are recognized in the balance sheet and measured at fair value. Changes in fair value of derivatives are recorded in results of operations unless the normal purchase or sale exceptions apply, or hedge accounting is elected.</w:t>
      </w:r>
    </w:p>
    <w:p>
      <w:pPr>
        <w:spacing w:after="0" w:line="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reported as an asset or a liability in the balance sheet. When applicable, we present the fair values of our derivative contracts under master netting agreements using a gross fair value presentation.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90"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13"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to U.S. GAAP are established by the Financial Accounting Standards Board (“FASB") in the form of accounting standards updates (“ASUs”) to the FASB’s Accounting Standards Codification. We consider the applicability and impact of all ASUs. ASUs issued and outstanding or that became effective since January 1, 2023 through the date of these financial statements were assessed and determined not to be applicable or are expected to have minimal impact on our condensed consolidated financial position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Arial" w:cs="Arial" w:eastAsia="Arial" w:hAnsi="Arial"/>
                <w:sz w:val="18"/>
                <w:szCs w:val="18"/>
                <w:b w:val="1"/>
                <w:bCs w:val="1"/>
                <w:color w:val="auto"/>
              </w:rPr>
              <w:t>2. Income Per Common Share</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right"/>
              <w:ind w:right="651"/>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jc w:val="right"/>
              <w:ind w:right="730"/>
              <w:spacing w:after="0"/>
              <w:rPr>
                <w:sz w:val="20"/>
                <w:szCs w:val="20"/>
                <w:color w:val="auto"/>
              </w:rPr>
            </w:pPr>
            <w:r>
              <w:rPr>
                <w:rFonts w:ascii="Arial" w:cs="Arial" w:eastAsia="Arial" w:hAnsi="Arial"/>
                <w:sz w:val="18"/>
                <w:szCs w:val="18"/>
                <w:color w:val="auto"/>
              </w:rPr>
              <w:t>Six Months Ended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gridSpan w:val="4"/>
          </w:tcPr>
          <w:p>
            <w:pPr>
              <w:jc w:val="right"/>
              <w:ind w:right="1111"/>
              <w:spacing w:after="0"/>
              <w:rPr>
                <w:sz w:val="20"/>
                <w:szCs w:val="20"/>
                <w:color w:val="auto"/>
              </w:rPr>
            </w:pPr>
            <w:r>
              <w:rPr>
                <w:rFonts w:ascii="Arial" w:cs="Arial" w:eastAsia="Arial" w:hAnsi="Arial"/>
                <w:sz w:val="18"/>
                <w:szCs w:val="18"/>
                <w:color w:val="auto"/>
              </w:rPr>
              <w:t>June 30,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gridSpan w:val="3"/>
          </w:tcPr>
          <w:p>
            <w:pPr>
              <w:jc w:val="right"/>
              <w:ind w:right="90"/>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4"/>
          </w:tcPr>
          <w:p>
            <w:pPr>
              <w:jc w:val="right"/>
              <w:ind w:right="10"/>
              <w:spacing w:after="0"/>
              <w:rPr>
                <w:sz w:val="20"/>
                <w:szCs w:val="20"/>
                <w:color w:val="auto"/>
              </w:rPr>
            </w:pPr>
            <w:r>
              <w:rPr>
                <w:rFonts w:ascii="Arial" w:cs="Arial" w:eastAsia="Arial" w:hAnsi="Arial"/>
                <w:sz w:val="16"/>
                <w:szCs w:val="16"/>
                <w:color w:val="auto"/>
                <w:w w:val="90"/>
              </w:rPr>
              <w:t>(In Thousands, Except Per Share Amounts)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25,095</w:t>
            </w:r>
          </w:p>
        </w:tc>
        <w:tc>
          <w:tcPr>
            <w:tcW w:w="2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103,399</w:t>
            </w:r>
          </w:p>
        </w:tc>
        <w:tc>
          <w:tcPr>
            <w:tcW w:w="3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40,996</w:t>
            </w:r>
          </w:p>
        </w:tc>
        <w:tc>
          <w:tcPr>
            <w:tcW w:w="3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Numerator for basic and diluted net income</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25,095</w:t>
            </w:r>
          </w:p>
        </w:tc>
        <w:tc>
          <w:tcPr>
            <w:tcW w:w="3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103,399</w:t>
            </w:r>
          </w:p>
        </w:tc>
        <w:tc>
          <w:tcPr>
            <w:tcW w:w="60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40,996</w:t>
            </w:r>
          </w:p>
        </w:tc>
        <w:tc>
          <w:tcPr>
            <w:tcW w:w="62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162,165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ind w:left="300"/>
              <w:spacing w:after="0" w:line="203" w:lineRule="exact"/>
              <w:rPr>
                <w:sz w:val="20"/>
                <w:szCs w:val="20"/>
                <w:color w:val="auto"/>
              </w:rPr>
            </w:pPr>
            <w:r>
              <w:rPr>
                <w:rFonts w:ascii="Arial" w:cs="Arial" w:eastAsia="Arial" w:hAnsi="Arial"/>
                <w:sz w:val="18"/>
                <w:szCs w:val="18"/>
                <w:color w:val="auto"/>
              </w:rPr>
              <w:t>per common share</w:t>
            </w:r>
          </w:p>
        </w:tc>
        <w:tc>
          <w:tcPr>
            <w:tcW w:w="320" w:type="dxa"/>
            <w:vAlign w:val="bottom"/>
            <w:vMerge w:val="continue"/>
            <w:shd w:val="clear" w:color="auto" w:fill="CFF0FC"/>
          </w:tcPr>
          <w:p>
            <w:pPr>
              <w:spacing w:after="0"/>
              <w:rPr>
                <w:sz w:val="21"/>
                <w:szCs w:val="21"/>
                <w:color w:val="auto"/>
              </w:rPr>
            </w:pPr>
          </w:p>
        </w:tc>
        <w:tc>
          <w:tcPr>
            <w:tcW w:w="1060" w:type="dxa"/>
            <w:vAlign w:val="bottom"/>
            <w:vMerge w:val="continue"/>
            <w:shd w:val="clear" w:color="auto" w:fill="CFF0FC"/>
          </w:tcPr>
          <w:p>
            <w:pPr>
              <w:spacing w:after="0"/>
              <w:rPr>
                <w:sz w:val="21"/>
                <w:szCs w:val="21"/>
                <w:color w:val="auto"/>
              </w:rPr>
            </w:pPr>
          </w:p>
        </w:tc>
        <w:tc>
          <w:tcPr>
            <w:tcW w:w="380" w:type="dxa"/>
            <w:vAlign w:val="bottom"/>
            <w:gridSpan w:val="2"/>
            <w:vMerge w:val="continue"/>
            <w:shd w:val="clear" w:color="auto" w:fill="CFF0FC"/>
          </w:tcPr>
          <w:p>
            <w:pPr>
              <w:spacing w:after="0"/>
              <w:rPr>
                <w:sz w:val="21"/>
                <w:szCs w:val="21"/>
                <w:color w:val="auto"/>
              </w:rPr>
            </w:pPr>
          </w:p>
        </w:tc>
        <w:tc>
          <w:tcPr>
            <w:tcW w:w="1260" w:type="dxa"/>
            <w:vAlign w:val="bottom"/>
            <w:vMerge w:val="continue"/>
            <w:shd w:val="clear" w:color="auto" w:fill="CFF0FC"/>
          </w:tcPr>
          <w:p>
            <w:pPr>
              <w:spacing w:after="0"/>
              <w:rPr>
                <w:sz w:val="21"/>
                <w:szCs w:val="21"/>
                <w:color w:val="auto"/>
              </w:rPr>
            </w:pPr>
          </w:p>
        </w:tc>
        <w:tc>
          <w:tcPr>
            <w:tcW w:w="600" w:type="dxa"/>
            <w:vAlign w:val="bottom"/>
            <w:gridSpan w:val="2"/>
            <w:vMerge w:val="continue"/>
            <w:shd w:val="clear" w:color="auto" w:fill="CFF0FC"/>
          </w:tcPr>
          <w:p>
            <w:pPr>
              <w:spacing w:after="0"/>
              <w:rPr>
                <w:sz w:val="21"/>
                <w:szCs w:val="21"/>
                <w:color w:val="auto"/>
              </w:rPr>
            </w:pPr>
          </w:p>
        </w:tc>
        <w:tc>
          <w:tcPr>
            <w:tcW w:w="1060" w:type="dxa"/>
            <w:vAlign w:val="bottom"/>
            <w:vMerge w:val="continue"/>
            <w:shd w:val="clear" w:color="auto" w:fill="CFF0FC"/>
          </w:tcPr>
          <w:p>
            <w:pPr>
              <w:spacing w:after="0"/>
              <w:rPr>
                <w:sz w:val="21"/>
                <w:szCs w:val="21"/>
                <w:color w:val="auto"/>
              </w:rPr>
            </w:pPr>
          </w:p>
        </w:tc>
        <w:tc>
          <w:tcPr>
            <w:tcW w:w="620" w:type="dxa"/>
            <w:vAlign w:val="bottom"/>
            <w:gridSpan w:val="2"/>
            <w:vMerge w:val="continue"/>
            <w:shd w:val="clear" w:color="auto" w:fill="CFF0FC"/>
          </w:tcPr>
          <w:p>
            <w:pPr>
              <w:spacing w:after="0"/>
              <w:rPr>
                <w:sz w:val="21"/>
                <w:szCs w:val="21"/>
                <w:color w:val="auto"/>
              </w:rPr>
            </w:pPr>
          </w:p>
        </w:tc>
        <w:tc>
          <w:tcPr>
            <w:tcW w:w="1020" w:type="dxa"/>
            <w:vAlign w:val="bottom"/>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0"/>
              <w:spacing w:after="0"/>
              <w:rPr>
                <w:sz w:val="20"/>
                <w:szCs w:val="20"/>
                <w:color w:val="auto"/>
              </w:rPr>
            </w:pPr>
            <w:r>
              <w:rPr>
                <w:rFonts w:ascii="Arial" w:cs="Arial" w:eastAsia="Arial" w:hAnsi="Arial"/>
                <w:sz w:val="18"/>
                <w:szCs w:val="18"/>
                <w:color w:val="auto"/>
              </w:rPr>
              <w:t>Denominator for basic net income per common</w:t>
            </w: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75,170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88,181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75,488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88,301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340"/>
              <w:spacing w:after="0" w:line="203" w:lineRule="exact"/>
              <w:rPr>
                <w:sz w:val="20"/>
                <w:szCs w:val="20"/>
                <w:color w:val="auto"/>
              </w:rPr>
            </w:pPr>
            <w:r>
              <w:rPr>
                <w:rFonts w:ascii="Arial" w:cs="Arial" w:eastAsia="Arial" w:hAnsi="Arial"/>
                <w:sz w:val="18"/>
                <w:szCs w:val="18"/>
                <w:color w:val="auto"/>
              </w:rPr>
              <w:t>share - adjusted weighted-average shares (1)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560"/>
              <w:spacing w:after="0"/>
              <w:rPr>
                <w:sz w:val="20"/>
                <w:szCs w:val="20"/>
                <w:color w:val="auto"/>
              </w:rPr>
            </w:pPr>
            <w:r>
              <w:rPr>
                <w:rFonts w:ascii="Arial" w:cs="Arial" w:eastAsia="Arial" w:hAnsi="Arial"/>
                <w:sz w:val="18"/>
                <w:szCs w:val="18"/>
                <w:color w:val="auto"/>
              </w:rPr>
              <w:t>Unvested restricted stock and stock units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Dilutive potential common shares</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80" w:type="dxa"/>
            <w:vAlign w:val="bottom"/>
          </w:tcPr>
          <w:p>
            <w:pPr>
              <w:ind w:left="200"/>
              <w:spacing w:after="0"/>
              <w:rPr>
                <w:sz w:val="20"/>
                <w:szCs w:val="20"/>
                <w:color w:val="auto"/>
              </w:rPr>
            </w:pPr>
            <w:r>
              <w:rPr>
                <w:rFonts w:ascii="Arial" w:cs="Arial" w:eastAsia="Arial" w:hAnsi="Arial"/>
                <w:sz w:val="18"/>
                <w:szCs w:val="18"/>
                <w:color w:val="auto"/>
              </w:rPr>
              <w:t>Denominator for diluted net income per</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common share - adjusted weighted-average</w:t>
            </w: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75,661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89,564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75,986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89,665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340"/>
              <w:spacing w:after="0" w:line="203" w:lineRule="exact"/>
              <w:rPr>
                <w:sz w:val="20"/>
                <w:szCs w:val="20"/>
                <w:color w:val="auto"/>
              </w:rPr>
            </w:pPr>
            <w:r>
              <w:rPr>
                <w:rFonts w:ascii="Arial" w:cs="Arial" w:eastAsia="Arial" w:hAnsi="Arial"/>
                <w:sz w:val="18"/>
                <w:szCs w:val="18"/>
                <w:color w:val="auto"/>
              </w:rPr>
              <w:t>shares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Basic net income per common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1.15</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0.54</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-2202180</wp:posOffset>
            </wp:positionV>
            <wp:extent cx="323215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2150" cy="17970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-1105535</wp:posOffset>
            </wp:positionV>
            <wp:extent cx="85725" cy="436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4368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-1105535</wp:posOffset>
            </wp:positionV>
            <wp:extent cx="85725" cy="436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43688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-1105535</wp:posOffset>
            </wp:positionV>
            <wp:extent cx="85725" cy="436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43688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-1105535</wp:posOffset>
            </wp:positionV>
            <wp:extent cx="85725" cy="436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436880"/>
                    </a:xfrm>
                    <a:prstGeom prst="rect">
                      <a:avLst/>
                    </a:prstGeom>
                    <a:noFill/>
                  </pic:spPr>
                </pic:pic>
              </a:graphicData>
            </a:graphic>
          </wp:anchor>
        </w:drawing>
      </w:r>
    </w:p>
    <w:p>
      <w:pPr>
        <w:spacing w:after="0" w:line="74"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issuable.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per common share as their effect would have been antidilutive: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00" w:type="dxa"/>
            <w:vAlign w:val="bottom"/>
            <w:gridSpan w:val="4"/>
          </w:tcPr>
          <w:p>
            <w:pPr>
              <w:jc w:val="center"/>
              <w:ind w:left="470"/>
              <w:spacing w:after="0"/>
              <w:rPr>
                <w:sz w:val="20"/>
                <w:szCs w:val="20"/>
                <w:color w:val="auto"/>
              </w:rPr>
            </w:pPr>
            <w:r>
              <w:rPr>
                <w:rFonts w:ascii="Arial" w:cs="Arial" w:eastAsia="Arial" w:hAnsi="Arial"/>
                <w:sz w:val="18"/>
                <w:szCs w:val="18"/>
                <w:color w:val="auto"/>
                <w:w w:val="90"/>
              </w:rPr>
              <w:t>Three Months Ended</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8"/>
                <w:szCs w:val="18"/>
                <w:color w:val="auto"/>
              </w:rPr>
              <w:t>Six Months Ended</w:t>
            </w:r>
          </w:p>
        </w:tc>
        <w:tc>
          <w:tcPr>
            <w:tcW w:w="14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900" w:type="dxa"/>
            <w:vAlign w:val="bottom"/>
            <w:gridSpan w:val="3"/>
          </w:tcPr>
          <w:p>
            <w:pPr>
              <w:jc w:val="center"/>
              <w:ind w:left="770"/>
              <w:spacing w:after="0"/>
              <w:rPr>
                <w:sz w:val="20"/>
                <w:szCs w:val="20"/>
                <w:color w:val="auto"/>
              </w:rPr>
            </w:pPr>
            <w:r>
              <w:rPr>
                <w:rFonts w:ascii="Arial" w:cs="Arial" w:eastAsia="Arial" w:hAnsi="Arial"/>
                <w:sz w:val="18"/>
                <w:szCs w:val="18"/>
                <w:color w:val="auto"/>
                <w:w w:val="86"/>
              </w:rPr>
              <w:t>June 30,</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5"/>
          </w:tcPr>
          <w:p>
            <w:pPr>
              <w:jc w:val="right"/>
              <w:ind w:right="110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21"/>
                <w:szCs w:val="21"/>
                <w:color w:val="auto"/>
              </w:rPr>
            </w:pPr>
          </w:p>
        </w:tc>
      </w:tr>
      <w:tr>
        <w:trPr>
          <w:trHeight w:val="250"/>
        </w:trPr>
        <w:tc>
          <w:tcPr>
            <w:tcW w:w="11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99"/>
              </w:rPr>
              <w:t>2022</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2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Restricted stock and stock units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636,072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7"/>
              </w:rPr>
              <w:t>82,072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515,687</w:t>
            </w:r>
          </w:p>
        </w:tc>
        <w:tc>
          <w:tcPr>
            <w:tcW w:w="1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41,037</w:t>
            </w:r>
          </w:p>
        </w:tc>
        <w:tc>
          <w:tcPr>
            <w:tcW w:w="140" w:type="dxa"/>
            <w:vAlign w:val="bottom"/>
            <w:shd w:val="clear" w:color="auto" w:fill="CFF0FC"/>
          </w:tcPr>
          <w:p>
            <w:pPr>
              <w:spacing w:after="0"/>
              <w:rPr>
                <w:sz w:val="21"/>
                <w:szCs w:val="2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13,000</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87"/>
              </w:rPr>
              <w:t>13,000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tcPr>
          <w:p>
            <w:pPr>
              <w:spacing w:after="0"/>
              <w:rPr>
                <w:sz w:val="21"/>
                <w:szCs w:val="21"/>
                <w:color w:val="auto"/>
              </w:rPr>
            </w:pPr>
          </w:p>
        </w:tc>
      </w:tr>
      <w:tr>
        <w:trPr>
          <w:trHeight w:val="270"/>
        </w:trPr>
        <w:tc>
          <w:tcPr>
            <w:tcW w:w="1120" w:type="dxa"/>
            <w:vAlign w:val="bottom"/>
            <w:tcBorders>
              <w:bottom w:val="single" w:sz="8" w:color="CFF0FC"/>
            </w:tcBorders>
            <w:shd w:val="clear" w:color="auto" w:fill="CFF0FC"/>
          </w:tcPr>
          <w:p>
            <w:pPr>
              <w:spacing w:after="0"/>
              <w:rPr>
                <w:sz w:val="23"/>
                <w:szCs w:val="23"/>
                <w:color w:val="auto"/>
              </w:rPr>
            </w:pPr>
          </w:p>
        </w:tc>
        <w:tc>
          <w:tcPr>
            <w:tcW w:w="41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649,072</w:t>
            </w:r>
          </w:p>
        </w:tc>
        <w:tc>
          <w:tcPr>
            <w:tcW w:w="2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top w:val="single" w:sz="8" w:color="auto"/>
              <w:bottom w:val="single" w:sz="8" w:color="auto"/>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spacing w:after="0"/>
              <w:rPr>
                <w:sz w:val="23"/>
                <w:szCs w:val="23"/>
                <w:color w:val="auto"/>
              </w:rPr>
            </w:pPr>
          </w:p>
        </w:tc>
        <w:tc>
          <w:tcPr>
            <w:tcW w:w="5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7"/>
              </w:rPr>
              <w:t>95,072</w:t>
            </w:r>
          </w:p>
        </w:tc>
        <w:tc>
          <w:tcPr>
            <w:tcW w:w="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spacing w:after="0"/>
              <w:rPr>
                <w:sz w:val="23"/>
                <w:szCs w:val="2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528,687</w:t>
            </w:r>
          </w:p>
        </w:tc>
        <w:tc>
          <w:tcPr>
            <w:tcW w:w="26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54,037</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419"/>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3. Current and Noncurrent Accrued and Other Liabilities</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73"/>
        </w:trPr>
        <w:tc>
          <w:tcPr>
            <w:tcW w:w="1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3"/>
          </w:tcPr>
          <w:p>
            <w:pPr>
              <w:ind w:left="40"/>
              <w:spacing w:after="0"/>
              <w:rPr>
                <w:sz w:val="20"/>
                <w:szCs w:val="20"/>
                <w:color w:val="auto"/>
              </w:rPr>
            </w:pPr>
            <w:r>
              <w:rPr>
                <w:rFonts w:ascii="Arial" w:cs="Arial" w:eastAsia="Arial" w:hAnsi="Arial"/>
                <w:sz w:val="18"/>
                <w:szCs w:val="18"/>
                <w:color w:val="auto"/>
              </w:rPr>
              <w:t>June 30,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right"/>
              <w:ind w:right="1220"/>
              <w:spacing w:after="0"/>
              <w:rPr>
                <w:sz w:val="20"/>
                <w:szCs w:val="20"/>
                <w:color w:val="auto"/>
              </w:rPr>
            </w:pPr>
            <w:r>
              <w:rPr>
                <w:rFonts w:ascii="Arial" w:cs="Arial" w:eastAsia="Arial" w:hAnsi="Arial"/>
                <w:sz w:val="18"/>
                <w:szCs w:val="18"/>
                <w:color w:val="auto"/>
                <w:w w:val="88"/>
              </w:rPr>
              <w:t>December 31,</w:t>
            </w:r>
          </w:p>
        </w:tc>
        <w:tc>
          <w:tcPr>
            <w:tcW w:w="140" w:type="dxa"/>
            <w:vAlign w:val="bottom"/>
          </w:tcPr>
          <w:p>
            <w:pPr>
              <w:spacing w:after="0"/>
              <w:rPr>
                <w:sz w:val="24"/>
                <w:szCs w:val="24"/>
                <w:color w:val="auto"/>
              </w:rPr>
            </w:pPr>
          </w:p>
        </w:tc>
      </w:tr>
      <w:tr>
        <w:trPr>
          <w:trHeight w:val="250"/>
        </w:trPr>
        <w:tc>
          <w:tcPr>
            <w:tcW w:w="11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2023</w:t>
            </w: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0"/>
        </w:trPr>
        <w:tc>
          <w:tcPr>
            <w:tcW w:w="11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gridSpan w:val="5"/>
          </w:tcPr>
          <w:p>
            <w:pPr>
              <w:jc w:val="right"/>
              <w:ind w:right="390"/>
              <w:spacing w:after="0"/>
              <w:rPr>
                <w:sz w:val="20"/>
                <w:szCs w:val="20"/>
                <w:color w:val="auto"/>
              </w:rPr>
            </w:pPr>
            <w:r>
              <w:rPr>
                <w:rFonts w:ascii="Arial" w:cs="Arial" w:eastAsia="Arial" w:hAnsi="Arial"/>
                <w:sz w:val="16"/>
                <w:szCs w:val="16"/>
                <w:color w:val="auto"/>
                <w:w w:val="94"/>
              </w:rPr>
              <w:t>(In Thousands)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1120" w:type="dxa"/>
            <w:vAlign w:val="bottom"/>
          </w:tcPr>
          <w:p>
            <w:pPr>
              <w:spacing w:after="0"/>
              <w:rPr>
                <w:sz w:val="21"/>
                <w:szCs w:val="21"/>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8,901</w:t>
            </w:r>
          </w:p>
        </w:tc>
        <w:tc>
          <w:tcPr>
            <w:tcW w:w="40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7,259</w:t>
            </w:r>
          </w:p>
        </w:tc>
        <w:tc>
          <w:tcPr>
            <w:tcW w:w="120" w:type="dxa"/>
            <w:vAlign w:val="bottom"/>
            <w:shd w:val="clear" w:color="auto" w:fill="CFF0FC"/>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7"/>
        </w:trPr>
        <w:tc>
          <w:tcPr>
            <w:tcW w:w="112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Accrued payroll and benefits</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7,864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12,440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1120" w:type="dxa"/>
            <w:vAlign w:val="bottom"/>
          </w:tcPr>
          <w:p>
            <w:pPr>
              <w:spacing w:after="0"/>
              <w:rPr>
                <w:sz w:val="21"/>
                <w:szCs w:val="21"/>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w:t>
            </w: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7,142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11,196</w:t>
            </w:r>
          </w:p>
        </w:tc>
        <w:tc>
          <w:tcPr>
            <w:tcW w:w="120" w:type="dxa"/>
            <w:vAlign w:val="bottom"/>
            <w:shd w:val="clear" w:color="auto" w:fill="CFF0FC"/>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7,825</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8,097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6"/>
        </w:trPr>
        <w:tc>
          <w:tcPr>
            <w:tcW w:w="1120" w:type="dxa"/>
            <w:vAlign w:val="bottom"/>
          </w:tcPr>
          <w:p>
            <w:pPr>
              <w:spacing w:after="0"/>
              <w:rPr>
                <w:sz w:val="20"/>
                <w:szCs w:val="20"/>
                <w:color w:val="auto"/>
              </w:rPr>
            </w:pPr>
          </w:p>
        </w:tc>
        <w:tc>
          <w:tcPr>
            <w:tcW w:w="4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31,732</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38,992</w:t>
            </w:r>
          </w:p>
        </w:tc>
        <w:tc>
          <w:tcPr>
            <w:tcW w:w="120" w:type="dxa"/>
            <w:vAlign w:val="bottom"/>
            <w:shd w:val="clear" w:color="auto" w:fill="CFF0FC"/>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Less noncurrent portion</w:t>
            </w: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522</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6"/>
        </w:trPr>
        <w:tc>
          <w:tcPr>
            <w:tcW w:w="1120" w:type="dxa"/>
            <w:vAlign w:val="bottom"/>
          </w:tcPr>
          <w:p>
            <w:pPr>
              <w:spacing w:after="0"/>
              <w:rPr>
                <w:sz w:val="24"/>
                <w:szCs w:val="24"/>
                <w:color w:val="auto"/>
              </w:rPr>
            </w:pPr>
          </w:p>
        </w:tc>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 portion of accrued and other liabilities</w:t>
            </w:r>
          </w:p>
        </w:tc>
        <w:tc>
          <w:tcPr>
            <w:tcW w:w="1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31,210</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38,470</w:t>
            </w:r>
          </w:p>
        </w:tc>
        <w:tc>
          <w:tcPr>
            <w:tcW w:w="120" w:type="dxa"/>
            <w:vAlign w:val="bottom"/>
            <w:tcBorders>
              <w:bottom w:val="single" w:sz="8" w:color="CFF0FC"/>
            </w:tcBorders>
            <w:shd w:val="clear" w:color="auto" w:fill="CFF0FC"/>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28"/>
        </w:trPr>
        <w:tc>
          <w:tcPr>
            <w:tcW w:w="1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40" w:type="dxa"/>
            <w:vAlign w:val="bottom"/>
          </w:tcPr>
          <w:p>
            <w:pPr>
              <w:jc w:val="right"/>
              <w:ind w:right="71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-2536825</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-2519680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-2536825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-2519680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-2536825</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-2519680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-2536825</wp:posOffset>
            </wp:positionV>
            <wp:extent cx="85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-2519680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-522605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-504825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-522605</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-504825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consists of the following:</w:t>
      </w:r>
    </w:p>
    <w:p>
      <w:pPr>
        <w:spacing w:after="0" w:line="266"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June 30,</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December 31,</w:t>
            </w:r>
          </w:p>
        </w:tc>
      </w:tr>
      <w:tr>
        <w:trPr>
          <w:trHeight w:val="250"/>
        </w:trPr>
        <w:tc>
          <w:tcPr>
            <w:tcW w:w="60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r>
      <w:tr>
        <w:trPr>
          <w:trHeight w:val="220"/>
        </w:trPr>
        <w:tc>
          <w:tcPr>
            <w:tcW w:w="6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5"/>
          </w:tcPr>
          <w:p>
            <w:pPr>
              <w:jc w:val="right"/>
              <w:ind w:right="1040"/>
              <w:spacing w:after="0"/>
              <w:rPr>
                <w:sz w:val="20"/>
                <w:szCs w:val="20"/>
                <w:color w:val="auto"/>
              </w:rPr>
            </w:pPr>
            <w:r>
              <w:rPr>
                <w:rFonts w:ascii="Arial" w:cs="Arial" w:eastAsia="Arial" w:hAnsi="Arial"/>
                <w:sz w:val="16"/>
                <w:szCs w:val="16"/>
                <w:color w:val="auto"/>
              </w:rPr>
              <w:t>(In Thousands)</w:t>
            </w:r>
          </w:p>
        </w:tc>
      </w:tr>
      <w:tr>
        <w:trPr>
          <w:trHeight w:val="225"/>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Working Capital Revolver Loan, with a current interest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4"/>
        </w:trPr>
        <w:tc>
          <w:tcPr>
            <w:tcW w:w="6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rate of 8.75% (A)</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060" w:type="dxa"/>
            <w:vAlign w:val="bottom"/>
          </w:tcPr>
          <w:p>
            <w:pPr>
              <w:ind w:left="20"/>
              <w:spacing w:after="0"/>
              <w:rPr>
                <w:sz w:val="20"/>
                <w:szCs w:val="20"/>
                <w:color w:val="auto"/>
              </w:rPr>
            </w:pPr>
            <w:r>
              <w:rPr>
                <w:rFonts w:ascii="Arial" w:cs="Arial" w:eastAsia="Arial" w:hAnsi="Arial"/>
                <w:sz w:val="18"/>
                <w:szCs w:val="18"/>
                <w:color w:val="auto"/>
              </w:rPr>
              <w:t>Senior Secured Notes due 2028, with an interest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6060" w:type="dxa"/>
            <w:vAlign w:val="bottom"/>
          </w:tcPr>
          <w:p>
            <w:pPr>
              <w:ind w:left="160"/>
              <w:spacing w:after="0"/>
              <w:rPr>
                <w:sz w:val="20"/>
                <w:szCs w:val="20"/>
                <w:color w:val="auto"/>
              </w:rPr>
            </w:pPr>
            <w:r>
              <w:rPr>
                <w:rFonts w:ascii="Arial" w:cs="Arial" w:eastAsia="Arial" w:hAnsi="Arial"/>
                <w:sz w:val="18"/>
                <w:szCs w:val="18"/>
                <w:color w:val="auto"/>
              </w:rPr>
              <w:t>rate of 6.25% (B)</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575,000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0"/>
                <w:szCs w:val="20"/>
                <w:color w:val="auto"/>
              </w:rPr>
            </w:pPr>
          </w:p>
        </w:tc>
      </w:tr>
      <w:tr>
        <w:trPr>
          <w:trHeight w:val="222"/>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Secured Financing due 2025, with an interest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4"/>
        </w:trPr>
        <w:tc>
          <w:tcPr>
            <w:tcW w:w="6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rate of 8.75% (C)</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19,277</w:t>
            </w:r>
          </w:p>
        </w:tc>
        <w:tc>
          <w:tcPr>
            <w:tcW w:w="120" w:type="dxa"/>
            <w:vAlign w:val="bottom"/>
            <w:shd w:val="clear" w:color="auto" w:fill="CFF0FC"/>
          </w:tcPr>
          <w:p>
            <w:pPr>
              <w:spacing w:after="0"/>
              <w:rPr>
                <w:sz w:val="21"/>
                <w:szCs w:val="2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8"/>
                <w:szCs w:val="18"/>
                <w:color w:val="auto"/>
              </w:rPr>
              <w:t>Secured Financing due 2023, with an interest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6060" w:type="dxa"/>
            <w:vAlign w:val="bottom"/>
          </w:tcPr>
          <w:p>
            <w:pPr>
              <w:ind w:left="160"/>
              <w:spacing w:after="0"/>
              <w:rPr>
                <w:sz w:val="20"/>
                <w:szCs w:val="20"/>
                <w:color w:val="auto"/>
              </w:rPr>
            </w:pPr>
            <w:r>
              <w:rPr>
                <w:rFonts w:ascii="Arial" w:cs="Arial" w:eastAsia="Arial" w:hAnsi="Arial"/>
                <w:sz w:val="18"/>
                <w:szCs w:val="18"/>
                <w:color w:val="auto"/>
              </w:rPr>
              <w:t>rate of 8.32% (D)</w:t>
            </w:r>
          </w:p>
        </w:tc>
        <w:tc>
          <w:tcPr>
            <w:tcW w:w="24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20"/>
                <w:szCs w:val="20"/>
                <w:color w:val="auto"/>
              </w:rPr>
            </w:pPr>
          </w:p>
        </w:tc>
      </w:tr>
      <w:tr>
        <w:trPr>
          <w:trHeight w:val="250"/>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FF0FC"/>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(9,237 )</w:t>
            </w:r>
          </w:p>
        </w:tc>
        <w:tc>
          <w:tcPr>
            <w:tcW w:w="1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(12,321 )</w:t>
            </w:r>
          </w:p>
        </w:tc>
      </w:tr>
      <w:tr>
        <w:trPr>
          <w:trHeight w:val="237"/>
        </w:trPr>
        <w:tc>
          <w:tcPr>
            <w:tcW w:w="60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583,585</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712,255</w:t>
            </w:r>
          </w:p>
        </w:tc>
        <w:tc>
          <w:tcPr>
            <w:tcW w:w="120" w:type="dxa"/>
            <w:vAlign w:val="bottom"/>
            <w:shd w:val="clear" w:color="auto" w:fill="CFF0FC"/>
          </w:tcPr>
          <w:p>
            <w:pPr>
              <w:spacing w:after="0"/>
              <w:rPr>
                <w:sz w:val="20"/>
                <w:szCs w:val="20"/>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120" w:type="dxa"/>
            <w:vAlign w:val="bottom"/>
          </w:tcPr>
          <w:p>
            <w:pPr>
              <w:spacing w:after="0"/>
              <w:rPr>
                <w:sz w:val="21"/>
                <w:szCs w:val="21"/>
                <w:color w:val="auto"/>
              </w:rPr>
            </w:pPr>
          </w:p>
        </w:tc>
      </w:tr>
      <w:tr>
        <w:trPr>
          <w:trHeight w:val="276"/>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debt due after one year, net</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578,214</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702,733</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jc w:val="both"/>
        <w:ind w:left="380" w:hanging="372"/>
        <w:spacing w:after="0" w:line="269" w:lineRule="auto"/>
        <w:tabs>
          <w:tab w:leader="none" w:pos="38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Our revolving credit facility, as amended (the “Working Capital Revolver Loan”), provides for advances up to $65 million (the “Maximum Revolver Amount”), based on specific percentages of eligible accounts receivable and inventories and up to $10 million of letters of credit, the outstanding amount as of June 30, 2023, was $2.0 million, which reduces the amount available for borrowing under the Working Capital Revolver Loan. At June 30, 2023, our available borrowings under our Working Capital Revolver Loan were approximately $55.4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 million.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77" w:lineRule="exact"/>
        <w:rPr>
          <w:rFonts w:ascii="Arial" w:cs="Arial" w:eastAsia="Arial" w:hAnsi="Arial"/>
          <w:sz w:val="17"/>
          <w:szCs w:val="17"/>
          <w:b w:val="1"/>
          <w:bCs w:val="1"/>
          <w:color w:val="auto"/>
        </w:rPr>
      </w:pPr>
    </w:p>
    <w:p>
      <w:pPr>
        <w:jc w:val="both"/>
        <w:ind w:left="38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Interest accrues on outstanding borrowings under the Working Capital Revolver Loan at a rate equal to, at our election, either (a) SOFR for an interest period selected by us plus a SOFR adjustment equal to 0.10% per annum plus an applicable margin equal to 1.50% per annum or 1.75% per annum, depending on borrowing availability under the Working Capital Revolver Loan, or (b) Wells Fargo Capital Finance’s prime rate plus an applicable margin equal to 0.50% per annum or 0.75% per annum, depending on borrowing availability under the Working Capital Revolver Loan. Interest is paid quarterly, if applicable. During the second quarter of 2023 the LIBOR rate component included in our Working Capital Revolver Loan was converted to SOFR as use of LIBOR was discontinued.</w:t>
      </w:r>
    </w:p>
    <w:p>
      <w:pPr>
        <w:spacing w:after="0" w:line="84" w:lineRule="exact"/>
        <w:rPr>
          <w:rFonts w:ascii="Arial" w:cs="Arial" w:eastAsia="Arial" w:hAnsi="Arial"/>
          <w:sz w:val="17"/>
          <w:szCs w:val="17"/>
          <w:b w:val="1"/>
          <w:bCs w:val="1"/>
          <w:color w:val="auto"/>
        </w:rPr>
      </w:pPr>
    </w:p>
    <w:p>
      <w:pPr>
        <w:jc w:val="both"/>
        <w:ind w:left="380" w:hanging="372"/>
        <w:spacing w:after="0" w:line="263" w:lineRule="auto"/>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On October 14, 2021, LSB completed the issuance and sale of $500 million aggregate principal amount of the Notes of its 6.25% Senior Secured Notes due 2028 (the “Notes”), pursuant to an indenture (the “Indenture”), dated as of October 14, 2021. The Notes were issued at a price equal to 100% of their face value.</w:t>
      </w:r>
    </w:p>
    <w:p>
      <w:pPr>
        <w:spacing w:after="0" w:line="75" w:lineRule="exact"/>
        <w:rPr>
          <w:rFonts w:ascii="Arial" w:cs="Arial" w:eastAsia="Arial" w:hAnsi="Arial"/>
          <w:sz w:val="18"/>
          <w:szCs w:val="18"/>
          <w:b w:val="1"/>
          <w:bCs w:val="1"/>
          <w:color w:val="auto"/>
        </w:rPr>
      </w:pPr>
    </w:p>
    <w:p>
      <w:pPr>
        <w:jc w:val="both"/>
        <w:ind w:lef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March 8, 2022, LSB completed the issuance and sale of an additional $200 million aggregate principal amount of the Notes (the “New Notes”), which were issued pursuant to the Indenture (the Notes together with the New Notes, the “Senior Secured Notes”). The New Notes were issued at a price equal to 100% of their face value, plus accrued interest from October 14, 2021 to March 7, 2022. The Senior Secured Notes mature on October 15, 2028</w:t>
      </w:r>
      <w:r>
        <w:rPr>
          <w:rFonts w:ascii="Arial" w:cs="Arial" w:eastAsia="Arial" w:hAnsi="Arial"/>
          <w:sz w:val="18"/>
          <w:szCs w:val="18"/>
          <w:color w:val="0000FF"/>
        </w:rPr>
        <w:t>.</w:t>
      </w:r>
      <w:r>
        <w:rPr>
          <w:rFonts w:ascii="Arial" w:cs="Arial" w:eastAsia="Arial" w:hAnsi="Arial"/>
          <w:sz w:val="18"/>
          <w:szCs w:val="18"/>
          <w:color w:val="auto"/>
        </w:rPr>
        <w:t xml:space="preserve"> Interest is to be paid in arrears on May 15 and October 15.</w:t>
      </w:r>
    </w:p>
    <w:p>
      <w:pPr>
        <w:spacing w:after="0" w:line="78" w:lineRule="exact"/>
        <w:rPr>
          <w:rFonts w:ascii="Arial" w:cs="Arial" w:eastAsia="Arial" w:hAnsi="Arial"/>
          <w:sz w:val="18"/>
          <w:szCs w:val="18"/>
          <w:b w:val="1"/>
          <w:bCs w:val="1"/>
          <w:color w:val="auto"/>
        </w:rPr>
      </w:pP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During the second quarter of 2023 we repurchased $125 million in principal amount of our Senior Secured Notes for approximately $114.3 million, which was accounted for as an extinguishment of debt. Including our write-off of the associated remaining portion of unamortized debt issuance costs, we recognized a gain on extinguishment of approximately $8.6 million.</w:t>
      </w:r>
    </w:p>
    <w:p>
      <w:pPr>
        <w:spacing w:after="0" w:line="75" w:lineRule="exact"/>
        <w:rPr>
          <w:rFonts w:ascii="Arial" w:cs="Arial" w:eastAsia="Arial" w:hAnsi="Arial"/>
          <w:sz w:val="18"/>
          <w:szCs w:val="18"/>
          <w:b w:val="1"/>
          <w:bCs w:val="1"/>
          <w:color w:val="auto"/>
        </w:rPr>
      </w:pPr>
    </w:p>
    <w:p>
      <w:pPr>
        <w:jc w:val="both"/>
        <w:ind w:left="380" w:hanging="372"/>
        <w:spacing w:after="0" w:line="259" w:lineRule="auto"/>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 August 2020, El Dorado Ammonia L.L.C. (“EDA”), one of our subsidiaries, entered into a $30 million secured financing arrangement with an affiliate of Eldridge Industries, L.L.C. (“Eldridge”). Beginning in September 2020, principal and interest is payable in 60 equal monthly installments with a final balloon payment of approximately $5 million due in August 2025. This financing arrangement is secured by an ammonia storage tank and is guaranteed by LSB.</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380" w:hanging="372"/>
        <w:spacing w:after="0" w:line="277" w:lineRule="auto"/>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During the second quarter 2023, El Dorado Chemical Company (“EDC”), one of our subsidiaries, made the final balloon payment of approximately $3 million on a secured financing arrangement with an affiliate of Eldridge.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Outstanding Natural Gas Purchase Commitments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of our natural gas contracts qualify as normal purchases under GAAP and thus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instruments for which we mark-to-market. At June 30, 2023, these contracts included volume purchase commitments with fixed costs of approximately 14.2 million MMBtus of natural gas. Further, the natural gas contracts extend through December 2023 at a weighted-average cost of $3.70 per MMBtu ($52.6 million) and a weighted-average market value of $2.68 per MMBtu ($38.1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2023, our accrued liabilities for environmental matters totaled approximately $0.5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volume of effluents that can be discharged and control the method of such discharge.</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2017, the Pryor Chemical Company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Since that time, PCC and ODEQ engaged in ongoing discussions related to the renewal of the injection well to address the wastewater stream. In 2022, ODEQ responded to the application in the form of an information request. PCC has submitted a formal response to the information request and is currently evaluating wastewater treatment alternatives.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risk assessment was submitted in 2007. In 2015, the Arkansas Department of Environmental Quality (“ADEQ”) stated that El Dorado Chemical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No liability has been established as of June 30, 2023, in connection with this ADEQ matter.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2013, an explosion and fire occurred at the West Fertilizer Company.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of June 30, 2023, no liability reserve has been established in connection with this matter.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LSB and EDA are pursuing the recovery of any damage or loss caused by Global’s work performed through their contract with Leidos at our El Dorado Facility. In March 2016, EDC and LSB were served a summons in a case styled </w:t>
      </w:r>
      <w:r>
        <w:rPr>
          <w:rFonts w:ascii="Arial" w:cs="Arial" w:eastAsia="Arial" w:hAnsi="Arial"/>
          <w:sz w:val="17"/>
          <w:szCs w:val="17"/>
          <w:i w:val="1"/>
          <w:iCs w:val="1"/>
          <w:color w:val="auto"/>
        </w:rPr>
        <w:t>Global Industrial, Inc. d/b/a Global Turnaround vs. Leidos Constructors,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w:t>
      </w:r>
      <w:r>
        <w:rPr>
          <w:rFonts w:ascii="Arial" w:cs="Arial" w:eastAsia="Arial" w:hAnsi="Arial"/>
          <w:sz w:val="17"/>
          <w:szCs w:val="17"/>
          <w:color w:val="auto"/>
        </w:rPr>
        <w:t>in the Circuit court of Union County, Arkansas, wherein Global sought damages under breach of contract and other claims.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summons, 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the court bifurcated the case into: (1) Global’s claims against Leidos and LSB and (2) the cross-claims between Leidos and LSB. Part (1) of the case was tried in the court. In March 2020, the court rendered an interim judgment and issued its final judgment in April 2020. In summary, the judgment awarded Global (i) approximately $7.4 million (including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This judgement was accrued for at the time of the ruling, and we continue to accrue post-judgement interest.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filed a notice of intent to appeal and the court entered a stay of the judgment pending appeal. LSB intends to vigorously prosecute its claims against Leidos and vigorously contest the cross-claims in Part (2) of the matter. Due to the impact from the COVID-19 pandemic, the trial date for Part (2) of the matter has been delayed and we are awaiting a new trial date.</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liability was established at June 30, 2023 or December 31, 2022, in connection with the cross-claims in Part (2) of the matter, except for certain invoices held in accounts payable. 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Hedges and Financial Instruments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Natural Gas Contracts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Periodically, we entered into certain forward natural gas contracts, which are accounted for on a mark-to-market basis. We are utilizing these natural gas contracts as economic hedges for risk management purposes but are not designated as hedging instruments. At June 30, 2023 and December 31, 2022, we had no outstanding natural gas contracts accounted for on a mark-to-market basis. When present, the valuations of the natural gas contracts are classified as Level 2.</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2023 and December 31, 2022, we did not have any financial instruments with fair values materially different from their carrying amounts (which excludes issuance costs, if applicable) except for our Senior Secured Notes included in the table below. The Senior Secured Notes are classified as a Level 2 fair value measurement. The fair value of financial instruments is not indicative of the overall fair value of our assets and liabilities since financial instruments do not include all assets, including intangibles and all liabilities.</w:t>
      </w:r>
    </w:p>
    <w:p>
      <w:pPr>
        <w:spacing w:after="0" w:line="205" w:lineRule="exact"/>
        <w:rPr>
          <w:sz w:val="20"/>
          <w:szCs w:val="20"/>
          <w:color w:val="auto"/>
        </w:rPr>
      </w:pPr>
    </w:p>
    <w:tbl>
      <w:tblPr>
        <w:tblLayout w:type="fixed"/>
        <w:tblInd w:w="1080" w:type="dxa"/>
        <w:tblCellMar>
          <w:top w:w="0" w:type="dxa"/>
          <w:left w:w="0" w:type="dxa"/>
          <w:bottom w:w="0" w:type="dxa"/>
          <w:right w:w="0" w:type="dxa"/>
        </w:tblCellMar>
      </w:tblPr>
      <w:tr>
        <w:trPr>
          <w:trHeight w:val="219"/>
        </w:trPr>
        <w:tc>
          <w:tcPr>
            <w:tcW w:w="4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506"/>
              <w:spacing w:after="0"/>
              <w:rPr>
                <w:sz w:val="20"/>
                <w:szCs w:val="20"/>
                <w:color w:val="auto"/>
              </w:rPr>
            </w:pPr>
            <w:r>
              <w:rPr>
                <w:rFonts w:ascii="Arial" w:cs="Arial" w:eastAsia="Arial" w:hAnsi="Arial"/>
                <w:sz w:val="16"/>
                <w:szCs w:val="16"/>
                <w:color w:val="auto"/>
              </w:rPr>
              <w:t>June 30, 2023</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color w:val="auto"/>
              </w:rPr>
              <w:t>December 31, 2022</w:t>
            </w:r>
          </w:p>
        </w:tc>
        <w:tc>
          <w:tcPr>
            <w:tcW w:w="120" w:type="dxa"/>
            <w:vAlign w:val="bottom"/>
          </w:tcPr>
          <w:p>
            <w:pPr>
              <w:spacing w:after="0"/>
              <w:rPr>
                <w:sz w:val="19"/>
                <w:szCs w:val="19"/>
                <w:color w:val="auto"/>
              </w:rPr>
            </w:pPr>
          </w:p>
        </w:tc>
      </w:tr>
      <w:tr>
        <w:trPr>
          <w:trHeight w:val="210"/>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Arial" w:cs="Arial" w:eastAsia="Arial" w:hAnsi="Arial"/>
                <w:sz w:val="16"/>
                <w:szCs w:val="16"/>
                <w:color w:val="auto"/>
                <w:w w:val="95"/>
              </w:rPr>
              <w:t>Carrying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6"/>
                <w:szCs w:val="16"/>
                <w:color w:val="auto"/>
              </w:rPr>
              <w:t>Estimated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99"/>
              <w:spacing w:after="0"/>
              <w:rPr>
                <w:sz w:val="20"/>
                <w:szCs w:val="20"/>
                <w:color w:val="auto"/>
              </w:rPr>
            </w:pPr>
            <w:r>
              <w:rPr>
                <w:rFonts w:ascii="Arial" w:cs="Arial" w:eastAsia="Arial" w:hAnsi="Arial"/>
                <w:sz w:val="16"/>
                <w:szCs w:val="16"/>
                <w:color w:val="auto"/>
                <w:w w:val="95"/>
              </w:rPr>
              <w:t>Carrying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40"/>
              <w:spacing w:after="0"/>
              <w:rPr>
                <w:sz w:val="20"/>
                <w:szCs w:val="20"/>
                <w:color w:val="auto"/>
              </w:rPr>
            </w:pPr>
            <w:r>
              <w:rPr>
                <w:rFonts w:ascii="Arial" w:cs="Arial" w:eastAsia="Arial" w:hAnsi="Arial"/>
                <w:sz w:val="16"/>
                <w:szCs w:val="16"/>
                <w:color w:val="auto"/>
              </w:rPr>
              <w:t>Estimated</w:t>
            </w:r>
          </w:p>
        </w:tc>
        <w:tc>
          <w:tcPr>
            <w:tcW w:w="120" w:type="dxa"/>
            <w:vAlign w:val="bottom"/>
          </w:tcPr>
          <w:p>
            <w:pPr>
              <w:spacing w:after="0"/>
              <w:rPr>
                <w:sz w:val="18"/>
                <w:szCs w:val="18"/>
                <w:color w:val="auto"/>
              </w:rPr>
            </w:pPr>
          </w:p>
        </w:tc>
      </w:tr>
      <w:tr>
        <w:trPr>
          <w:trHeight w:val="243"/>
        </w:trPr>
        <w:tc>
          <w:tcPr>
            <w:tcW w:w="45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4"/>
              </w:rPr>
              <w:t>Amount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7"/>
              </w:rPr>
              <w:t>Amount</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w:t>
            </w:r>
          </w:p>
        </w:tc>
        <w:tc>
          <w:tcPr>
            <w:tcW w:w="120" w:type="dxa"/>
            <w:vAlign w:val="bottom"/>
          </w:tcPr>
          <w:p>
            <w:pPr>
              <w:spacing w:after="0"/>
              <w:rPr>
                <w:sz w:val="21"/>
                <w:szCs w:val="21"/>
                <w:color w:val="auto"/>
              </w:rPr>
            </w:pPr>
          </w:p>
        </w:tc>
      </w:tr>
      <w:tr>
        <w:trPr>
          <w:trHeight w:val="171"/>
        </w:trPr>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ind w:left="660"/>
              <w:spacing w:after="0"/>
              <w:rPr>
                <w:sz w:val="20"/>
                <w:szCs w:val="20"/>
                <w:color w:val="auto"/>
              </w:rPr>
            </w:pPr>
            <w:r>
              <w:rPr>
                <w:rFonts w:ascii="Arial" w:cs="Arial" w:eastAsia="Arial" w:hAnsi="Arial"/>
                <w:sz w:val="11"/>
                <w:szCs w:val="11"/>
                <w:color w:val="auto"/>
                <w:w w:val="95"/>
              </w:rPr>
              <w:t>(In Millions)</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74"/>
        </w:trPr>
        <w:tc>
          <w:tcPr>
            <w:tcW w:w="4560" w:type="dxa"/>
            <w:vAlign w:val="bottom"/>
            <w:tcBorders>
              <w:bottom w:val="single" w:sz="8" w:color="CFF0FC"/>
            </w:tcBorders>
            <w:shd w:val="clear" w:color="auto" w:fill="CFF0FC"/>
          </w:tcPr>
          <w:p>
            <w:pPr>
              <w:spacing w:after="0" w:line="234" w:lineRule="exact"/>
              <w:rPr>
                <w:sz w:val="20"/>
                <w:szCs w:val="20"/>
                <w:color w:val="auto"/>
              </w:rPr>
            </w:pPr>
            <w:r>
              <w:rPr>
                <w:rFonts w:ascii="Arial" w:cs="Arial" w:eastAsia="Arial" w:hAnsi="Arial"/>
                <w:sz w:val="16"/>
                <w:szCs w:val="16"/>
                <w:color w:val="auto"/>
              </w:rPr>
              <w:t xml:space="preserve">Senior Secured Notes </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2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8"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a quoted price of 89.50 at June 30, 2023 and 91.00 at December 31, 2022. Also so see discussion in Note 4 (B).</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4"/>
          </w:tcPr>
          <w:p>
            <w:pPr>
              <w:jc w:val="right"/>
              <w:ind w:right="431"/>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60" w:type="dxa"/>
            <w:vAlign w:val="bottom"/>
            <w:gridSpan w:val="5"/>
          </w:tcPr>
          <w:p>
            <w:pPr>
              <w:jc w:val="right"/>
              <w:ind w:right="760"/>
              <w:spacing w:after="0"/>
              <w:rPr>
                <w:sz w:val="20"/>
                <w:szCs w:val="20"/>
                <w:color w:val="auto"/>
              </w:rPr>
            </w:pPr>
            <w:r>
              <w:rPr>
                <w:rFonts w:ascii="Arial" w:cs="Arial" w:eastAsia="Arial" w:hAnsi="Arial"/>
                <w:sz w:val="18"/>
                <w:szCs w:val="18"/>
                <w:color w:val="auto"/>
              </w:rPr>
              <w:t>Six Months Ended</w:t>
            </w:r>
          </w:p>
        </w:tc>
      </w:tr>
      <w:tr>
        <w:trPr>
          <w:trHeight w:val="243"/>
        </w:trPr>
        <w:tc>
          <w:tcPr>
            <w:tcW w:w="5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5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2023</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r>
      <w:tr>
        <w:trPr>
          <w:trHeight w:val="220"/>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5640" w:type="dxa"/>
            <w:vAlign w:val="bottom"/>
          </w:tcPr>
          <w:p>
            <w:pPr>
              <w:ind w:left="380"/>
              <w:spacing w:after="0"/>
              <w:rPr>
                <w:sz w:val="20"/>
                <w:szCs w:val="20"/>
                <w:color w:val="auto"/>
              </w:rPr>
            </w:pPr>
            <w:r>
              <w:rPr>
                <w:rFonts w:ascii="Arial" w:cs="Arial" w:eastAsia="Arial" w:hAnsi="Arial"/>
                <w:sz w:val="18"/>
                <w:szCs w:val="18"/>
                <w:color w:val="auto"/>
              </w:rPr>
              <w:t>Total Current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845</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1,135</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20"/>
                <w:szCs w:val="20"/>
                <w:color w:val="auto"/>
              </w:rPr>
            </w:pPr>
          </w:p>
        </w:tc>
      </w:tr>
      <w:tr>
        <w:trPr>
          <w:trHeight w:val="243"/>
        </w:trPr>
        <w:tc>
          <w:tcPr>
            <w:tcW w:w="56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9"/>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19,294</w:t>
            </w:r>
          </w:p>
        </w:tc>
        <w:tc>
          <w:tcPr>
            <w:tcW w:w="6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30,679</w:t>
            </w:r>
          </w:p>
        </w:tc>
        <w:tc>
          <w:tcPr>
            <w:tcW w:w="140" w:type="dxa"/>
            <w:vAlign w:val="bottom"/>
            <w:shd w:val="clear" w:color="auto" w:fill="CFF0FC"/>
          </w:tcPr>
          <w:p>
            <w:pPr>
              <w:spacing w:after="0"/>
              <w:rPr>
                <w:sz w:val="21"/>
                <w:szCs w:val="2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(4,344 )</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(3,358 )</w:t>
            </w:r>
          </w:p>
        </w:tc>
        <w:tc>
          <w:tcPr>
            <w:tcW w:w="2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(79 )</w:t>
            </w:r>
          </w:p>
        </w:tc>
      </w:tr>
      <w:tr>
        <w:trPr>
          <w:trHeight w:val="237"/>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Deferred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19,777</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7,736</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5640" w:type="dxa"/>
            <w:vAlign w:val="bottom"/>
          </w:tcPr>
          <w:p>
            <w:pPr>
              <w:ind w:left="56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2,973</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20,382</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8,871</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31,497</w:t>
            </w:r>
          </w:p>
        </w:tc>
        <w:tc>
          <w:tcPr>
            <w:tcW w:w="140" w:type="dxa"/>
            <w:vAlign w:val="bottom"/>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-1139825</wp:posOffset>
            </wp:positionV>
            <wp:extent cx="8572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-1139825</wp:posOffset>
            </wp:positionV>
            <wp:extent cx="8572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-1139825</wp:posOffset>
            </wp:positionV>
            <wp:extent cx="8572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-1139825</wp:posOffset>
            </wp:positionV>
            <wp:extent cx="8572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-187960</wp:posOffset>
            </wp:positionV>
            <wp:extent cx="8572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-187960</wp:posOffset>
            </wp:positionV>
            <wp:extent cx="8572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8572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tax provision for the six months ended June 30, 2023, was $8.9 million (17.8% provision on pre-tax income). The tax provision for the six months ended June 30, 2022, was $31.5 million (16.3% provision on pre-tax income). For 2023, the effective tax rate is lower than the statutory tax rate primarily due to deferred benefits from state tax law changes, partially offset by state taxes, including state valuation allowances on certain newly generated state tax attributes. For 2022, the effective tax rate was less than the statutory tax rate primarily due to the impact of the valuation allowances.</w:t>
      </w:r>
    </w:p>
    <w:p>
      <w:pPr>
        <w:spacing w:after="0" w:line="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have determined that it is more-likely-than-not that all of our federal deferred tax assets and a portion of our state deferred tax assets will be utilized. We estimate an approximately $1.5 million increase in the related valuation allowance associated with these state deferred tax assets will be recorded during the year as part of the estimated annual effective tax rate applied to ordinary income.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LSB and certain of its subsidiaries file income tax returns in the U.S. federal jurisdiction and various state jurisdictions. With few exceptions, the 2019-2022 years remain open for all purposes of examination by the U.S. Internal Revenue Service (“IRS”) and other major tax jurisdictions. Additionally, the 2013-2018 years remain subject to examination for determining the amount of net operating loss and other carryforwards.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primarily derive our revenues from the sales of various chemical products. The Company’s net sales disaggregation is consistent with other financial information utilized or provided outside of our condensed consolidated financial statements. With our continued focus on optimizing our commercial strategy and product mix going forward we will report revenue by product as opposed to the end market. Accordingly, this approach is reflected in disaggregated net sales, mirroring how the Company manages its net sales by product through contracts with customers.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net sales disaggregated by our principal product types: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right"/>
              <w:ind w:right="451"/>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2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c>
          <w:tcPr>
            <w:tcW w:w="140" w:type="dxa"/>
            <w:vAlign w:val="bottom"/>
          </w:tcPr>
          <w:p>
            <w:pPr>
              <w:spacing w:after="0"/>
              <w:rPr>
                <w:sz w:val="20"/>
                <w:szCs w:val="20"/>
                <w:color w:val="auto"/>
              </w:rPr>
            </w:pPr>
          </w:p>
        </w:tc>
      </w:tr>
      <w:tr>
        <w:trPr>
          <w:trHeight w:val="243"/>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5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2023</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r>
      <w:tr>
        <w:trPr>
          <w:trHeight w:val="220"/>
        </w:trPr>
        <w:tc>
          <w:tcPr>
            <w:tcW w:w="5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6"/>
                <w:szCs w:val="16"/>
                <w:color w:val="auto"/>
              </w:rPr>
              <w:t>(In Thousands)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AN &amp; Nitric Acid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69,561</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96,142</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127,833</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167,942</w:t>
            </w:r>
          </w:p>
        </w:tc>
        <w:tc>
          <w:tcPr>
            <w:tcW w:w="140" w:type="dxa"/>
            <w:vAlign w:val="bottom"/>
          </w:tcPr>
          <w:p>
            <w:pPr>
              <w:spacing w:after="0"/>
              <w:rPr>
                <w:sz w:val="20"/>
                <w:szCs w:val="20"/>
                <w:color w:val="auto"/>
              </w:rPr>
            </w:pPr>
          </w:p>
        </w:tc>
      </w:tr>
      <w:tr>
        <w:trPr>
          <w:trHeight w:val="249"/>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Urea ammonium nitrate (UAN)</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40,905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76,986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133,555</w:t>
            </w:r>
          </w:p>
        </w:tc>
        <w:tc>
          <w:tcPr>
            <w:tcW w:w="140" w:type="dxa"/>
            <w:vAlign w:val="bottom"/>
            <w:shd w:val="clear" w:color="auto" w:fill="CFF0FC"/>
          </w:tcPr>
          <w:p>
            <w:pPr>
              <w:spacing w:after="0"/>
              <w:rPr>
                <w:sz w:val="21"/>
                <w:szCs w:val="2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Ammonia</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39,612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89,444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103,027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148,786</w:t>
            </w:r>
          </w:p>
        </w:tc>
        <w:tc>
          <w:tcPr>
            <w:tcW w:w="140" w:type="dxa"/>
            <w:vAlign w:val="bottom"/>
          </w:tcPr>
          <w:p>
            <w:pPr>
              <w:spacing w:after="0"/>
              <w:rPr>
                <w:sz w:val="20"/>
                <w:szCs w:val="20"/>
                <w:color w:val="auto"/>
              </w:rPr>
            </w:pPr>
          </w:p>
        </w:tc>
      </w:tr>
      <w:tr>
        <w:trPr>
          <w:trHeight w:val="243"/>
        </w:trPr>
        <w:tc>
          <w:tcPr>
            <w:tcW w:w="5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15,767</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28,454</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165,845</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284,803</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346,809</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483,784</w:t>
            </w:r>
          </w:p>
        </w:tc>
        <w:tc>
          <w:tcPr>
            <w:tcW w:w="14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-187960</wp:posOffset>
            </wp:positionV>
            <wp:extent cx="7747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8572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8572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at contract inception, the average remaining expected duration was approximately 29 months at June 30, 2023.</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$0.7 million and $2.0 million of contract liabilities as of June 30, 2023 and December 31, 2022, respectively. For the three and six months ended June 30, 2023, revenues of $3.2 million and $1.5 million, respectively, were recognized and included in the balance at the beginning of the respective period. For the three and six months ended June 30, 2022, revenues of $1.5 million and $1.4 million, respectively, were recognized and included in the balance at the beginning of the respective period.</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At June 30, 2023, we have remaining performance obligations with certain customer contracts, excluding contracts with original durations of less than one year and for service contracts for which we have elected the practical expedient for consideration recognized in revenue as invoiced. The remaining performance obligations totals approximately $84.3 million, of which approximately 56% of this amount relates to 2023 through 2025, approximately 28% relates to 2026 through 2027, with the remainder thereafter.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we had one outstanding financing arrangement by an affiliate of Eldridge as discussed in footnote (C) of Note 4. An affiliate of Eldridge holds $30 million of the Senior Secured Notes.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were party to a death benefit agreement (“2005 Agreement”) with Jack E. Golsen (“J. Golsen”), who retired effective December 31, 2017. The 2005 Agreement provided that, upon J. Golsen’s death, we would pay to the designated beneficiary, a lump-sum payment of $2.5 million. J. Golsen passed away in April 2022. Further, we maintained and owned a life insurance policy with a face value of $3.0 million for which we were the beneficiary. The policy did not have any cash surrender value, premium payments were current, and the policy was in force at the time of Golsen’s death. The $2.5 million death benefit payable to the Golsen beneficiary was recorded as a current liability as of June 30, 2022. Our insurer approved the insurance claim which caused it to be realizable at June 30, 2022 under our insurance policy. We recorded $3.0 million in other accounts receivable in our June 30, 2022 condensed consolidated balance sheet and a settlement of life insurance presented within non-operating other expense (income), net within our condensed consolidated statements of operations for the three and six months ended June 30, 2022. The settlement of life insurance is included in our condensed consolidated statement of cash flows in “Other” under adjustments to reconcile net income to net cash provided by operating activities. We received the settlement payment of $3.0 million and paid the death benefit of $2.5 million in July 2022.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86"/>
              </w:rPr>
              <w:t>June 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68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4"/>
              </w:rPr>
              <w:t>2022</w:t>
            </w:r>
          </w:p>
        </w:tc>
        <w:tc>
          <w:tcPr>
            <w:tcW w:w="120" w:type="dxa"/>
            <w:vAlign w:val="bottom"/>
          </w:tcPr>
          <w:p>
            <w:pPr>
              <w:spacing w:after="0"/>
              <w:rPr>
                <w:sz w:val="21"/>
                <w:szCs w:val="21"/>
                <w:color w:val="auto"/>
              </w:rPr>
            </w:pPr>
          </w:p>
        </w:tc>
      </w:tr>
      <w:tr>
        <w:trPr>
          <w:trHeight w:val="220"/>
        </w:trPr>
        <w:tc>
          <w:tcPr>
            <w:tcW w:w="6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Arial" w:cs="Arial" w:eastAsia="Arial" w:hAnsi="Arial"/>
                <w:sz w:val="16"/>
                <w:szCs w:val="16"/>
                <w:color w:val="auto"/>
                <w:w w:val="91"/>
              </w:rPr>
              <w:t>(In Thousands)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9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6820" w:type="dxa"/>
            <w:vAlign w:val="bottom"/>
          </w:tcPr>
          <w:p>
            <w:pPr>
              <w:ind w:left="180"/>
              <w:spacing w:after="0"/>
              <w:rPr>
                <w:sz w:val="20"/>
                <w:szCs w:val="20"/>
                <w:color w:val="auto"/>
              </w:rPr>
            </w:pPr>
            <w:r>
              <w:rPr>
                <w:rFonts w:ascii="Arial" w:cs="Arial" w:eastAsia="Arial" w:hAnsi="Arial"/>
                <w:sz w:val="18"/>
                <w:szCs w:val="18"/>
                <w:color w:val="auto"/>
              </w:rPr>
              <w:t>Income taxes, net</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983</w:t>
            </w:r>
          </w:p>
        </w:tc>
        <w:tc>
          <w:tcPr>
            <w:tcW w:w="3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0"/>
                <w:szCs w:val="20"/>
                <w:color w:val="auto"/>
              </w:rPr>
            </w:pPr>
          </w:p>
        </w:tc>
      </w:tr>
      <w:tr>
        <w:trPr>
          <w:trHeight w:val="24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9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15"/>
        </w:trPr>
        <w:tc>
          <w:tcPr>
            <w:tcW w:w="6820" w:type="dxa"/>
            <w:vAlign w:val="bottom"/>
          </w:tcPr>
          <w:p>
            <w:pPr>
              <w:ind w:left="180"/>
              <w:spacing w:after="0"/>
              <w:rPr>
                <w:sz w:val="20"/>
                <w:szCs w:val="20"/>
                <w:color w:val="auto"/>
              </w:rPr>
            </w:pPr>
            <w:r>
              <w:rPr>
                <w:rFonts w:ascii="Arial" w:cs="Arial" w:eastAsia="Arial" w:hAnsi="Arial"/>
                <w:sz w:val="18"/>
                <w:szCs w:val="18"/>
                <w:color w:val="auto"/>
              </w:rPr>
              <w:t>Accounts receivable, supplies, other assets, accounts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payable and accrued liabilities associated with additions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6820" w:type="dxa"/>
            <w:vAlign w:val="bottom"/>
          </w:tcPr>
          <w:p>
            <w:pPr>
              <w:ind w:left="360"/>
              <w:spacing w:after="0"/>
              <w:rPr>
                <w:sz w:val="20"/>
                <w:szCs w:val="20"/>
                <w:color w:val="auto"/>
              </w:rPr>
            </w:pPr>
            <w:r>
              <w:rPr>
                <w:rFonts w:ascii="Arial" w:cs="Arial" w:eastAsia="Arial" w:hAnsi="Arial"/>
                <w:sz w:val="18"/>
                <w:szCs w:val="18"/>
                <w:color w:val="auto"/>
              </w:rPr>
              <w:t>of property, plant and equipment</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17,915</w:t>
            </w:r>
          </w:p>
        </w:tc>
        <w:tc>
          <w:tcPr>
            <w:tcW w:w="3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15,353</w:t>
            </w:r>
          </w:p>
        </w:tc>
        <w:tc>
          <w:tcPr>
            <w:tcW w:w="120" w:type="dxa"/>
            <w:vAlign w:val="bottom"/>
          </w:tcPr>
          <w:p>
            <w:pPr>
              <w:spacing w:after="0"/>
              <w:rPr>
                <w:sz w:val="20"/>
                <w:szCs w:val="20"/>
                <w:color w:val="auto"/>
              </w:rPr>
            </w:pPr>
          </w:p>
        </w:tc>
      </w:tr>
      <w:tr>
        <w:trPr>
          <w:trHeight w:val="250"/>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(Gain) loss on extinguishment of debt</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3"/>
              </w:rPr>
              <w:t>(8,644 )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21"/>
                <w:szCs w:val="21"/>
                <w:color w:val="auto"/>
              </w:rPr>
            </w:pPr>
          </w:p>
        </w:tc>
      </w:tr>
      <w:tr>
        <w:trPr>
          <w:trHeight w:val="237"/>
        </w:trPr>
        <w:tc>
          <w:tcPr>
            <w:tcW w:w="6820" w:type="dxa"/>
            <w:vAlign w:val="bottom"/>
          </w:tcPr>
          <w:p>
            <w:pPr>
              <w:ind w:left="180"/>
              <w:spacing w:after="0"/>
              <w:rPr>
                <w:sz w:val="20"/>
                <w:szCs w:val="20"/>
                <w:color w:val="auto"/>
              </w:rPr>
            </w:pPr>
            <w:r>
              <w:rPr>
                <w:rFonts w:ascii="Arial" w:cs="Arial" w:eastAsia="Arial" w:hAnsi="Arial"/>
                <w:sz w:val="18"/>
                <w:szCs w:val="18"/>
                <w:color w:val="auto"/>
              </w:rPr>
              <w:t xml:space="preserve">Settlement of life insurance </w:t>
            </w:r>
            <w:r>
              <w:rPr>
                <w:rFonts w:ascii="Arial" w:cs="Arial" w:eastAsia="Arial" w:hAnsi="Arial"/>
                <w:sz w:val="12"/>
                <w:szCs w:val="12"/>
                <w:color w:val="auto"/>
              </w:rPr>
              <w:t>(1)</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0"/>
                <w:szCs w:val="20"/>
                <w:color w:val="auto"/>
              </w:rPr>
            </w:pPr>
          </w:p>
        </w:tc>
      </w:tr>
      <w:tr>
        <w:trPr>
          <w:trHeight w:val="249"/>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payable associated with debt-related costs</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FF0FC"/>
          </w:tcPr>
          <w:p>
            <w:pPr>
              <w:spacing w:after="0"/>
              <w:rPr>
                <w:sz w:val="21"/>
                <w:szCs w:val="21"/>
                <w:color w:val="auto"/>
              </w:rPr>
            </w:pPr>
          </w:p>
        </w:tc>
      </w:tr>
    </w:tbl>
    <w:p>
      <w:pPr>
        <w:spacing w:after="0" w:line="350" w:lineRule="exact"/>
        <w:rPr>
          <w:sz w:val="20"/>
          <w:szCs w:val="20"/>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settlement of life insurance is included in our condensed consolidated statement of cash flows in “Other” under adjustments to reconcile net income to net cash provided by operating activities.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June 30, 2023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is headquartered in Oklahoma City, Oklahoma and through our subsidiaries, we manufacture and sell chemical products for the agricultural, mining and industrial markets. We own and operate facilities in Cherokee, Alabama, El Dorado, Arkansas and Pryor, Oklahoma and operate a facility on behalf of Covestro in Baytown, Texas. Our products are sold through distributors and directly to end customers primarily throughout the U.S. and parts of Mexico, Canada and the Caribbean.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Operating Initiatives for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expect our future results of operations and financial condition to benefit from the following key initiatives:</w:t>
      </w:r>
    </w:p>
    <w:p>
      <w:pPr>
        <w:spacing w:after="0" w:line="103" w:lineRule="exact"/>
        <w:rPr>
          <w:sz w:val="20"/>
          <w:szCs w:val="20"/>
          <w:color w:val="auto"/>
        </w:rPr>
      </w:pPr>
    </w:p>
    <w:p>
      <w:pPr>
        <w:ind w:left="10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Investing to improve Environmental, Health &amp; Safety and Reliability at our Facilities while Supplying our Customers with Products of the Highest Quality.</w:t>
      </w:r>
    </w:p>
    <w:p>
      <w:pPr>
        <w:spacing w:after="0" w:line="75" w:lineRule="exact"/>
        <w:rPr>
          <w:rFonts w:ascii="Arial" w:cs="Arial" w:eastAsia="Arial" w:hAnsi="Arial"/>
          <w:sz w:val="18"/>
          <w:szCs w:val="18"/>
          <w:color w:val="auto"/>
        </w:rPr>
      </w:pPr>
    </w:p>
    <w:p>
      <w:pPr>
        <w:jc w:val="both"/>
        <w:ind w:left="1260" w:hanging="368"/>
        <w:spacing w:after="0" w:line="275" w:lineRule="auto"/>
        <w:tabs>
          <w:tab w:leader="none" w:pos="1260" w:val="left"/>
        </w:tabs>
        <w:numPr>
          <w:ilvl w:val="1"/>
          <w:numId w:val="7"/>
        </w:numPr>
        <w:rPr>
          <w:rFonts w:ascii="Arial" w:cs="Arial" w:eastAsia="Arial" w:hAnsi="Arial"/>
          <w:sz w:val="17"/>
          <w:szCs w:val="17"/>
          <w:color w:val="auto"/>
        </w:rPr>
      </w:pPr>
      <w:r>
        <w:rPr>
          <w:rFonts w:ascii="Arial" w:cs="Arial" w:eastAsia="Arial" w:hAnsi="Arial"/>
          <w:sz w:val="17"/>
          <w:szCs w:val="17"/>
          <w:color w:val="auto"/>
        </w:rPr>
        <w:t>We believe that our operational progress over the past several years represents proof that high safety standards not only enable us to protect what matters, which is the well-being of our employees, but also translates into improved plant performance. In 2023 we remain focused on our efforts to further the progress we have made with our safety programs to move closer to attaining zero injuries. We are investing and plan to continue to invest additional capital at all three of our facilities during 2023 to build upon the success we have had in implementing enhanced safety programs during the last several years.</w:t>
      </w:r>
    </w:p>
    <w:p>
      <w:pPr>
        <w:spacing w:after="0" w:line="68" w:lineRule="exact"/>
        <w:rPr>
          <w:rFonts w:ascii="Arial" w:cs="Arial" w:eastAsia="Arial" w:hAnsi="Arial"/>
          <w:sz w:val="17"/>
          <w:szCs w:val="17"/>
          <w:color w:val="auto"/>
        </w:rPr>
      </w:pPr>
    </w:p>
    <w:p>
      <w:pPr>
        <w:jc w:val="both"/>
        <w:ind w:left="1260" w:hanging="368"/>
        <w:spacing w:after="0" w:line="259"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have multiple initiatives currently underway focused on continuing to improve the reliability of our plants as we advance towards our 95% ammonia on-stream operating rate goal. Progress towards this goal would enable us to produce greater volumes of product for sale while lowering our unit cost of production thereby increasing our overall profitability. Additionally, our product quality program continues to focus on providing products to our customers that meet our quality standards.</w:t>
      </w:r>
    </w:p>
    <w:p>
      <w:pPr>
        <w:spacing w:after="0" w:line="7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the Distribution and Optimization of our Product Mix. </w:t>
      </w:r>
      <w:r>
        <w:rPr>
          <w:rFonts w:ascii="Arial" w:cs="Arial" w:eastAsia="Arial" w:hAnsi="Arial"/>
          <w:sz w:val="18"/>
          <w:szCs w:val="18"/>
          <w:color w:val="auto"/>
        </w:rPr>
        <w:t>Over the course of 2022, we were successful in improving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production capacity of our plants, particularly through Turnarounds at two of our facilities. We plan to continue to expand the distribution of our products by partnering with customers to take product into different markets, while also focusing on opportunities to upgrade our margins through the optimization of our product mix. In January of 2023, we took over direct distribution of our Pryor facility’s UAN production following several years of working with a third party to sell the product. We believe that this, combined with continued expansion of our customer relationships and the robust market analysis capabilities we have developed, will make us more effective in identifying and capitalizing on the most profitable distribution opportunities for our products. Additionally, we are advancing several capital improvement projects during 2023 that are related to our storage and distribution capabilities which we believe will assist us in improving our overall margins.</w:t>
      </w:r>
    </w:p>
    <w:p>
      <w:pPr>
        <w:spacing w:after="0" w:line="88" w:lineRule="exact"/>
        <w:rPr>
          <w:rFonts w:ascii="Arial" w:cs="Arial" w:eastAsia="Arial" w:hAnsi="Arial"/>
          <w:sz w:val="18"/>
          <w:szCs w:val="18"/>
          <w:color w:val="auto"/>
        </w:rPr>
      </w:pPr>
    </w:p>
    <w:p>
      <w:pPr>
        <w:jc w:val="both"/>
        <w:ind w:left="1020" w:hanging="503"/>
        <w:spacing w:after="0" w:line="272"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Development and Implementation of a Strategy to Capitalize on Low Carbon Ammonia and Clean Energy Opportunities. </w:t>
      </w:r>
      <w:r>
        <w:rPr>
          <w:rFonts w:ascii="Arial" w:cs="Arial" w:eastAsia="Arial" w:hAnsi="Arial"/>
          <w:sz w:val="17"/>
          <w:szCs w:val="17"/>
          <w:color w:val="auto"/>
        </w:rPr>
        <w:t>The reduction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greenhouse gas emissions, particularly related to carbon dioxide, has been and we expect will increasingly become a global environmental priority as part of efforts to stem the harmful effects of climate change. Ammonia has continued to emerge as one of the more viable alternatives to serve as a hydrogen-based energy source for a variety of applications due to its higher energy density and ease of storage relative to hydrogen gas. Blue and green ammonia can be used as zero carbon fuel in the maritime sector, as a carbon free fertilizer and as a coal substitute in power generation. If ammonia were to be adopted for these and other energy needs globally, some studies have indicated that future demand could increase from current levels of global annual production of ammonia.</w:t>
      </w:r>
    </w:p>
    <w:p>
      <w:pPr>
        <w:spacing w:after="0" w:line="69" w:lineRule="exact"/>
        <w:rPr>
          <w:sz w:val="20"/>
          <w:szCs w:val="20"/>
          <w:color w:val="auto"/>
        </w:rPr>
      </w:pPr>
    </w:p>
    <w:p>
      <w:pPr>
        <w:jc w:val="both"/>
        <w:ind w:left="1000"/>
        <w:spacing w:after="0" w:line="272" w:lineRule="auto"/>
        <w:rPr>
          <w:sz w:val="20"/>
          <w:szCs w:val="20"/>
          <w:color w:val="auto"/>
        </w:rPr>
      </w:pPr>
      <w:r>
        <w:rPr>
          <w:rFonts w:ascii="Arial" w:cs="Arial" w:eastAsia="Arial" w:hAnsi="Arial"/>
          <w:sz w:val="17"/>
          <w:szCs w:val="17"/>
          <w:color w:val="auto"/>
        </w:rPr>
        <w:t>As a result, we are currently evaluating and developing projects that could enable us to become a producer and marketer of blue and green ammonia and other derivative products. Blue ammonia is produced using natural gas and conventional processes but includes an additional stage where the carbon dioxide emissions are captured and permanently stored in deep underground rock formations. The resulting low carbon emission product, we believe, can be sold at a premium to agricultural, industrial, mining, power generation and marine customers seeking to reduce their carbon footprint and potentially capitalize on government incentives. Green ammonia is ammonia produced using renewable energy to power electrolyzers that extract hydrogen from water, resulting in zero-carbon production of ammonia, which we believe can also be sold at a premium to a variety of customers and industries around the world.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ind w:left="1000"/>
        <w:spacing w:after="0" w:line="259" w:lineRule="auto"/>
        <w:rPr>
          <w:sz w:val="20"/>
          <w:szCs w:val="20"/>
          <w:color w:val="auto"/>
        </w:rPr>
      </w:pPr>
      <w:r>
        <w:rPr>
          <w:rFonts w:ascii="Arial" w:cs="Arial" w:eastAsia="Arial" w:hAnsi="Arial"/>
          <w:sz w:val="18"/>
          <w:szCs w:val="18"/>
          <w:color w:val="auto"/>
        </w:rPr>
        <w:t>We believe we are well-positioned to capitalize on this opportunity and become a market leader given our potential to retrofit our existing plants rather than needing to invest entirely in greenfield projects, which we believe can reduce our time to market for this product and also reduce the upfront capital expenditures necessary to enable us to produce this product, thereby enhancing the economic attractiveness for us to such investments.</w:t>
      </w:r>
    </w:p>
    <w:p>
      <w:pPr>
        <w:spacing w:after="0" w:line="79" w:lineRule="exact"/>
        <w:rPr>
          <w:sz w:val="20"/>
          <w:szCs w:val="20"/>
          <w:color w:val="auto"/>
        </w:rPr>
      </w:pPr>
    </w:p>
    <w:p>
      <w:pPr>
        <w:jc w:val="both"/>
        <w:ind w:left="1020" w:hanging="503"/>
        <w:spacing w:after="0" w:line="270"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Evaluate and Pursue Organic Capacity Expansion. </w:t>
      </w:r>
      <w:r>
        <w:rPr>
          <w:rFonts w:ascii="Arial" w:cs="Arial" w:eastAsia="Arial" w:hAnsi="Arial"/>
          <w:sz w:val="17"/>
          <w:szCs w:val="17"/>
          <w:color w:val="auto"/>
        </w:rPr>
        <w:t>We are evaluating opportunities across all our facilities to increase production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implementation of several potential debottlenecking projects. Our initial calculations suggest that these projects could potentially represent significant incremental annual profitability using an assumed mid-market pricing for Tampa Ammonia, UAN and natural gas. We have engaged third party engineering firms to conduct feasibility studies on several potential projects at our El Dorado site. We expect to receive the results of these studies during the third quarter of 2023. If the proposed projects meet our return criteria, we would expect to make recommendations to our Board of Directors (our “Board”) to move forward and engage an engineering firm to conduct the front end engineering design ("FEED") process. We estimate the FEED process will take nine to twelve months to complete. Upon completion of the FEED process, we expect to again review the projects in relation to the outlook for our product end markets and the overall economy and make a decision as to which products to pursue.</w:t>
      </w:r>
    </w:p>
    <w:p>
      <w:pPr>
        <w:spacing w:after="0" w:line="72" w:lineRule="exact"/>
        <w:rPr>
          <w:rFonts w:ascii="Arial" w:cs="Arial" w:eastAsia="Arial" w:hAnsi="Arial"/>
          <w:sz w:val="17"/>
          <w:szCs w:val="17"/>
          <w:color w:val="auto"/>
        </w:rPr>
      </w:pPr>
    </w:p>
    <w:p>
      <w:pPr>
        <w:jc w:val="both"/>
        <w:ind w:left="1020" w:hanging="503"/>
        <w:spacing w:after="0" w:line="30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Pursue Acquisitions of Strategic Assets or Companies. </w:t>
      </w:r>
      <w:r>
        <w:rPr>
          <w:rFonts w:ascii="Arial" w:cs="Arial" w:eastAsia="Arial" w:hAnsi="Arial"/>
          <w:sz w:val="16"/>
          <w:szCs w:val="16"/>
          <w:color w:val="auto"/>
        </w:rPr>
        <w:t>We are continuously evaluating opportunities to acquire strategic assets or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where we believe those acquisitions will enhance the value of the Company and provide attractive returns. We evaluate assets and companies that can provide us with geographic expansion, extend an existing product line, add one or more new product lines, leverage our existing ammonia production capabilities, or complement our existing business lines, among other accretive opportunities.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Advanced Low and No Carbon Ammonia Initiatives</w:t>
      </w:r>
    </w:p>
    <w:p>
      <w:pPr>
        <w:spacing w:after="0" w:line="6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April 2022, we entered into an agreement with Lapis Energy to develop a project to capture and permanently sequester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at our El Dorado, Arkansas facility. Lapis, backed by Cresta Fund Management, a Dallas-based middle-market infrastructure investment firm, will make 100% of the capital investment required for the project development. The project is expected to be completed by 2025, subject to the approval of a Class VI permit, at which time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injections are expected to begin. Once operational, the project at the El Dorado site will initially capture and permanently sequester more than 450,000 metric tons of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per year in underground saline aquifers, with the potential to increase this quantity based on a potential debottlenecking project at the facility. The permanently sequestered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generated from the facility’s ammonia production is expected to qualify for federal tax credits under Internal Revenue Code Section 45Q, which are $85 per metric ton of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captured beginning in 2026. Once in operation, the sequestered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is expected to reduce LSB’s scope 1 GHG emissions by approximately 25% from current levels. In addition, sequestering more than 450,000 metric tons of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annually is expected to enable LSB to produce over 375,000 metric tons of blue ammonia annually, a product that could potentially be sold at higher price levels than conventional ammonia. In February 2023, we achieved a key milestone in the advancement of our blue ammonia project at El Dorado by filing a pre-construction Class VI permit application with the U.S. Environmental Protection Agency (the “EPA”). The EPA recognized our application as complete in March 2023 and is currently in the review process.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2022, we entered into agreements with Thyssenkrupp Uhde USA, LLC and Bloom Energy Corporation, (NYSE:BE) to develop a project to produce approximately 30,000 metric tons of zero-carbon or “green” ammonia per year at our Pryor, Oklahoma facility. Thyssenkrupp Uhde completed a feasibility study to convert a small portion of Pryor’s existing conventional or “grey” ammonia capacity into green ammonia. We continue to work with several engineering, procurement and construction firms for other designs and cost estimates. Once a project design is selected and Board approval is granted, the project will move forward into the FEED, detailed engineering and construction. Bloom will operate and maintain the solid oxide electrolyzer. The green hydrogen produced from the electrolyzers is expected to qualify for federal incentive programs such as the production and tax credit under Internal Revenue Code Section 45V, which are up to $3 per kilogram of clean hydrogen beginning in 2023.</w:t>
      </w:r>
    </w:p>
    <w:p>
      <w:pPr>
        <w:spacing w:after="0" w:line="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May 2023, we entered into a non-binding memorandum of understanding (the "MOU") with Amogy Inc. aimed at developing the adoption of low-carbon ammonia as a marine fuel, initially for the U.S. inland waterways transportation sector. Through joint efforts, the companies will focus on advancing the understanding, utilization, and advocacy of low-carbon ammonia as a sustainable fuel. Pursuant to the MOU, the companies will collaborate on the evaluation and development of a pilot program that integrates LSB’s low carbon ammonia and Amogy’s ammonia-to-power solution. Upon successful completion of the evaluation and pilot program, the companies expect to further collaborate at a larger-scale, including exploration of opportunities for development of an end-to-end supply chain of low carbon ammonia and deployment of Amogy technology across multiple applications, including maritime vessels. The evaluation and pilot program includes potential engagement with other parties across the ammonia value chain. The two parties will also collaborate on various advocacy, education, and outreach efforts regarding the use of ammonia as a fuel.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Lower Product Selling Prices Partially Offset by Stronger Sales Volume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volumes of our products increased in the second quarter of 2023 as compared to the same quarter of 2022. This was driven largely by stronger ammonia production at our facilities, reflecting investments we have made in plant reliability over the past several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With respect to our second quarter 2023 profitability, higher sales volumes were more than offset by the impact of lower selling prices relative to the second quarter of 2022.</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decline in fertilizer prices was the result of a variety of domestic and international factors. A key factor in the weakening of nitrogen fertilizer prices over the past year has been the decline in natural gas costs in Europe. Natural gas is the primary feedstock for the production of ammonia. Natural gas prices in Europe have dropped due to a reduction in demand primarily related to warmer than expected temperatures throughout Europe this past winter combined with increased storage inventories resulting from imports of liquified natural gas from the U.S. After having production largely curtailed for much of 2022, lower natural gas costs have enabled a majority of European ammonia facilities to resume operations in recent months, increasing global supply for nitrogen products. With that said, natural gas costs in Europe remain higher than those in the U.S. and European operators remain the high cost, or marginal producers, with production costs higher than those in the U.S.</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slowdown in Chinese industrial activity has also contributed to lower nitrogen prices. Ammonia is a feedstock for various downstream chemicals that are produced in China, such as caprolactam and acrylonitrile. China’s manufacturing activity has contracted for much of the past two years resulting in a reduction of China’s ammonia consumption and translating into greater global ammonia supply and weaker prices.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cold and wet weather across many corn growing regions of the U.S. in the early Spring caused a delay in the application of fertilizers which, combined with lower demand for phosphate products this planting season, further increased ammonia inventories in the supply chain and led to weaker prices.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nitrogen pricing to stabilize at or near current levels in the coming months. We believe that the current prices for ammonia and other nitrogen products should prove attractive to retailers and farmers such that, as the second half of 2023 progresses and as the 2024 planting season approaches, demand for nitrogen fertilizers should increase to a degree that pricing will begin to rise towards historical average levels.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attractive pricing, we expect favorable U.S. corn market dynamics to provide support for stronger fertilizer pricing later this year and into next year. Corn prices remain above 10-year averages which, combined with lower input costs relative to last year, should further incentivize farmers to optimize fertilizer applications in the fourth quarter of 2023 and the first half of 2024 in order to maximize yields for the next Spring growing season.</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industrial business has been robust and demand for our products is steady. Nitric acid demand is stable as the demand impacts of high inflation in the U.S. has been offset by global producers shifting production from international facilities to their U.S. operations in order to take advantage of lower domestic input costs. Demand for AN for use in mining applications is robust due to attractive market fundamentals for quarrying and aggregate production and U.S. metals. While economic concerns persist for 2023, we believe that we have a meaningful degree of downside protection from the potential impacts of a recession given our diverse customer base, the nature of our contracts and our ability to shift our production mix to products where demand and pricing are strongest.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Fertilizer</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including the impact from the Phase 1 trade agreement between the U.S. and China. These factors can affect, in addition to selling prices, the level of inventories in the market which can cause price volatility and affect product margins.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changes in corn prices, as well as soybean, cotton and wheat prices, can affect the number of acres of corn planted in a given year and the number of acres planted will drive the level of nitrogen fertilizer consumption, likely affecting prices.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According to the July Report, farmers planted approximately 94.1 million acres of corn in 2023, up 6% compared to the 2022 planting season. In addition, the U.S. Department of Agriculture (“USDA”) estimates the U.S. ending stocks for the 2023 Harvest will be approximately 58 million metric tons, a 62% increase from the 2022 Harvest. The USDA also raised the expected yield for the 2023 Harvest, up approximately 2% from a year ago.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July 2023 estimates are associated with the corn market: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2024 Crop</w:t>
            </w:r>
          </w:p>
        </w:tc>
        <w:tc>
          <w:tcPr>
            <w:tcW w:w="2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2023 Crop</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2022 Crop</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0"/>
        </w:trPr>
        <w:tc>
          <w:tcPr>
            <w:tcW w:w="344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(2023 Harvest)</w:t>
            </w:r>
          </w:p>
        </w:tc>
        <w:tc>
          <w:tcPr>
            <w:tcW w:w="26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(2022 Harvest)</w:t>
            </w:r>
          </w:p>
        </w:tc>
        <w:tc>
          <w:tcPr>
            <w:tcW w:w="280" w:type="dxa"/>
            <w:vAlign w:val="bottom"/>
          </w:tcPr>
          <w:p>
            <w:pPr>
              <w:spacing w:after="0"/>
              <w:rPr>
                <w:sz w:val="23"/>
                <w:szCs w:val="23"/>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Percentage</w:t>
            </w: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(2021 Harvest)</w:t>
            </w:r>
          </w:p>
        </w:tc>
        <w:tc>
          <w:tcPr>
            <w:tcW w:w="260" w:type="dxa"/>
            <w:vAlign w:val="bottom"/>
          </w:tcPr>
          <w:p>
            <w:pPr>
              <w:spacing w:after="0"/>
              <w:rPr>
                <w:sz w:val="23"/>
                <w:szCs w:val="23"/>
                <w:color w:val="auto"/>
              </w:rPr>
            </w:pPr>
          </w:p>
        </w:tc>
        <w:tc>
          <w:tcPr>
            <w:tcW w:w="1380" w:type="dxa"/>
            <w:vAlign w:val="bottom"/>
            <w:gridSpan w:val="3"/>
          </w:tcPr>
          <w:p>
            <w:pPr>
              <w:ind w:left="280"/>
              <w:spacing w:after="0"/>
              <w:rPr>
                <w:sz w:val="20"/>
                <w:szCs w:val="20"/>
                <w:color w:val="auto"/>
              </w:rPr>
            </w:pPr>
            <w:r>
              <w:rPr>
                <w:rFonts w:ascii="Arial" w:cs="Arial" w:eastAsia="Arial" w:hAnsi="Arial"/>
                <w:sz w:val="14"/>
                <w:szCs w:val="14"/>
                <w:b w:val="1"/>
                <w:bCs w:val="1"/>
                <w:color w:val="auto"/>
              </w:rPr>
              <w:t>Percentage</w:t>
            </w:r>
          </w:p>
        </w:tc>
      </w:tr>
      <w:tr>
        <w:trPr>
          <w:trHeight w:val="228"/>
        </w:trPr>
        <w:tc>
          <w:tcPr>
            <w:tcW w:w="34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July Report (1)</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July Report (1)</w:t>
            </w:r>
          </w:p>
        </w:tc>
        <w:tc>
          <w:tcPr>
            <w:tcW w:w="280" w:type="dxa"/>
            <w:vAlign w:val="bottom"/>
          </w:tcPr>
          <w:p>
            <w:pPr>
              <w:spacing w:after="0"/>
              <w:rPr>
                <w:sz w:val="19"/>
                <w:szCs w:val="19"/>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Change (2)</w:t>
            </w: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July Report (1)</w:t>
            </w:r>
          </w:p>
        </w:tc>
        <w:tc>
          <w:tcPr>
            <w:tcW w:w="260" w:type="dxa"/>
            <w:vAlign w:val="bottom"/>
          </w:tcPr>
          <w:p>
            <w:pPr>
              <w:spacing w:after="0"/>
              <w:rPr>
                <w:sz w:val="19"/>
                <w:szCs w:val="19"/>
                <w:color w:val="auto"/>
              </w:rPr>
            </w:pPr>
          </w:p>
        </w:tc>
        <w:tc>
          <w:tcPr>
            <w:tcW w:w="1380" w:type="dxa"/>
            <w:vAlign w:val="bottom"/>
            <w:gridSpan w:val="3"/>
          </w:tcPr>
          <w:p>
            <w:pPr>
              <w:ind w:left="280"/>
              <w:spacing w:after="0"/>
              <w:rPr>
                <w:sz w:val="20"/>
                <w:szCs w:val="20"/>
                <w:color w:val="auto"/>
              </w:rPr>
            </w:pPr>
            <w:r>
              <w:rPr>
                <w:rFonts w:ascii="Arial" w:cs="Arial" w:eastAsia="Arial" w:hAnsi="Arial"/>
                <w:sz w:val="14"/>
                <w:szCs w:val="14"/>
                <w:b w:val="1"/>
                <w:bCs w:val="1"/>
                <w:color w:val="auto"/>
              </w:rPr>
              <w:t>Change (3)</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2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26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56"/>
        </w:trPr>
        <w:tc>
          <w:tcPr>
            <w:tcW w:w="3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178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2.4 %</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w:t>
            </w:r>
          </w:p>
        </w:tc>
        <w:tc>
          <w:tcPr>
            <w:tcW w:w="1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0.5 %</w:t>
            </w:r>
          </w:p>
        </w:tc>
        <w:tc>
          <w:tcPr>
            <w:tcW w:w="20" w:type="dxa"/>
            <w:vAlign w:val="bottom"/>
          </w:tcPr>
          <w:p>
            <w:pPr>
              <w:spacing w:after="0"/>
              <w:rPr>
                <w:sz w:val="22"/>
                <w:szCs w:val="22"/>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420" w:type="dxa"/>
            <w:vAlign w:val="bottom"/>
          </w:tcPr>
          <w:p>
            <w:pPr>
              <w:jc w:val="right"/>
              <w:spacing w:after="0"/>
              <w:rPr>
                <w:sz w:val="20"/>
                <w:szCs w:val="20"/>
                <w:color w:val="auto"/>
              </w:rPr>
            </w:pPr>
            <w:r>
              <w:rPr>
                <w:rFonts w:ascii="Arial" w:cs="Arial" w:eastAsia="Arial" w:hAnsi="Arial"/>
                <w:sz w:val="18"/>
                <w:szCs w:val="18"/>
                <w:color w:val="auto"/>
              </w:rPr>
              <w:t>15,320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13,730</w:t>
            </w:r>
          </w:p>
        </w:tc>
        <w:tc>
          <w:tcPr>
            <w:tcW w:w="1780" w:type="dxa"/>
            <w:vAlign w:val="bottom"/>
            <w:gridSpan w:val="4"/>
          </w:tcPr>
          <w:p>
            <w:pPr>
              <w:jc w:val="right"/>
              <w:ind w:right="100"/>
              <w:spacing w:after="0"/>
              <w:rPr>
                <w:sz w:val="20"/>
                <w:szCs w:val="20"/>
                <w:color w:val="auto"/>
              </w:rPr>
            </w:pPr>
            <w:r>
              <w:rPr>
                <w:rFonts w:ascii="Arial" w:cs="Arial" w:eastAsia="Arial" w:hAnsi="Arial"/>
                <w:sz w:val="18"/>
                <w:szCs w:val="18"/>
                <w:color w:val="auto"/>
              </w:rPr>
              <w:t>11.6 %</w:t>
            </w:r>
          </w:p>
        </w:tc>
        <w:tc>
          <w:tcPr>
            <w:tcW w:w="1300" w:type="dxa"/>
            <w:vAlign w:val="bottom"/>
          </w:tcPr>
          <w:p>
            <w:pPr>
              <w:jc w:val="right"/>
              <w:spacing w:after="0"/>
              <w:rPr>
                <w:sz w:val="20"/>
                <w:szCs w:val="20"/>
                <w:color w:val="auto"/>
              </w:rPr>
            </w:pPr>
            <w:r>
              <w:rPr>
                <w:rFonts w:ascii="Arial" w:cs="Arial" w:eastAsia="Arial" w:hAnsi="Arial"/>
                <w:sz w:val="18"/>
                <w:szCs w:val="18"/>
                <w:color w:val="auto"/>
              </w:rPr>
              <w:t>15,074</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20"/>
                <w:szCs w:val="20"/>
                <w:color w:val="auto"/>
              </w:rPr>
            </w:pPr>
          </w:p>
        </w:tc>
      </w:tr>
      <w:tr>
        <w:trPr>
          <w:trHeight w:val="256"/>
        </w:trPr>
        <w:tc>
          <w:tcPr>
            <w:tcW w:w="3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78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61.5 %</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64.3 %</w:t>
            </w:r>
          </w:p>
        </w:tc>
        <w:tc>
          <w:tcPr>
            <w:tcW w:w="20" w:type="dxa"/>
            <w:vAlign w:val="bottom"/>
          </w:tcPr>
          <w:p>
            <w:pPr>
              <w:spacing w:after="0"/>
              <w:rPr>
                <w:sz w:val="22"/>
                <w:szCs w:val="22"/>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420" w:type="dxa"/>
            <w:vAlign w:val="bottom"/>
          </w:tcPr>
          <w:p>
            <w:pPr>
              <w:jc w:val="right"/>
              <w:spacing w:after="0"/>
              <w:rPr>
                <w:sz w:val="20"/>
                <w:szCs w:val="20"/>
                <w:color w:val="auto"/>
              </w:rPr>
            </w:pPr>
            <w:r>
              <w:rPr>
                <w:rFonts w:ascii="Arial" w:cs="Arial" w:eastAsia="Arial" w:hAnsi="Arial"/>
                <w:sz w:val="18"/>
                <w:szCs w:val="18"/>
                <w:color w:val="auto"/>
              </w:rPr>
              <w:t>314.1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296.3</w:t>
            </w:r>
          </w:p>
        </w:tc>
        <w:tc>
          <w:tcPr>
            <w:tcW w:w="1780" w:type="dxa"/>
            <w:vAlign w:val="bottom"/>
            <w:gridSpan w:val="4"/>
          </w:tcPr>
          <w:p>
            <w:pPr>
              <w:jc w:val="right"/>
              <w:ind w:right="100"/>
              <w:spacing w:after="0"/>
              <w:rPr>
                <w:sz w:val="20"/>
                <w:szCs w:val="20"/>
                <w:color w:val="auto"/>
              </w:rPr>
            </w:pPr>
            <w:r>
              <w:rPr>
                <w:rFonts w:ascii="Arial" w:cs="Arial" w:eastAsia="Arial" w:hAnsi="Arial"/>
                <w:sz w:val="18"/>
                <w:szCs w:val="18"/>
                <w:color w:val="auto"/>
              </w:rPr>
              <w:t>6.0 %</w:t>
            </w:r>
          </w:p>
        </w:tc>
        <w:tc>
          <w:tcPr>
            <w:tcW w:w="1300" w:type="dxa"/>
            <w:vAlign w:val="bottom"/>
          </w:tcPr>
          <w:p>
            <w:pPr>
              <w:jc w:val="right"/>
              <w:spacing w:after="0"/>
              <w:rPr>
                <w:sz w:val="20"/>
                <w:szCs w:val="20"/>
                <w:color w:val="auto"/>
              </w:rPr>
            </w:pPr>
            <w:r>
              <w:rPr>
                <w:rFonts w:ascii="Arial" w:cs="Arial" w:eastAsia="Arial" w:hAnsi="Arial"/>
                <w:sz w:val="18"/>
                <w:szCs w:val="18"/>
                <w:color w:val="auto"/>
              </w:rPr>
              <w:t>309.9</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20" w:type="dxa"/>
            <w:vAlign w:val="bottom"/>
          </w:tcPr>
          <w:p>
            <w:pPr>
              <w:spacing w:after="0"/>
              <w:rPr>
                <w:sz w:val="20"/>
                <w:szCs w:val="20"/>
                <w:color w:val="auto"/>
              </w:rPr>
            </w:pPr>
          </w:p>
        </w:tc>
      </w:tr>
    </w:tbl>
    <w:p>
      <w:pPr>
        <w:spacing w:after="0" w:line="214" w:lineRule="exact"/>
        <w:rPr>
          <w:sz w:val="20"/>
          <w:szCs w:val="20"/>
          <w:color w:val="auto"/>
        </w:rPr>
      </w:pPr>
    </w:p>
    <w:p>
      <w:pPr>
        <w:jc w:val="both"/>
        <w:ind w:left="760" w:right="20" w:hanging="378"/>
        <w:spacing w:after="0" w:line="269"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Information obtained from the World Agricultural Supply and Demand Estimates Report dated July 12, 2023 (“July Report”) for the 2023/2024 ("2024 Crop"), 2022/2023 (“2023 Crop”) and 2021/2022 (“2022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1" w:lineRule="exact"/>
        <w:rPr>
          <w:rFonts w:ascii="Arial" w:cs="Arial" w:eastAsia="Arial" w:hAnsi="Arial"/>
          <w:sz w:val="17"/>
          <w:szCs w:val="17"/>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percentage change between the 2024 Crop amounts compared to the 2023 Crop amounts.</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percentage change between the 2024 Crop amounts compared to the 2022 Crop amounts.</w:t>
      </w:r>
    </w:p>
    <w:p>
      <w:pPr>
        <w:spacing w:after="0" w:line="10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current USDA corn outlook for the U.S. is for lower beginning stocks as greater feed and residual use for 2022/23 Crop more than offsets reductions in corn used for ethanol and exports. Corn production for 2023/24 Crop is forecast up 55 million bushels as greater planted and harvested area from the June 30, 2023 USDA Acreage report is partially offset by a 4.0-bushel reduction in yield to 177.5 bushels per acre in the July report. From a demand perspective, corn prices remain above 10-year averages, which we expect to incentivize farmers to optimize fertilizer applications in the fourth quarter of 2023 and the first half of 2024 in order to maximize yields.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Industrial and Mining Products</w:t>
      </w:r>
    </w:p>
    <w:p>
      <w:pPr>
        <w:spacing w:after="0" w:line="12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Our industrial products sales volumes are dependent upon general economic conditions, primarily in the housing, automotive and paper industries. Demand for our industrial products has remained steady. Nitric acid demand is stable as the demand impacts of high inflation in the U.S. has been offset by global producers shifting production from international facilities to their U.S. operations in order to take advantage of lower domestic input costs. Our sales prices generally vary with the market price of ammonia or natural gas, as applicable, in our pricing arrangements with customers.</w:t>
      </w:r>
    </w:p>
    <w:p>
      <w:pPr>
        <w:spacing w:after="0" w:line="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mining products are LDAN and AN solution, which are primarily used as AN fuel oil and specialty emulsions for usage in the quarry and the construction industries, for metals mining and to a lesser extent, for coal. Demand for AN for use in mining applications is robust due to attractive market fundamentals for quarrying and aggregate production and U.S. metals.</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economic concerns persist for 2023, we believe that for both our industrial and mining products we have a meaningful degree of downside protection from the potential impacts of a recession given the nature of our contracts and our ability to shift our production mix to products where demand and pricing are strongest.</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volume of natural gas we purchased and the average cost per MMBtu:</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12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4"/>
                <w:szCs w:val="24"/>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18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Natural gas average cost per MMBtu</w:t>
            </w:r>
          </w:p>
        </w:tc>
        <w:tc>
          <w:tcPr>
            <w:tcW w:w="25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3.39</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7.15</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40" w:type="dxa"/>
            <w:vAlign w:val="bottom"/>
            <w:vMerge w:val="restart"/>
          </w:tcPr>
          <w:p>
            <w:pPr>
              <w:jc w:val="right"/>
              <w:ind w:right="1170"/>
              <w:spacing w:after="0"/>
              <w:rPr>
                <w:sz w:val="20"/>
                <w:szCs w:val="20"/>
                <w:color w:val="auto"/>
              </w:rPr>
            </w:pPr>
            <w:r>
              <w:rPr>
                <w:rFonts w:ascii="Arial" w:cs="Arial" w:eastAsia="Arial" w:hAnsi="Arial"/>
                <w:sz w:val="18"/>
                <w:szCs w:val="18"/>
                <w:color w:val="auto"/>
              </w:rPr>
              <w:t>21</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-702310</wp:posOffset>
            </wp:positionV>
            <wp:extent cx="94297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2975"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for transporting nitrogen-based products can be significant relative to their selling price. We continue to evaluate the recent rising costs of freight domestically. As a result of increases in demand for available rail, truck and barge options to transport product, primarily during the spring and fall planting seasons, higher transportation costs have and could continue to impact our margins if we are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spacing w:after="0" w:line="76"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Cherokee Facility is currently on a three-year ammonia plant Turnaround cycle completing with the next ammonia plant Turnaround planned in the third quarter of 2024.</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El Dorado Facility completed its scheduled ammonia plant Turnaround during the third quarter of 2022. Our Pryor Facility completed its scheduled ammonia plant Turnaround during the fourth quarter of 2022. Our El Dorado Facility and our Pryor Facility are now on a three-year and two-year ammonia plant Turnaround cycle, respectively.</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Ammonia Production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Ammonia is the basic product used to produce all of our upgraded products. The ammonia production rates of our plants affect the total cost per ton of each product produced and the overall sales of our products. For 2023, we are targeting total ammonia production of approximately 830,000 tons to 850,000 tons.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Sales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Second Quarter of 2023</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net sales for the second quarter of 2023 were $165.8 million compared to $284.8 million for the same period in 2022. Our consolidated operating income for the second quarter of 2023 was $27.5 million compared to $132.7 million for the same period in 2022. The items impacting our operating results are discussed in more detail below and under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Second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second quarter of 2023, average selling prices for our key products decreased compared to the second quarter of 2022. As discussed above under “Recent Business Developments,” declining European natural gas prices resulting in ammonia production costs in Europe declining substantially, translating into increased global supply and lower selling prices for ammonia and ammonia derivative fertilizers.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second quarter of 2023, average industrial selling prices for our products were also lower compared to the same period of 2022, primarily driven by the $887 per metric ton decrease in the Tampa Ammonia benchmark price, as many of our industrial contracts are indexed to the Tampa Ammonia benchmark price.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Senior Secured Notes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2023 we repurchased $125 million in principal amount of our Senior Secured Notes for approximately $114.3 million. Including our write-off of the associated remaining portion of unamortized debt issuance costs, we recognized a gain on extinguishment of approximately $8.6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Settlement of Life Insurance (2022 only)</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June we recognized a settlement on our company owned life insurance resulting from the approval by our insurer of a death benefit relating to the death of J. Golsen as discussed in Note 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following Results of Operations should be read in conjunction with our condensed consolidated financial statements for the three months ended June 30, 2023 and 2022 and accompanying notes and the discussions under “Overview” and “Liquidity and Capital Resources” included in this MD&amp;A.</w:t>
      </w:r>
    </w:p>
    <w:p>
      <w:pPr>
        <w:spacing w:after="0" w:line="1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Three Months Ended June 30, 2023 Compared to Three Months Ended June 30,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5"/>
          </w:tcPr>
          <w:p>
            <w:pPr>
              <w:jc w:val="right"/>
              <w:ind w:right="102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gridSpan w:val="3"/>
          </w:tcPr>
          <w:p>
            <w:pPr>
              <w:jc w:val="right"/>
              <w:ind w:right="72"/>
              <w:spacing w:after="0"/>
              <w:rPr>
                <w:sz w:val="20"/>
                <w:szCs w:val="20"/>
                <w:color w:val="auto"/>
              </w:rPr>
            </w:pPr>
            <w:r>
              <w:rPr>
                <w:rFonts w:ascii="Arial" w:cs="Arial" w:eastAsia="Arial" w:hAnsi="Arial"/>
                <w:sz w:val="18"/>
                <w:szCs w:val="18"/>
                <w:color w:val="auto"/>
              </w:rPr>
              <w:t>June 30,</w:t>
            </w: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63"/>
        </w:trPr>
        <w:tc>
          <w:tcPr>
            <w:tcW w:w="48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2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6"/>
                <w:szCs w:val="16"/>
                <w:color w:val="auto"/>
                <w:w w:val="91"/>
              </w:rPr>
              <w:t>(Dollars In Thousands)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Arial" w:cs="Arial" w:eastAsia="Arial" w:hAnsi="Arial"/>
                <w:sz w:val="18"/>
                <w:szCs w:val="18"/>
                <w:color w:val="auto"/>
              </w:rPr>
              <w:t>AN &amp; Nitric Acid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69,561</w:t>
            </w:r>
          </w:p>
        </w:tc>
        <w:tc>
          <w:tcPr>
            <w:tcW w:w="30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96,142</w:t>
            </w:r>
          </w:p>
        </w:tc>
        <w:tc>
          <w:tcPr>
            <w:tcW w:w="3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(26,581 )</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2"/>
        </w:trPr>
        <w:tc>
          <w:tcPr>
            <w:tcW w:w="4820" w:type="dxa"/>
            <w:vAlign w:val="bottom"/>
          </w:tcPr>
          <w:p>
            <w:pPr>
              <w:ind w:left="120"/>
              <w:spacing w:after="0"/>
              <w:rPr>
                <w:sz w:val="20"/>
                <w:szCs w:val="20"/>
                <w:color w:val="auto"/>
              </w:rPr>
            </w:pPr>
            <w:r>
              <w:rPr>
                <w:rFonts w:ascii="Arial" w:cs="Arial" w:eastAsia="Arial" w:hAnsi="Arial"/>
                <w:sz w:val="18"/>
                <w:szCs w:val="18"/>
                <w:color w:val="auto"/>
              </w:rPr>
              <w:t>Urea ammonium nitrate (UAN)</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40,905</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76,986</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(36,081 )</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Ammonia</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39,612</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89,444</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(49,832 )</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57"/>
        </w:trPr>
        <w:tc>
          <w:tcPr>
            <w:tcW w:w="4820" w:type="dxa"/>
            <w:vAlign w:val="bottom"/>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15,767</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22,231</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(6,464 )</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165,845</w:t>
            </w:r>
          </w:p>
        </w:tc>
        <w:tc>
          <w:tcPr>
            <w:tcW w:w="30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284,803</w:t>
            </w:r>
          </w:p>
        </w:tc>
        <w:tc>
          <w:tcPr>
            <w:tcW w:w="3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 xml:space="preserve">(118,958 </w:t>
            </w:r>
            <w:r>
              <w:rPr>
                <w:rFonts w:ascii="Arial" w:cs="Arial" w:eastAsia="Arial" w:hAnsi="Arial"/>
                <w:sz w:val="18"/>
                <w:szCs w:val="18"/>
                <w:color w:val="auto"/>
                <w:highlight w:val="white"/>
              </w:rPr>
              <w:t>)</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20" w:type="dxa"/>
            <w:vAlign w:val="bottom"/>
          </w:tcPr>
          <w:p>
            <w:pPr>
              <w:ind w:left="12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52,949</w:t>
            </w:r>
          </w:p>
        </w:tc>
        <w:tc>
          <w:tcPr>
            <w:tcW w:w="3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162,865</w:t>
            </w:r>
          </w:p>
        </w:tc>
        <w:tc>
          <w:tcPr>
            <w:tcW w:w="3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(109,916 )</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(16,955 )</w:t>
            </w:r>
          </w:p>
        </w:tc>
        <w:tc>
          <w:tcPr>
            <w:tcW w:w="3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(16,646 )</w:t>
            </w:r>
          </w:p>
        </w:tc>
        <w:tc>
          <w:tcPr>
            <w:tcW w:w="260" w:type="dxa"/>
            <w:vAlign w:val="bottom"/>
          </w:tcPr>
          <w:p>
            <w:pPr>
              <w:spacing w:after="0"/>
              <w:rPr>
                <w:sz w:val="21"/>
                <w:szCs w:val="21"/>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(309 )</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7"/>
        </w:trPr>
        <w:tc>
          <w:tcPr>
            <w:tcW w:w="4820" w:type="dxa"/>
            <w:vAlign w:val="bottom"/>
          </w:tcPr>
          <w:p>
            <w:pPr>
              <w:ind w:left="120"/>
              <w:spacing w:after="0"/>
              <w:rPr>
                <w:sz w:val="20"/>
                <w:szCs w:val="20"/>
                <w:color w:val="auto"/>
              </w:rPr>
            </w:pPr>
            <w:r>
              <w:rPr>
                <w:rFonts w:ascii="Arial" w:cs="Arial" w:eastAsia="Arial" w:hAnsi="Arial"/>
                <w:sz w:val="18"/>
                <w:szCs w:val="18"/>
                <w:color w:val="auto"/>
              </w:rPr>
              <w:t>Turnaround expense</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(3,295 )</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3,333</w:t>
            </w:r>
          </w:p>
        </w:tc>
        <w:tc>
          <w:tcPr>
            <w:tcW w:w="260" w:type="dxa"/>
            <w:vAlign w:val="bottom"/>
          </w:tcPr>
          <w:p>
            <w:pPr>
              <w:spacing w:after="0"/>
              <w:rPr>
                <w:sz w:val="22"/>
                <w:szCs w:val="22"/>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0"/>
              <w:spacing w:after="0"/>
              <w:rPr>
                <w:sz w:val="20"/>
                <w:szCs w:val="20"/>
                <w:color w:val="auto"/>
              </w:rPr>
            </w:pPr>
            <w:r>
              <w:rPr>
                <w:rFonts w:ascii="Arial" w:cs="Arial" w:eastAsia="Arial" w:hAnsi="Arial"/>
                <w:sz w:val="18"/>
                <w:szCs w:val="18"/>
                <w:color w:val="auto"/>
              </w:rPr>
              <w:t>Total gross profit</w:t>
            </w: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line="20" w:lineRule="exact"/>
              <w:rPr>
                <w:sz w:val="1"/>
                <w:szCs w:val="1"/>
                <w:color w:val="auto"/>
              </w:rPr>
            </w:pPr>
          </w:p>
        </w:tc>
      </w:tr>
      <w:tr>
        <w:trPr>
          <w:trHeight w:val="224"/>
        </w:trPr>
        <w:tc>
          <w:tcPr>
            <w:tcW w:w="4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36,032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142,924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 xml:space="preserve">(106,892 </w:t>
            </w:r>
            <w:r>
              <w:rPr>
                <w:rFonts w:ascii="Arial" w:cs="Arial" w:eastAsia="Arial" w:hAnsi="Arial"/>
                <w:sz w:val="18"/>
                <w:szCs w:val="18"/>
                <w:color w:val="auto"/>
                <w:highlight w:val="white"/>
              </w:rPr>
              <w:t>)</w:t>
            </w:r>
          </w:p>
        </w:tc>
        <w:tc>
          <w:tcPr>
            <w:tcW w:w="1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9,436</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9,638</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(202 )</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7"/>
        </w:trPr>
        <w:tc>
          <w:tcPr>
            <w:tcW w:w="48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(900 )</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(1,528 )</w:t>
            </w: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27,496</w:t>
            </w: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132,658</w:t>
            </w: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(105,162</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9"/>
        </w:trPr>
        <w:tc>
          <w:tcPr>
            <w:tcW w:w="48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11,836</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12,307</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(471 )</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0"/>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extinguishment of debt</w:t>
            </w:r>
          </w:p>
        </w:tc>
        <w:tc>
          <w:tcPr>
            <w:tcW w:w="260" w:type="dxa"/>
            <w:vAlign w:val="bottom"/>
            <w:shd w:val="clear" w:color="auto" w:fill="CFF0FC"/>
          </w:tcPr>
          <w:p>
            <w:pPr>
              <w:spacing w:after="0"/>
              <w:rPr>
                <w:sz w:val="21"/>
                <w:szCs w:val="21"/>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(8,644 )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(8,644 )</w:t>
            </w: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Non-operating other income, net</w:t>
            </w:r>
          </w:p>
        </w:tc>
        <w:tc>
          <w:tcPr>
            <w:tcW w:w="2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(3,764 )</w:t>
            </w:r>
          </w:p>
        </w:tc>
        <w:tc>
          <w:tcPr>
            <w:tcW w:w="3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(3,430 )</w:t>
            </w:r>
          </w:p>
        </w:tc>
        <w:tc>
          <w:tcPr>
            <w:tcW w:w="260" w:type="dxa"/>
            <w:vAlign w:val="bottom"/>
          </w:tcPr>
          <w:p>
            <w:pPr>
              <w:spacing w:after="0"/>
              <w:rPr>
                <w:sz w:val="20"/>
                <w:szCs w:val="20"/>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(334 )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2,973</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20,382</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(17,409 )</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25,095</w:t>
            </w:r>
          </w:p>
        </w:tc>
        <w:tc>
          <w:tcPr>
            <w:tcW w:w="30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103,399</w:t>
            </w:r>
          </w:p>
        </w:tc>
        <w:tc>
          <w:tcPr>
            <w:tcW w:w="3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 xml:space="preserve">(78,304 </w:t>
            </w:r>
            <w:r>
              <w:rPr>
                <w:rFonts w:ascii="Arial" w:cs="Arial" w:eastAsia="Arial" w:hAnsi="Arial"/>
                <w:sz w:val="18"/>
                <w:szCs w:val="18"/>
                <w:color w:val="auto"/>
                <w:highlight w:val="white"/>
              </w:rPr>
              <w:t>)</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(3)</w:t>
            </w:r>
          </w:p>
        </w:tc>
        <w:tc>
          <w:tcPr>
            <w:tcW w:w="260" w:type="dxa"/>
            <w:vAlign w:val="bottom"/>
            <w:shd w:val="clear" w:color="auto" w:fill="CFF0FC"/>
          </w:tcPr>
          <w:p>
            <w:pPr>
              <w:spacing w:after="0"/>
              <w:rPr>
                <w:sz w:val="23"/>
                <w:szCs w:val="23"/>
                <w:color w:val="auto"/>
              </w:rPr>
            </w:pP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21.7 %</w:t>
            </w:r>
          </w:p>
        </w:tc>
        <w:tc>
          <w:tcPr>
            <w:tcW w:w="360" w:type="dxa"/>
            <w:vAlign w:val="bottom"/>
            <w:shd w:val="clear" w:color="auto" w:fill="CFF0FC"/>
          </w:tcPr>
          <w:p>
            <w:pPr>
              <w:spacing w:after="0"/>
              <w:rPr>
                <w:sz w:val="23"/>
                <w:szCs w:val="23"/>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50.2 %</w:t>
            </w:r>
          </w:p>
        </w:tc>
        <w:tc>
          <w:tcPr>
            <w:tcW w:w="260" w:type="dxa"/>
            <w:vAlign w:val="bottom"/>
            <w:shd w:val="clear" w:color="auto" w:fill="CFF0FC"/>
          </w:tcPr>
          <w:p>
            <w:pPr>
              <w:spacing w:after="0"/>
              <w:rPr>
                <w:sz w:val="23"/>
                <w:szCs w:val="23"/>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(28.5 )%</w:t>
            </w:r>
          </w:p>
        </w:tc>
        <w:tc>
          <w:tcPr>
            <w:tcW w:w="14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20" w:type="dxa"/>
            <w:vAlign w:val="bottom"/>
          </w:tcPr>
          <w:p>
            <w:pPr>
              <w:ind w:left="120"/>
              <w:spacing w:after="0"/>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(3)</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color w:val="auto"/>
                <w:highlight w:val="white"/>
              </w:rPr>
              <w:t>%</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57.2 </w:t>
            </w:r>
            <w:r>
              <w:rPr>
                <w:rFonts w:ascii="Arial" w:cs="Arial" w:eastAsia="Arial" w:hAnsi="Arial"/>
                <w:sz w:val="18"/>
                <w:szCs w:val="18"/>
                <w:color w:val="auto"/>
                <w:highlight w:val="white"/>
              </w:rPr>
              <w:t>%</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Property, plant and equipment expenditures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13,826</w:t>
            </w:r>
          </w:p>
        </w:tc>
        <w:tc>
          <w:tcPr>
            <w:tcW w:w="300" w:type="dxa"/>
            <w:vAlign w:val="bottom"/>
            <w:tcBorders>
              <w:bottom w:val="single" w:sz="8" w:color="CFF0FC"/>
              <w:right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8,177</w:t>
            </w:r>
          </w:p>
        </w:tc>
        <w:tc>
          <w:tcPr>
            <w:tcW w:w="3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26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-3710940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-3402965</wp:posOffset>
            </wp:positionV>
            <wp:extent cx="7132320" cy="342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-2442845</wp:posOffset>
            </wp:positionV>
            <wp:extent cx="7132320" cy="4718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3429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-385445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-385445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-385445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and Turnaround expenses.</w:t>
      </w:r>
    </w:p>
    <w:p>
      <w:pPr>
        <w:spacing w:after="0" w:line="22" w:lineRule="exact"/>
        <w:rPr>
          <w:rFonts w:ascii="Arial" w:cs="Arial" w:eastAsia="Arial" w:hAnsi="Arial"/>
          <w:sz w:val="16"/>
          <w:szCs w:val="16"/>
          <w:color w:val="auto"/>
        </w:rPr>
      </w:pPr>
    </w:p>
    <w:p>
      <w:pPr>
        <w:ind w:left="760" w:hanging="378"/>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18" w:lineRule="exact"/>
        <w:rPr>
          <w:rFonts w:ascii="Arial" w:cs="Arial" w:eastAsia="Arial" w:hAnsi="Arial"/>
          <w:sz w:val="16"/>
          <w:szCs w:val="16"/>
          <w:color w:val="auto"/>
        </w:rPr>
      </w:pPr>
    </w:p>
    <w:p>
      <w:pPr>
        <w:ind w:left="760" w:hanging="378"/>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operating metrics for the fertilizer and major industrial and mining products: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100" w:type="dxa"/>
            <w:vAlign w:val="bottom"/>
            <w:gridSpan w:val="3"/>
          </w:tcPr>
          <w:p>
            <w:pPr>
              <w:jc w:val="center"/>
              <w:ind w:left="1010"/>
              <w:spacing w:after="0"/>
              <w:rPr>
                <w:sz w:val="20"/>
                <w:szCs w:val="20"/>
                <w:color w:val="auto"/>
              </w:rPr>
            </w:pPr>
            <w:r>
              <w:rPr>
                <w:rFonts w:ascii="Arial" w:cs="Arial" w:eastAsia="Arial" w:hAnsi="Arial"/>
                <w:sz w:val="18"/>
                <w:szCs w:val="18"/>
                <w:color w:val="auto"/>
                <w:w w:val="86"/>
              </w:rPr>
              <w:t>June 30,</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Percentage</w:t>
            </w:r>
          </w:p>
        </w:tc>
      </w:tr>
      <w:tr>
        <w:trPr>
          <w:trHeight w:val="250"/>
        </w:trPr>
        <w:tc>
          <w:tcPr>
            <w:tcW w:w="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Product (tons sold)</w:t>
            </w:r>
          </w:p>
        </w:tc>
        <w:tc>
          <w:tcPr>
            <w:tcW w:w="3280" w:type="dxa"/>
            <w:vAlign w:val="bottom"/>
          </w:tcPr>
          <w:p>
            <w:pPr>
              <w:spacing w:after="0"/>
              <w:rPr>
                <w:sz w:val="21"/>
                <w:szCs w:val="21"/>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1"/>
                <w:szCs w:val="21"/>
                <w:color w:val="auto"/>
              </w:rPr>
            </w:pP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Change</w:t>
            </w:r>
          </w:p>
        </w:tc>
        <w:tc>
          <w:tcPr>
            <w:tcW w:w="220" w:type="dxa"/>
            <w:vAlign w:val="bottom"/>
            <w:gridSpan w:val="2"/>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4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AN &amp; Nitric Acid</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161,987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162,014</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80" w:type="dxa"/>
            <w:vAlign w:val="bottom"/>
            <w:gridSpan w:val="2"/>
          </w:tcPr>
          <w:p>
            <w:pPr>
              <w:ind w:left="180"/>
              <w:spacing w:after="0"/>
              <w:rPr>
                <w:sz w:val="20"/>
                <w:szCs w:val="20"/>
                <w:color w:val="auto"/>
              </w:rPr>
            </w:pPr>
            <w:r>
              <w:rPr>
                <w:rFonts w:ascii="Arial" w:cs="Arial" w:eastAsia="Arial" w:hAnsi="Arial"/>
                <w:sz w:val="18"/>
                <w:szCs w:val="18"/>
                <w:color w:val="auto"/>
              </w:rPr>
              <w:t>Urea ammonium nitrate (UAN)</w:t>
            </w:r>
          </w:p>
        </w:tc>
        <w:tc>
          <w:tcPr>
            <w:tcW w:w="1460" w:type="dxa"/>
            <w:vAlign w:val="bottom"/>
          </w:tcPr>
          <w:p>
            <w:pPr>
              <w:jc w:val="right"/>
              <w:spacing w:after="0"/>
              <w:rPr>
                <w:sz w:val="20"/>
                <w:szCs w:val="20"/>
                <w:color w:val="auto"/>
              </w:rPr>
            </w:pPr>
            <w:r>
              <w:rPr>
                <w:rFonts w:ascii="Arial" w:cs="Arial" w:eastAsia="Arial" w:hAnsi="Arial"/>
                <w:sz w:val="18"/>
                <w:szCs w:val="18"/>
                <w:color w:val="auto"/>
              </w:rPr>
              <w:t>126,010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130,561</w:t>
            </w:r>
          </w:p>
        </w:tc>
        <w:tc>
          <w:tcPr>
            <w:tcW w:w="2000" w:type="dxa"/>
            <w:vAlign w:val="bottom"/>
            <w:gridSpan w:val="3"/>
          </w:tcPr>
          <w:p>
            <w:pPr>
              <w:jc w:val="right"/>
              <w:ind w:right="110"/>
              <w:spacing w:after="0"/>
              <w:rPr>
                <w:sz w:val="20"/>
                <w:szCs w:val="20"/>
                <w:color w:val="auto"/>
              </w:rPr>
            </w:pPr>
            <w:r>
              <w:rPr>
                <w:rFonts w:ascii="Arial" w:cs="Arial" w:eastAsia="Arial" w:hAnsi="Arial"/>
                <w:sz w:val="18"/>
                <w:szCs w:val="18"/>
                <w:color w:val="auto"/>
              </w:rPr>
              <w:t>(4,551 )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(3 )%</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43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Ammonia</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102,047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75,526</w:t>
            </w:r>
          </w:p>
        </w:tc>
        <w:tc>
          <w:tcPr>
            <w:tcW w:w="2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26,521</w:t>
            </w:r>
          </w:p>
        </w:tc>
        <w:tc>
          <w:tcPr>
            <w:tcW w:w="2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380" w:type="dxa"/>
            <w:vAlign w:val="bottom"/>
            <w:gridSpan w:val="2"/>
          </w:tcPr>
          <w:p>
            <w:pPr>
              <w:jc w:val="center"/>
              <w:ind w:right="3300"/>
              <w:spacing w:after="0"/>
              <w:rPr>
                <w:sz w:val="20"/>
                <w:szCs w:val="20"/>
                <w:color w:val="auto"/>
              </w:rPr>
            </w:pPr>
            <w:r>
              <w:rPr>
                <w:rFonts w:ascii="Arial" w:cs="Arial" w:eastAsia="Arial" w:hAnsi="Arial"/>
                <w:sz w:val="18"/>
                <w:szCs w:val="18"/>
                <w:color w:val="auto"/>
                <w:w w:val="89"/>
              </w:rPr>
              <w:t>Total</w:t>
            </w:r>
          </w:p>
        </w:tc>
        <w:tc>
          <w:tcPr>
            <w:tcW w:w="1460" w:type="dxa"/>
            <w:vAlign w:val="bottom"/>
          </w:tcPr>
          <w:p>
            <w:pPr>
              <w:jc w:val="right"/>
              <w:spacing w:after="0"/>
              <w:rPr>
                <w:sz w:val="20"/>
                <w:szCs w:val="20"/>
                <w:color w:val="auto"/>
              </w:rPr>
            </w:pPr>
            <w:r>
              <w:rPr>
                <w:rFonts w:ascii="Arial" w:cs="Arial" w:eastAsia="Arial" w:hAnsi="Arial"/>
                <w:sz w:val="18"/>
                <w:szCs w:val="18"/>
                <w:color w:val="auto"/>
              </w:rPr>
              <w:t>390,044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368,101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21,943</w:t>
            </w:r>
          </w:p>
        </w:tc>
        <w:tc>
          <w:tcPr>
            <w:tcW w:w="280" w:type="dxa"/>
            <w:vAlign w:val="bottom"/>
          </w:tcPr>
          <w:p>
            <w:pPr>
              <w:spacing w:after="0"/>
              <w:rPr>
                <w:sz w:val="20"/>
                <w:szCs w:val="20"/>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6 %</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-685165</wp:posOffset>
            </wp:positionV>
            <wp:extent cx="8572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-685165</wp:posOffset>
            </wp:positionV>
            <wp:extent cx="85725"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-685165</wp:posOffset>
            </wp:positionV>
            <wp:extent cx="8572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449"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8"/>
          </w:tcPr>
          <w:p>
            <w:pPr>
              <w:ind w:left="480"/>
              <w:spacing w:after="0"/>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5"/>
          </w:tcPr>
          <w:p>
            <w:pPr>
              <w:jc w:val="right"/>
              <w:ind w:right="110"/>
              <w:spacing w:after="0"/>
              <w:rPr>
                <w:sz w:val="20"/>
                <w:szCs w:val="20"/>
                <w:color w:val="auto"/>
              </w:rPr>
            </w:pPr>
            <w:r>
              <w:rPr>
                <w:rFonts w:ascii="Arial" w:cs="Arial" w:eastAsia="Arial" w:hAnsi="Arial"/>
                <w:sz w:val="18"/>
                <w:szCs w:val="18"/>
                <w:color w:val="auto"/>
              </w:rPr>
              <w:t>June 30,</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gridSpan w:val="2"/>
          </w:tcPr>
          <w:p>
            <w:pPr>
              <w:jc w:val="right"/>
              <w:ind w:right="510"/>
              <w:spacing w:after="0"/>
              <w:rPr>
                <w:sz w:val="20"/>
                <w:szCs w:val="20"/>
                <w:color w:val="auto"/>
              </w:rPr>
            </w:pPr>
            <w:r>
              <w:rPr>
                <w:rFonts w:ascii="Arial" w:cs="Arial" w:eastAsia="Arial" w:hAnsi="Arial"/>
                <w:sz w:val="18"/>
                <w:szCs w:val="18"/>
                <w:color w:val="auto"/>
              </w:rPr>
              <w:t>Percentage</w:t>
            </w:r>
          </w:p>
        </w:tc>
      </w:tr>
      <w:tr>
        <w:trPr>
          <w:trHeight w:val="263"/>
        </w:trPr>
        <w:tc>
          <w:tcPr>
            <w:tcW w:w="20" w:type="dxa"/>
            <w:vAlign w:val="bottom"/>
          </w:tcPr>
          <w:p>
            <w:pPr>
              <w:spacing w:after="0"/>
              <w:rPr>
                <w:sz w:val="22"/>
                <w:szCs w:val="22"/>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1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jc w:val="right"/>
              <w:ind w:right="59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22"/>
                <w:szCs w:val="22"/>
                <w:color w:val="auto"/>
              </w:rPr>
            </w:pPr>
          </w:p>
        </w:tc>
        <w:tc>
          <w:tcPr>
            <w:tcW w:w="1720" w:type="dxa"/>
            <w:vAlign w:val="bottom"/>
            <w:gridSpan w:val="2"/>
          </w:tcPr>
          <w:p>
            <w:pPr>
              <w:jc w:val="right"/>
              <w:ind w:right="630"/>
              <w:spacing w:after="0"/>
              <w:rPr>
                <w:sz w:val="20"/>
                <w:szCs w:val="20"/>
                <w:color w:val="auto"/>
              </w:rPr>
            </w:pPr>
            <w:r>
              <w:rPr>
                <w:rFonts w:ascii="Arial" w:cs="Arial" w:eastAsia="Arial" w:hAnsi="Arial"/>
                <w:sz w:val="18"/>
                <w:szCs w:val="18"/>
                <w:color w:val="auto"/>
              </w:rPr>
              <w:t>Change</w:t>
            </w:r>
          </w:p>
        </w:tc>
      </w:tr>
      <w:tr>
        <w:trPr>
          <w:trHeight w:val="217"/>
        </w:trPr>
        <w:tc>
          <w:tcPr>
            <w:tcW w:w="20" w:type="dxa"/>
            <w:vAlign w:val="bottom"/>
          </w:tcPr>
          <w:p>
            <w:pPr>
              <w:spacing w:after="0"/>
              <w:rPr>
                <w:sz w:val="18"/>
                <w:szCs w:val="18"/>
                <w:color w:val="auto"/>
              </w:rPr>
            </w:pPr>
          </w:p>
        </w:tc>
        <w:tc>
          <w:tcPr>
            <w:tcW w:w="4420" w:type="dxa"/>
            <w:vAlign w:val="bottom"/>
            <w:gridSpan w:val="3"/>
          </w:tcPr>
          <w:p>
            <w:pPr>
              <w:ind w:left="180"/>
              <w:spacing w:after="0"/>
              <w:rPr>
                <w:sz w:val="20"/>
                <w:szCs w:val="20"/>
                <w:color w:val="auto"/>
              </w:rPr>
            </w:pPr>
            <w:r>
              <w:rPr>
                <w:rFonts w:ascii="Arial" w:cs="Arial" w:eastAsia="Arial" w:hAnsi="Arial"/>
                <w:sz w:val="18"/>
                <w:szCs w:val="18"/>
                <w:color w:val="auto"/>
              </w:rPr>
              <w:t>AN &amp; Nitric Acid</w:t>
            </w:r>
          </w:p>
        </w:tc>
        <w:tc>
          <w:tcPr>
            <w:tcW w:w="3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6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r>
      <w:tr>
        <w:trPr>
          <w:trHeight w:val="242"/>
        </w:trPr>
        <w:tc>
          <w:tcPr>
            <w:tcW w:w="20" w:type="dxa"/>
            <w:vAlign w:val="bottom"/>
          </w:tcPr>
          <w:p>
            <w:pPr>
              <w:spacing w:after="0"/>
              <w:rPr>
                <w:sz w:val="21"/>
                <w:szCs w:val="21"/>
                <w:color w:val="auto"/>
              </w:rPr>
            </w:pPr>
          </w:p>
        </w:tc>
        <w:tc>
          <w:tcPr>
            <w:tcW w:w="4420" w:type="dxa"/>
            <w:vAlign w:val="bottom"/>
            <w:gridSpan w:val="3"/>
          </w:tcPr>
          <w:p>
            <w:pPr>
              <w:ind w:left="180"/>
              <w:spacing w:after="0"/>
              <w:rPr>
                <w:sz w:val="20"/>
                <w:szCs w:val="20"/>
                <w:color w:val="auto"/>
              </w:rPr>
            </w:pPr>
            <w:r>
              <w:rPr>
                <w:rFonts w:ascii="Arial" w:cs="Arial" w:eastAsia="Arial" w:hAnsi="Arial"/>
                <w:sz w:val="18"/>
                <w:szCs w:val="18"/>
                <w:color w:val="auto"/>
              </w:rPr>
              <w:t>Urea ammonium nitrate (UAN)</w:t>
            </w: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90"/>
              <w:spacing w:after="0"/>
              <w:rPr>
                <w:sz w:val="20"/>
                <w:szCs w:val="20"/>
                <w:color w:val="auto"/>
              </w:rPr>
            </w:pPr>
            <w:r>
              <w:rPr>
                <w:rFonts w:ascii="Arial" w:cs="Arial" w:eastAsia="Arial" w:hAnsi="Arial"/>
                <w:sz w:val="18"/>
                <w:szCs w:val="18"/>
                <w:color w:val="auto"/>
              </w:rPr>
              <w:t>(265 )</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20" w:type="dxa"/>
            <w:vAlign w:val="bottom"/>
          </w:tcPr>
          <w:p>
            <w:pPr>
              <w:spacing w:after="0"/>
              <w:rPr>
                <w:sz w:val="21"/>
                <w:szCs w:val="21"/>
                <w:color w:val="auto"/>
              </w:rPr>
            </w:pPr>
          </w:p>
        </w:tc>
        <w:tc>
          <w:tcPr>
            <w:tcW w:w="4420" w:type="dxa"/>
            <w:vAlign w:val="bottom"/>
            <w:gridSpan w:val="3"/>
          </w:tcPr>
          <w:p>
            <w:pPr>
              <w:ind w:left="180"/>
              <w:spacing w:after="0"/>
              <w:rPr>
                <w:sz w:val="20"/>
                <w:szCs w:val="20"/>
                <w:color w:val="auto"/>
              </w:rPr>
            </w:pPr>
            <w:r>
              <w:rPr>
                <w:rFonts w:ascii="Arial" w:cs="Arial" w:eastAsia="Arial" w:hAnsi="Arial"/>
                <w:sz w:val="18"/>
                <w:szCs w:val="18"/>
                <w:color w:val="auto"/>
              </w:rPr>
              <w:t>Ammonia</w:t>
            </w: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1,184</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90"/>
              <w:spacing w:after="0"/>
              <w:rPr>
                <w:sz w:val="20"/>
                <w:szCs w:val="20"/>
                <w:color w:val="auto"/>
              </w:rPr>
            </w:pPr>
            <w:r>
              <w:rPr>
                <w:rFonts w:ascii="Arial" w:cs="Arial" w:eastAsia="Arial" w:hAnsi="Arial"/>
                <w:sz w:val="18"/>
                <w:szCs w:val="18"/>
                <w:color w:val="auto"/>
              </w:rPr>
              <w:t>(796 )</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(67 )%</w:t>
            </w:r>
          </w:p>
        </w:tc>
      </w:tr>
      <w:tr>
        <w:trPr>
          <w:trHeight w:val="486"/>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8"/>
          </w:tcPr>
          <w:p>
            <w:pPr>
              <w:ind w:left="520"/>
              <w:spacing w:after="0"/>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5"/>
          </w:tcPr>
          <w:p>
            <w:pPr>
              <w:jc w:val="right"/>
              <w:ind w:right="70"/>
              <w:spacing w:after="0"/>
              <w:rPr>
                <w:sz w:val="20"/>
                <w:szCs w:val="20"/>
                <w:color w:val="auto"/>
              </w:rPr>
            </w:pPr>
            <w:r>
              <w:rPr>
                <w:rFonts w:ascii="Arial" w:cs="Arial" w:eastAsia="Arial" w:hAnsi="Arial"/>
                <w:sz w:val="18"/>
                <w:szCs w:val="18"/>
                <w:color w:val="auto"/>
              </w:rPr>
              <w:t>June 30,</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gridSpan w:val="2"/>
          </w:tcPr>
          <w:p>
            <w:pPr>
              <w:jc w:val="right"/>
              <w:ind w:right="490"/>
              <w:spacing w:after="0"/>
              <w:rPr>
                <w:sz w:val="20"/>
                <w:szCs w:val="20"/>
                <w:color w:val="auto"/>
              </w:rPr>
            </w:pPr>
            <w:r>
              <w:rPr>
                <w:rFonts w:ascii="Arial" w:cs="Arial" w:eastAsia="Arial" w:hAnsi="Arial"/>
                <w:sz w:val="18"/>
                <w:szCs w:val="18"/>
                <w:color w:val="auto"/>
              </w:rPr>
              <w:t>Percentage</w:t>
            </w:r>
          </w:p>
        </w:tc>
      </w:tr>
      <w:tr>
        <w:trPr>
          <w:trHeight w:val="263"/>
        </w:trPr>
        <w:tc>
          <w:tcPr>
            <w:tcW w:w="20" w:type="dxa"/>
            <w:vAlign w:val="bottom"/>
          </w:tcPr>
          <w:p>
            <w:pPr>
              <w:spacing w:after="0"/>
              <w:rPr>
                <w:sz w:val="22"/>
                <w:szCs w:val="22"/>
                <w:color w:val="auto"/>
              </w:rPr>
            </w:pPr>
          </w:p>
        </w:tc>
        <w:tc>
          <w:tcPr>
            <w:tcW w:w="4420" w:type="dxa"/>
            <w:vAlign w:val="bottom"/>
            <w:gridSpan w:val="3"/>
          </w:tcPr>
          <w:p>
            <w:pPr>
              <w:spacing w:after="0"/>
              <w:rPr>
                <w:sz w:val="20"/>
                <w:szCs w:val="20"/>
                <w:color w:val="auto"/>
              </w:rPr>
            </w:pPr>
            <w:r>
              <w:rPr>
                <w:rFonts w:ascii="Arial" w:cs="Arial" w:eastAsia="Arial" w:hAnsi="Arial"/>
                <w:sz w:val="14"/>
                <w:szCs w:val="14"/>
                <w:color w:val="auto"/>
              </w:rPr>
              <w:t>Average Benchmark Prices (price per ton)</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jc w:val="right"/>
              <w:ind w:right="53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22"/>
                <w:szCs w:val="22"/>
                <w:color w:val="auto"/>
              </w:rPr>
            </w:pPr>
          </w:p>
        </w:tc>
        <w:tc>
          <w:tcPr>
            <w:tcW w:w="1720" w:type="dxa"/>
            <w:vAlign w:val="bottom"/>
            <w:gridSpan w:val="2"/>
          </w:tcPr>
          <w:p>
            <w:pPr>
              <w:jc w:val="right"/>
              <w:ind w:right="610"/>
              <w:spacing w:after="0"/>
              <w:rPr>
                <w:sz w:val="20"/>
                <w:szCs w:val="20"/>
                <w:color w:val="auto"/>
              </w:rPr>
            </w:pPr>
            <w:r>
              <w:rPr>
                <w:rFonts w:ascii="Arial" w:cs="Arial" w:eastAsia="Arial" w:hAnsi="Arial"/>
                <w:sz w:val="18"/>
                <w:szCs w:val="18"/>
                <w:color w:val="auto"/>
              </w:rPr>
              <w:t>Change</w:t>
            </w:r>
          </w:p>
        </w:tc>
      </w:tr>
      <w:tr>
        <w:trPr>
          <w:trHeight w:val="217"/>
        </w:trPr>
        <w:tc>
          <w:tcPr>
            <w:tcW w:w="20" w:type="dxa"/>
            <w:vAlign w:val="bottom"/>
          </w:tcPr>
          <w:p>
            <w:pPr>
              <w:spacing w:after="0"/>
              <w:rPr>
                <w:sz w:val="18"/>
                <w:szCs w:val="18"/>
                <w:color w:val="auto"/>
              </w:rPr>
            </w:pPr>
          </w:p>
        </w:tc>
        <w:tc>
          <w:tcPr>
            <w:tcW w:w="24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5"/>
              </w:rPr>
              <w:t>Tampa Ammonia Benchmark</w:t>
            </w:r>
          </w:p>
        </w:tc>
        <w:tc>
          <w:tcPr>
            <w:tcW w:w="2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1,257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r>
      <w:tr>
        <w:trPr>
          <w:trHeight w:val="269"/>
        </w:trPr>
        <w:tc>
          <w:tcPr>
            <w:tcW w:w="20" w:type="dxa"/>
            <w:vAlign w:val="bottom"/>
          </w:tcPr>
          <w:p>
            <w:pPr>
              <w:spacing w:after="0"/>
              <w:rPr>
                <w:sz w:val="23"/>
                <w:szCs w:val="23"/>
                <w:color w:val="auto"/>
              </w:rPr>
            </w:pPr>
          </w:p>
        </w:tc>
        <w:tc>
          <w:tcPr>
            <w:tcW w:w="4420" w:type="dxa"/>
            <w:vAlign w:val="bottom"/>
            <w:gridSpan w:val="3"/>
          </w:tcPr>
          <w:p>
            <w:pPr>
              <w:ind w:left="180"/>
              <w:spacing w:after="0"/>
              <w:rPr>
                <w:sz w:val="20"/>
                <w:szCs w:val="20"/>
                <w:color w:val="auto"/>
              </w:rPr>
            </w:pPr>
            <w:r>
              <w:rPr>
                <w:rFonts w:ascii="Arial" w:cs="Arial" w:eastAsia="Arial" w:hAnsi="Arial"/>
                <w:sz w:val="18"/>
                <w:szCs w:val="18"/>
                <w:color w:val="auto"/>
              </w:rPr>
              <w:t>NOLA UAN</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23"/>
                <w:szCs w:val="23"/>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260" w:type="dxa"/>
            <w:vAlign w:val="bottom"/>
          </w:tcPr>
          <w:p>
            <w:pPr>
              <w:spacing w:after="0"/>
              <w:rPr>
                <w:sz w:val="23"/>
                <w:szCs w:val="23"/>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(333 )</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Net sales of our primary products decreased during the second quarter of 2023 compared to the prior year period driven by the impact of lower selling prices relative to the second quarter of 2022 for all of our products. Partially offsetting weaker pricing was an increase in sales volume of ammonia driven largely by stronger production at our facilities, reflecting the investments made in plant reliability over the past several years.</w:t>
      </w:r>
    </w:p>
    <w:p>
      <w:pPr>
        <w:spacing w:after="0" w:line="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Demand for our industrial and mining products remains robust despite continued global recessionary forces. Our contractual agreements with industrial customers that specify minimum volumes and our product mix flexibility helps us mitigate the impact of a reduction in demand from certain end markets by shifting production to products with stronger demand.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noted in the table above, we recognized a gross profit of $36.0 million for the second quarter of 2023 compared to $142.9 million for the same period in 2022, or a $106.9 million reduction. Overall, our gross profit percentage was 21.7% compared to 50.2% for the same period in 2022. Our adjusted gross profit percentage decreased to 31.9% for the second quarter of 2023 from 57.2% for the second quarter of 2022.</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gross profit was primarily driven by lower sales prices for our products partially offset by higher sales volumes of our ammonia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also negatively impacted by higher natural gas costs, in our beginning inventory and in addition to higher plant fixed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Other income during the second quarter of 2023 primarily relates to short term rental income partial offset by losses incurred on the disposal of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incurred during the second quarter of 2022 primarily relates to losses incurred on the disposal of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Extinguishment of Debt</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During the second quarter of 2023 we repurchased $125 million in principal amount of our Senior Secured Notes for approximately $114.3 million. Including our write-off of the associated remaining portion of unamortized debt issuance costs, we recognized a gain on extinguishment of approximately $8.6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Income, net</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Non-operating other income for the second quarter of 2023 was $3.8 million compared to $3.4 million for the same period of 2022, which in 2022 primarily related to the settlement on our company owned life insurance resulting from a death benefit from an insurer relating to the death of J. Golsen as discussed in Note 9 and interest income during both periods from our short-term investments earned.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21"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provision for income taxes for the second quarter of 2023 was $3.0 million compared to $20.4 million for the same period of 2022. The resulting effective tax rate for the second quarter of 2023 was 10.6% compared to 16.5% for the same period of 2022. For the second quarter of 2023, the effective tax rate is less than the statutory rate primarily due to deferred benefits from state tax law changes. For the second quarter of 2022, the effective tax rate was lower than the statutory rate primarily due to the impact of the valuation allowances. See discussion in Note 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98"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7160" w:type="dxa"/>
            <w:vAlign w:val="bottom"/>
            <w:gridSpan w:val="12"/>
          </w:tcPr>
          <w:p>
            <w:pPr>
              <w:jc w:val="right"/>
              <w:ind w:right="961"/>
              <w:spacing w:after="0"/>
              <w:rPr>
                <w:sz w:val="20"/>
                <w:szCs w:val="20"/>
                <w:color w:val="auto"/>
              </w:rPr>
            </w:pPr>
            <w:r>
              <w:rPr>
                <w:rFonts w:ascii="Arial" w:cs="Arial" w:eastAsia="Arial" w:hAnsi="Arial"/>
                <w:sz w:val="18"/>
                <w:szCs w:val="18"/>
                <w:b w:val="1"/>
                <w:bCs w:val="1"/>
                <w:color w:val="auto"/>
                <w:w w:val="90"/>
              </w:rPr>
              <w:t>Six Months Ended June 30, 2023 Compared to Six Months Ended June 30, 2022</w:t>
            </w: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90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gridSpan w:val="6"/>
          </w:tcPr>
          <w:p>
            <w:pPr>
              <w:jc w:val="right"/>
              <w:ind w:right="1080"/>
              <w:spacing w:after="0"/>
              <w:rPr>
                <w:sz w:val="20"/>
                <w:szCs w:val="20"/>
                <w:color w:val="auto"/>
              </w:rPr>
            </w:pPr>
            <w:r>
              <w:rPr>
                <w:rFonts w:ascii="Arial" w:cs="Arial" w:eastAsia="Arial" w:hAnsi="Arial"/>
                <w:sz w:val="18"/>
                <w:szCs w:val="18"/>
                <w:color w:val="auto"/>
              </w:rPr>
              <w:t>Six Months Ended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4"/>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2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4"/>
          </w:tcPr>
          <w:p>
            <w:pPr>
              <w:jc w:val="right"/>
              <w:ind w:right="160"/>
              <w:spacing w:after="0"/>
              <w:rPr>
                <w:sz w:val="20"/>
                <w:szCs w:val="20"/>
                <w:color w:val="auto"/>
              </w:rPr>
            </w:pPr>
            <w:r>
              <w:rPr>
                <w:rFonts w:ascii="Arial" w:cs="Arial" w:eastAsia="Arial" w:hAnsi="Arial"/>
                <w:sz w:val="16"/>
                <w:szCs w:val="16"/>
                <w:color w:val="auto"/>
                <w:w w:val="95"/>
              </w:rPr>
              <w:t>(Dollars In Thousands)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AN &amp; Nitric Acid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127,833</w:t>
            </w:r>
          </w:p>
        </w:tc>
        <w:tc>
          <w:tcPr>
            <w:tcW w:w="240" w:type="dxa"/>
            <w:vAlign w:val="bottom"/>
          </w:tcPr>
          <w:p>
            <w:pPr>
              <w:spacing w:after="0"/>
              <w:rPr>
                <w:sz w:val="20"/>
                <w:szCs w:val="20"/>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167,942</w:t>
            </w:r>
          </w:p>
        </w:tc>
        <w:tc>
          <w:tcPr>
            <w:tcW w:w="3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(40,109 )</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2"/>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Urea ammonium nitrate (UAN)</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87,495</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133,555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(46,060 )</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3"/>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Ammonia</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103,027</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148,786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(45,759 )</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57"/>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28,454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33,501</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(5,047 )</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2"/>
          </w:tcPr>
          <w:p>
            <w:pPr>
              <w:ind w:left="200"/>
              <w:spacing w:after="0"/>
              <w:rPr>
                <w:sz w:val="20"/>
                <w:szCs w:val="20"/>
                <w:color w:val="auto"/>
              </w:rPr>
            </w:pPr>
            <w:r>
              <w:rPr>
                <w:rFonts w:ascii="Arial" w:cs="Arial" w:eastAsia="Arial" w:hAnsi="Arial"/>
                <w:sz w:val="18"/>
                <w:szCs w:val="18"/>
                <w:color w:val="auto"/>
              </w:rPr>
              <w:t>Total 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346,809</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483,784</w:t>
            </w:r>
          </w:p>
        </w:tc>
        <w:tc>
          <w:tcPr>
            <w:tcW w:w="3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(136,975 )</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4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00" w:type="dxa"/>
            <w:vAlign w:val="bottom"/>
            <w:gridSpan w:val="2"/>
          </w:tcPr>
          <w:p>
            <w:pPr>
              <w:ind w:left="20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111,964</w:t>
            </w:r>
          </w:p>
        </w:tc>
        <w:tc>
          <w:tcPr>
            <w:tcW w:w="240" w:type="dxa"/>
            <w:vAlign w:val="bottom"/>
          </w:tcPr>
          <w:p>
            <w:pPr>
              <w:spacing w:after="0"/>
              <w:rPr>
                <w:sz w:val="21"/>
                <w:szCs w:val="21"/>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273,282</w:t>
            </w:r>
          </w:p>
        </w:tc>
        <w:tc>
          <w:tcPr>
            <w:tcW w:w="3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(161,318 )</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43"/>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(34,372 )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(33,802 )</w:t>
            </w:r>
          </w:p>
        </w:tc>
        <w:tc>
          <w:tcPr>
            <w:tcW w:w="260" w:type="dxa"/>
            <w:vAlign w:val="bottom"/>
          </w:tcPr>
          <w:p>
            <w:pPr>
              <w:spacing w:after="0"/>
              <w:rPr>
                <w:sz w:val="21"/>
                <w:szCs w:val="21"/>
                <w:color w:val="auto"/>
              </w:rPr>
            </w:pP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(570 )</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6"/>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Turnaround expense</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(5,826 )</w:t>
            </w:r>
          </w:p>
        </w:tc>
        <w:tc>
          <w:tcPr>
            <w:tcW w:w="2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5,871</w:t>
            </w:r>
          </w:p>
        </w:tc>
        <w:tc>
          <w:tcPr>
            <w:tcW w:w="26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gross profit</w:t>
            </w: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3"/>
            <w:vMerge w:val="restart"/>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line="20" w:lineRule="exact"/>
              <w:rPr>
                <w:sz w:val="1"/>
                <w:szCs w:val="1"/>
                <w:color w:val="auto"/>
              </w:rPr>
            </w:pPr>
          </w:p>
        </w:tc>
      </w:tr>
      <w:tr>
        <w:trPr>
          <w:trHeight w:val="224"/>
        </w:trPr>
        <w:tc>
          <w:tcPr>
            <w:tcW w:w="49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77,637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233,654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(156,017 )</w:t>
            </w:r>
          </w:p>
        </w:tc>
        <w:tc>
          <w:tcPr>
            <w:tcW w:w="16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19,303</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20,573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(1,270 )</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5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(149 )</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4"/>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212,629</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(154,598</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24,048</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22,262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1,786</w:t>
            </w:r>
          </w:p>
        </w:tc>
        <w:tc>
          <w:tcPr>
            <w:tcW w:w="260" w:type="dxa"/>
            <w:vAlign w:val="bottom"/>
          </w:tcPr>
          <w:p>
            <w:pPr>
              <w:spacing w:after="0"/>
              <w:rPr>
                <w:sz w:val="21"/>
                <w:szCs w:val="21"/>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50"/>
        </w:trPr>
        <w:tc>
          <w:tcPr>
            <w:tcW w:w="4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(Gain) loss on extinguishment of debt</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(8,644 )</w:t>
            </w: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121"/>
              <w:spacing w:after="0"/>
              <w:rPr>
                <w:sz w:val="20"/>
                <w:szCs w:val="20"/>
                <w:color w:val="auto"/>
              </w:rPr>
            </w:pPr>
            <w:r>
              <w:rPr>
                <w:rFonts w:ascii="Arial" w:cs="Arial" w:eastAsia="Arial" w:hAnsi="Arial"/>
                <w:sz w:val="18"/>
                <w:szCs w:val="18"/>
                <w:color w:val="auto"/>
              </w:rPr>
              <w:t>(8,757 )</w:t>
            </w: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Non-operating other income, net</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(7,240 )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(3,408 )</w:t>
            </w:r>
          </w:p>
        </w:tc>
        <w:tc>
          <w:tcPr>
            <w:tcW w:w="260" w:type="dxa"/>
            <w:vAlign w:val="bottom"/>
          </w:tcPr>
          <w:p>
            <w:pPr>
              <w:spacing w:after="0"/>
              <w:rPr>
                <w:sz w:val="20"/>
                <w:szCs w:val="20"/>
                <w:color w:val="auto"/>
              </w:rPr>
            </w:pP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(3,832 )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8,871</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31,497</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(22,626 )</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40,996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162,165</w:t>
            </w:r>
          </w:p>
        </w:tc>
        <w:tc>
          <w:tcPr>
            <w:tcW w:w="3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jc w:val="right"/>
              <w:ind w:right="121"/>
              <w:spacing w:after="0"/>
              <w:rPr>
                <w:sz w:val="20"/>
                <w:szCs w:val="20"/>
                <w:color w:val="auto"/>
              </w:rPr>
            </w:pPr>
            <w:r>
              <w:rPr>
                <w:rFonts w:ascii="Arial" w:cs="Arial" w:eastAsia="Arial" w:hAnsi="Arial"/>
                <w:sz w:val="18"/>
                <w:szCs w:val="18"/>
                <w:color w:val="auto"/>
              </w:rPr>
              <w:t>(121,169 )</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4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Other information:</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(3)</w:t>
            </w:r>
          </w:p>
        </w:tc>
        <w:tc>
          <w:tcPr>
            <w:tcW w:w="260" w:type="dxa"/>
            <w:vAlign w:val="bottom"/>
            <w:shd w:val="clear" w:color="auto" w:fill="CFF0FC"/>
          </w:tcPr>
          <w:p>
            <w:pPr>
              <w:spacing w:after="0"/>
              <w:rPr>
                <w:sz w:val="23"/>
                <w:szCs w:val="23"/>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22.4 %</w:t>
            </w:r>
          </w:p>
        </w:tc>
        <w:tc>
          <w:tcPr>
            <w:tcW w:w="8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48.3 %</w:t>
            </w:r>
          </w:p>
        </w:tc>
        <w:tc>
          <w:tcPr>
            <w:tcW w:w="260" w:type="dxa"/>
            <w:vAlign w:val="bottom"/>
            <w:shd w:val="clear" w:color="auto" w:fill="CFF0FC"/>
          </w:tcPr>
          <w:p>
            <w:pPr>
              <w:spacing w:after="0"/>
              <w:rPr>
                <w:sz w:val="23"/>
                <w:szCs w:val="23"/>
                <w:color w:val="auto"/>
              </w:rPr>
            </w:pP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(25.9 )%</w:t>
            </w:r>
          </w:p>
        </w:tc>
        <w:tc>
          <w:tcPr>
            <w:tcW w:w="14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(3)</w:t>
            </w: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color w:val="auto"/>
                <w:highlight w:val="white"/>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56.5 </w:t>
            </w:r>
            <w:r>
              <w:rPr>
                <w:rFonts w:ascii="Arial" w:cs="Arial" w:eastAsia="Arial" w:hAnsi="Arial"/>
                <w:sz w:val="18"/>
                <w:szCs w:val="18"/>
                <w:color w:val="auto"/>
                <w:highlight w:val="white"/>
              </w:rPr>
              <w:t>%</w:t>
            </w:r>
          </w:p>
        </w:tc>
        <w:tc>
          <w:tcPr>
            <w:tcW w:w="2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Property, plant and equipment expenditures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32,263</w:t>
            </w:r>
          </w:p>
        </w:tc>
        <w:tc>
          <w:tcPr>
            <w:tcW w:w="2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16,431</w:t>
            </w:r>
          </w:p>
        </w:tc>
        <w:tc>
          <w:tcPr>
            <w:tcW w:w="3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15,832</w:t>
            </w:r>
          </w:p>
        </w:tc>
        <w:tc>
          <w:tcPr>
            <w:tcW w:w="26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-3710940</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-3402965</wp:posOffset>
            </wp:positionV>
            <wp:extent cx="7132320" cy="3429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-2751455</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-2442210</wp:posOffset>
            </wp:positionV>
            <wp:extent cx="7132320" cy="4718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-1808480</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3429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-385445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-385445</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-385445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and Turnaround expenses.</w:t>
      </w:r>
    </w:p>
    <w:p>
      <w:pPr>
        <w:spacing w:after="0" w:line="22" w:lineRule="exact"/>
        <w:rPr>
          <w:rFonts w:ascii="Arial" w:cs="Arial" w:eastAsia="Arial" w:hAnsi="Arial"/>
          <w:sz w:val="16"/>
          <w:szCs w:val="16"/>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18" w:lineRule="exact"/>
        <w:rPr>
          <w:rFonts w:ascii="Arial" w:cs="Arial" w:eastAsia="Arial" w:hAnsi="Arial"/>
          <w:sz w:val="16"/>
          <w:szCs w:val="16"/>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operating metrics for the fertilizer and major industrial and mining products: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300" w:type="dxa"/>
            <w:vAlign w:val="bottom"/>
            <w:gridSpan w:val="3"/>
          </w:tcPr>
          <w:p>
            <w:pPr>
              <w:jc w:val="center"/>
              <w:ind w:left="830"/>
              <w:spacing w:after="0"/>
              <w:rPr>
                <w:sz w:val="20"/>
                <w:szCs w:val="20"/>
                <w:color w:val="auto"/>
              </w:rPr>
            </w:pPr>
            <w:r>
              <w:rPr>
                <w:rFonts w:ascii="Arial" w:cs="Arial" w:eastAsia="Arial" w:hAnsi="Arial"/>
                <w:sz w:val="18"/>
                <w:szCs w:val="18"/>
                <w:color w:val="auto"/>
                <w:w w:val="91"/>
              </w:rPr>
              <w:t>Six Months Ended</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300" w:type="dxa"/>
            <w:vAlign w:val="bottom"/>
            <w:gridSpan w:val="3"/>
          </w:tcPr>
          <w:p>
            <w:pPr>
              <w:jc w:val="center"/>
              <w:ind w:left="85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Percentage</w:t>
            </w:r>
          </w:p>
        </w:tc>
      </w:tr>
      <w:tr>
        <w:trPr>
          <w:trHeight w:val="263"/>
        </w:trPr>
        <w:tc>
          <w:tcPr>
            <w:tcW w:w="2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Product (tons sold)</w:t>
            </w:r>
          </w:p>
        </w:tc>
        <w:tc>
          <w:tcPr>
            <w:tcW w:w="3220" w:type="dxa"/>
            <w:vAlign w:val="bottom"/>
          </w:tcPr>
          <w:p>
            <w:pPr>
              <w:spacing w:after="0"/>
              <w:rPr>
                <w:sz w:val="22"/>
                <w:szCs w:val="22"/>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color w:val="auto"/>
                <w:w w:val="84"/>
              </w:rPr>
              <w:t>2022</w:t>
            </w:r>
          </w:p>
        </w:tc>
        <w:tc>
          <w:tcPr>
            <w:tcW w:w="260" w:type="dxa"/>
            <w:vAlign w:val="bottom"/>
          </w:tcPr>
          <w:p>
            <w:pPr>
              <w:spacing w:after="0"/>
              <w:rPr>
                <w:sz w:val="22"/>
                <w:szCs w:val="22"/>
                <w:color w:val="auto"/>
              </w:rPr>
            </w:pPr>
          </w:p>
        </w:tc>
        <w:tc>
          <w:tcPr>
            <w:tcW w:w="1760" w:type="dxa"/>
            <w:vAlign w:val="bottom"/>
            <w:gridSpan w:val="2"/>
          </w:tcPr>
          <w:p>
            <w:pPr>
              <w:jc w:val="right"/>
              <w:ind w:right="650"/>
              <w:spacing w:after="0"/>
              <w:rPr>
                <w:sz w:val="20"/>
                <w:szCs w:val="20"/>
                <w:color w:val="auto"/>
              </w:rPr>
            </w:pPr>
            <w:r>
              <w:rPr>
                <w:rFonts w:ascii="Arial" w:cs="Arial" w:eastAsia="Arial" w:hAnsi="Arial"/>
                <w:sz w:val="18"/>
                <w:szCs w:val="18"/>
                <w:color w:val="auto"/>
              </w:rPr>
              <w:t>Change</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Change</w:t>
            </w:r>
          </w:p>
        </w:tc>
      </w:tr>
      <w:tr>
        <w:trPr>
          <w:trHeight w:val="217"/>
        </w:trPr>
        <w:tc>
          <w:tcPr>
            <w:tcW w:w="20" w:type="dxa"/>
            <w:vAlign w:val="bottom"/>
          </w:tcPr>
          <w:p>
            <w:pPr>
              <w:spacing w:after="0"/>
              <w:rPr>
                <w:sz w:val="18"/>
                <w:szCs w:val="18"/>
                <w:color w:val="auto"/>
              </w:rPr>
            </w:pP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AN &amp; Nitric Acid</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284,731</w:t>
            </w: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306,531</w:t>
            </w:r>
          </w:p>
        </w:tc>
        <w:tc>
          <w:tcPr>
            <w:tcW w:w="26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(21,800</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49"/>
        </w:trPr>
        <w:tc>
          <w:tcPr>
            <w:tcW w:w="20" w:type="dxa"/>
            <w:vAlign w:val="bottom"/>
          </w:tcPr>
          <w:p>
            <w:pPr>
              <w:spacing w:after="0"/>
              <w:rPr>
                <w:sz w:val="21"/>
                <w:szCs w:val="21"/>
                <w:color w:val="auto"/>
              </w:rPr>
            </w:pP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Urea ammonium nitrate (UAN)</w:t>
            </w:r>
          </w:p>
        </w:tc>
        <w:tc>
          <w:tcPr>
            <w:tcW w:w="1480" w:type="dxa"/>
            <w:vAlign w:val="bottom"/>
          </w:tcPr>
          <w:p>
            <w:pPr>
              <w:jc w:val="right"/>
              <w:spacing w:after="0"/>
              <w:rPr>
                <w:sz w:val="20"/>
                <w:szCs w:val="20"/>
                <w:color w:val="auto"/>
              </w:rPr>
            </w:pPr>
            <w:r>
              <w:rPr>
                <w:rFonts w:ascii="Arial" w:cs="Arial" w:eastAsia="Arial" w:hAnsi="Arial"/>
                <w:sz w:val="18"/>
                <w:szCs w:val="18"/>
                <w:color w:val="auto"/>
              </w:rPr>
              <w:t>239,037</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230,714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8,323</w:t>
            </w:r>
          </w:p>
        </w:tc>
        <w:tc>
          <w:tcPr>
            <w:tcW w:w="280" w:type="dxa"/>
            <w:vAlign w:val="bottom"/>
          </w:tcPr>
          <w:p>
            <w:pPr>
              <w:spacing w:after="0"/>
              <w:rPr>
                <w:sz w:val="21"/>
                <w:szCs w:val="21"/>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4 %</w:t>
            </w: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43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Ammonia</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191,045</w:t>
            </w:r>
          </w:p>
        </w:tc>
        <w:tc>
          <w:tcPr>
            <w:tcW w:w="2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136,251</w:t>
            </w:r>
          </w:p>
        </w:tc>
        <w:tc>
          <w:tcPr>
            <w:tcW w:w="26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54,794</w:t>
            </w:r>
          </w:p>
        </w:tc>
        <w:tc>
          <w:tcPr>
            <w:tcW w:w="2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20" w:type="dxa"/>
            <w:vAlign w:val="bottom"/>
            <w:gridSpan w:val="2"/>
          </w:tcPr>
          <w:p>
            <w:pPr>
              <w:jc w:val="center"/>
              <w:ind w:right="3240"/>
              <w:spacing w:after="0"/>
              <w:rPr>
                <w:sz w:val="20"/>
                <w:szCs w:val="20"/>
                <w:color w:val="auto"/>
              </w:rPr>
            </w:pPr>
            <w:r>
              <w:rPr>
                <w:rFonts w:ascii="Arial" w:cs="Arial" w:eastAsia="Arial" w:hAnsi="Arial"/>
                <w:sz w:val="18"/>
                <w:szCs w:val="18"/>
                <w:color w:val="auto"/>
                <w:w w:val="89"/>
              </w:rPr>
              <w:t>Total</w:t>
            </w:r>
          </w:p>
        </w:tc>
        <w:tc>
          <w:tcPr>
            <w:tcW w:w="1480" w:type="dxa"/>
            <w:vAlign w:val="bottom"/>
          </w:tcPr>
          <w:p>
            <w:pPr>
              <w:jc w:val="right"/>
              <w:spacing w:after="0"/>
              <w:rPr>
                <w:sz w:val="20"/>
                <w:szCs w:val="20"/>
                <w:color w:val="auto"/>
              </w:rPr>
            </w:pPr>
            <w:r>
              <w:rPr>
                <w:rFonts w:ascii="Arial" w:cs="Arial" w:eastAsia="Arial" w:hAnsi="Arial"/>
                <w:sz w:val="18"/>
                <w:szCs w:val="18"/>
                <w:color w:val="auto"/>
              </w:rPr>
              <w:t>714,813</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673,496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41,317</w:t>
            </w:r>
          </w:p>
        </w:tc>
        <w:tc>
          <w:tcPr>
            <w:tcW w:w="280" w:type="dxa"/>
            <w:vAlign w:val="bottom"/>
          </w:tcPr>
          <w:p>
            <w:pPr>
              <w:spacing w:after="0"/>
              <w:rPr>
                <w:sz w:val="20"/>
                <w:szCs w:val="20"/>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6 %</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-890905</wp:posOffset>
            </wp:positionV>
            <wp:extent cx="85725"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-890905</wp:posOffset>
            </wp:positionV>
            <wp:extent cx="8572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-890905</wp:posOffset>
            </wp:positionV>
            <wp:extent cx="8572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324"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center"/>
              <w:ind w:right="130"/>
              <w:spacing w:after="0"/>
              <w:rPr>
                <w:sz w:val="20"/>
                <w:szCs w:val="20"/>
                <w:color w:val="auto"/>
              </w:rPr>
            </w:pPr>
            <w:r>
              <w:rPr>
                <w:rFonts w:ascii="Arial" w:cs="Arial" w:eastAsia="Arial" w:hAnsi="Arial"/>
                <w:sz w:val="18"/>
                <w:szCs w:val="18"/>
                <w:color w:val="auto"/>
                <w:w w:val="86"/>
              </w:rPr>
              <w:t>Percentage</w:t>
            </w:r>
          </w:p>
        </w:tc>
      </w:tr>
      <w:tr>
        <w:trPr>
          <w:trHeight w:val="263"/>
        </w:trPr>
        <w:tc>
          <w:tcPr>
            <w:tcW w:w="20" w:type="dxa"/>
            <w:vAlign w:val="bottom"/>
          </w:tcPr>
          <w:p>
            <w:pPr>
              <w:spacing w:after="0"/>
              <w:rPr>
                <w:sz w:val="22"/>
                <w:szCs w:val="22"/>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18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color w:val="auto"/>
                <w:w w:val="89"/>
              </w:rPr>
              <w:t>2022</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right"/>
              <w:ind w:right="630"/>
              <w:spacing w:after="0"/>
              <w:rPr>
                <w:sz w:val="20"/>
                <w:szCs w:val="20"/>
                <w:color w:val="auto"/>
              </w:rPr>
            </w:pPr>
            <w:r>
              <w:rPr>
                <w:rFonts w:ascii="Arial" w:cs="Arial" w:eastAsia="Arial" w:hAnsi="Arial"/>
                <w:sz w:val="18"/>
                <w:szCs w:val="18"/>
                <w:color w:val="auto"/>
              </w:rPr>
              <w:t>Change</w:t>
            </w:r>
          </w:p>
        </w:tc>
        <w:tc>
          <w:tcPr>
            <w:tcW w:w="1740" w:type="dxa"/>
            <w:vAlign w:val="bottom"/>
            <w:gridSpan w:val="2"/>
          </w:tcPr>
          <w:p>
            <w:pPr>
              <w:jc w:val="center"/>
              <w:ind w:right="130"/>
              <w:spacing w:after="0"/>
              <w:rPr>
                <w:sz w:val="20"/>
                <w:szCs w:val="20"/>
                <w:color w:val="auto"/>
              </w:rPr>
            </w:pPr>
            <w:r>
              <w:rPr>
                <w:rFonts w:ascii="Arial" w:cs="Arial" w:eastAsia="Arial" w:hAnsi="Arial"/>
                <w:sz w:val="18"/>
                <w:szCs w:val="18"/>
                <w:color w:val="auto"/>
                <w:w w:val="88"/>
              </w:rPr>
              <w:t>Change</w:t>
            </w:r>
          </w:p>
        </w:tc>
      </w:tr>
      <w:tr>
        <w:trPr>
          <w:trHeight w:val="217"/>
        </w:trPr>
        <w:tc>
          <w:tcPr>
            <w:tcW w:w="20" w:type="dxa"/>
            <w:vAlign w:val="bottom"/>
          </w:tcPr>
          <w:p>
            <w:pPr>
              <w:spacing w:after="0"/>
              <w:rPr>
                <w:sz w:val="18"/>
                <w:szCs w:val="18"/>
                <w:color w:val="auto"/>
              </w:rPr>
            </w:pPr>
          </w:p>
        </w:tc>
        <w:tc>
          <w:tcPr>
            <w:tcW w:w="4380" w:type="dxa"/>
            <w:vAlign w:val="bottom"/>
            <w:gridSpan w:val="3"/>
          </w:tcPr>
          <w:p>
            <w:pPr>
              <w:ind w:left="180"/>
              <w:spacing w:after="0"/>
              <w:rPr>
                <w:sz w:val="20"/>
                <w:szCs w:val="20"/>
                <w:color w:val="auto"/>
              </w:rPr>
            </w:pPr>
            <w:r>
              <w:rPr>
                <w:rFonts w:ascii="Arial" w:cs="Arial" w:eastAsia="Arial" w:hAnsi="Arial"/>
                <w:sz w:val="18"/>
                <w:szCs w:val="18"/>
                <w:color w:val="auto"/>
              </w:rPr>
              <w:t>AN &amp; Nitric Acid</w:t>
            </w:r>
          </w:p>
        </w:tc>
        <w:tc>
          <w:tcPr>
            <w:tcW w:w="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r>
      <w:tr>
        <w:trPr>
          <w:trHeight w:val="242"/>
        </w:trPr>
        <w:tc>
          <w:tcPr>
            <w:tcW w:w="20" w:type="dxa"/>
            <w:vAlign w:val="bottom"/>
          </w:tcPr>
          <w:p>
            <w:pPr>
              <w:spacing w:after="0"/>
              <w:rPr>
                <w:sz w:val="21"/>
                <w:szCs w:val="21"/>
                <w:color w:val="auto"/>
              </w:rPr>
            </w:pPr>
          </w:p>
        </w:tc>
        <w:tc>
          <w:tcPr>
            <w:tcW w:w="4380" w:type="dxa"/>
            <w:vAlign w:val="bottom"/>
            <w:gridSpan w:val="3"/>
          </w:tcPr>
          <w:p>
            <w:pPr>
              <w:ind w:left="180"/>
              <w:spacing w:after="0"/>
              <w:rPr>
                <w:sz w:val="20"/>
                <w:szCs w:val="20"/>
                <w:color w:val="auto"/>
              </w:rPr>
            </w:pPr>
            <w:r>
              <w:rPr>
                <w:rFonts w:ascii="Arial" w:cs="Arial" w:eastAsia="Arial" w:hAnsi="Arial"/>
                <w:sz w:val="18"/>
                <w:szCs w:val="18"/>
                <w:color w:val="auto"/>
              </w:rPr>
              <w:t>Urea ammonium nitrate (UAN)</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366</w:t>
            </w:r>
          </w:p>
        </w:tc>
        <w:tc>
          <w:tcPr>
            <w:tcW w:w="8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579</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(213 )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20" w:type="dxa"/>
            <w:vAlign w:val="bottom"/>
          </w:tcPr>
          <w:p>
            <w:pPr>
              <w:spacing w:after="0"/>
              <w:rPr>
                <w:sz w:val="21"/>
                <w:szCs w:val="21"/>
                <w:color w:val="auto"/>
              </w:rPr>
            </w:pPr>
          </w:p>
        </w:tc>
        <w:tc>
          <w:tcPr>
            <w:tcW w:w="4380" w:type="dxa"/>
            <w:vAlign w:val="bottom"/>
            <w:gridSpan w:val="3"/>
          </w:tcPr>
          <w:p>
            <w:pPr>
              <w:ind w:left="180"/>
              <w:spacing w:after="0"/>
              <w:rPr>
                <w:sz w:val="20"/>
                <w:szCs w:val="20"/>
                <w:color w:val="auto"/>
              </w:rPr>
            </w:pPr>
            <w:r>
              <w:rPr>
                <w:rFonts w:ascii="Arial" w:cs="Arial" w:eastAsia="Arial" w:hAnsi="Arial"/>
                <w:sz w:val="18"/>
                <w:szCs w:val="18"/>
                <w:color w:val="auto"/>
              </w:rPr>
              <w:t>Ammonia</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539</w:t>
            </w:r>
          </w:p>
        </w:tc>
        <w:tc>
          <w:tcPr>
            <w:tcW w:w="8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1,092</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(553 )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(51 )%</w:t>
            </w:r>
          </w:p>
        </w:tc>
      </w:tr>
      <w:tr>
        <w:trPr>
          <w:trHeight w:val="59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center"/>
              <w:ind w:right="130"/>
              <w:spacing w:after="0"/>
              <w:rPr>
                <w:sz w:val="20"/>
                <w:szCs w:val="20"/>
                <w:color w:val="auto"/>
              </w:rPr>
            </w:pPr>
            <w:r>
              <w:rPr>
                <w:rFonts w:ascii="Arial" w:cs="Arial" w:eastAsia="Arial" w:hAnsi="Arial"/>
                <w:sz w:val="18"/>
                <w:szCs w:val="18"/>
                <w:color w:val="auto"/>
                <w:w w:val="86"/>
              </w:rPr>
              <w:t>Percentage</w:t>
            </w:r>
          </w:p>
        </w:tc>
      </w:tr>
      <w:tr>
        <w:trPr>
          <w:trHeight w:val="263"/>
        </w:trPr>
        <w:tc>
          <w:tcPr>
            <w:tcW w:w="20" w:type="dxa"/>
            <w:vAlign w:val="bottom"/>
          </w:tcPr>
          <w:p>
            <w:pPr>
              <w:spacing w:after="0"/>
              <w:rPr>
                <w:sz w:val="22"/>
                <w:szCs w:val="22"/>
                <w:color w:val="auto"/>
              </w:rPr>
            </w:pPr>
          </w:p>
        </w:tc>
        <w:tc>
          <w:tcPr>
            <w:tcW w:w="4380" w:type="dxa"/>
            <w:vAlign w:val="bottom"/>
            <w:gridSpan w:val="3"/>
          </w:tcPr>
          <w:p>
            <w:pPr>
              <w:spacing w:after="0"/>
              <w:rPr>
                <w:sz w:val="20"/>
                <w:szCs w:val="20"/>
                <w:color w:val="auto"/>
              </w:rPr>
            </w:pPr>
            <w:r>
              <w:rPr>
                <w:rFonts w:ascii="Arial" w:cs="Arial" w:eastAsia="Arial" w:hAnsi="Arial"/>
                <w:sz w:val="14"/>
                <w:szCs w:val="14"/>
                <w:color w:val="auto"/>
              </w:rPr>
              <w:t>Average Benchmark Prices (price per ton)</w:t>
            </w:r>
          </w:p>
        </w:tc>
        <w:tc>
          <w:tcPr>
            <w:tcW w:w="900" w:type="dxa"/>
            <w:vAlign w:val="bottom"/>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color w:val="auto"/>
                <w:w w:val="89"/>
              </w:rPr>
              <w:t>2022</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right"/>
              <w:ind w:right="630"/>
              <w:spacing w:after="0"/>
              <w:rPr>
                <w:sz w:val="20"/>
                <w:szCs w:val="20"/>
                <w:color w:val="auto"/>
              </w:rPr>
            </w:pPr>
            <w:r>
              <w:rPr>
                <w:rFonts w:ascii="Arial" w:cs="Arial" w:eastAsia="Arial" w:hAnsi="Arial"/>
                <w:sz w:val="18"/>
                <w:szCs w:val="18"/>
                <w:color w:val="auto"/>
              </w:rPr>
              <w:t>Change</w:t>
            </w:r>
          </w:p>
        </w:tc>
        <w:tc>
          <w:tcPr>
            <w:tcW w:w="1740" w:type="dxa"/>
            <w:vAlign w:val="bottom"/>
            <w:gridSpan w:val="2"/>
          </w:tcPr>
          <w:p>
            <w:pPr>
              <w:jc w:val="center"/>
              <w:ind w:right="130"/>
              <w:spacing w:after="0"/>
              <w:rPr>
                <w:sz w:val="20"/>
                <w:szCs w:val="20"/>
                <w:color w:val="auto"/>
              </w:rPr>
            </w:pPr>
            <w:r>
              <w:rPr>
                <w:rFonts w:ascii="Arial" w:cs="Arial" w:eastAsia="Arial" w:hAnsi="Arial"/>
                <w:sz w:val="18"/>
                <w:szCs w:val="18"/>
                <w:color w:val="auto"/>
                <w:w w:val="88"/>
              </w:rPr>
              <w:t>Change</w:t>
            </w:r>
          </w:p>
        </w:tc>
      </w:tr>
      <w:tr>
        <w:trPr>
          <w:trHeight w:val="217"/>
        </w:trPr>
        <w:tc>
          <w:tcPr>
            <w:tcW w:w="20" w:type="dxa"/>
            <w:vAlign w:val="bottom"/>
          </w:tcPr>
          <w:p>
            <w:pPr>
              <w:spacing w:after="0"/>
              <w:rPr>
                <w:sz w:val="18"/>
                <w:szCs w:val="18"/>
                <w:color w:val="auto"/>
              </w:rPr>
            </w:pPr>
          </w:p>
        </w:tc>
        <w:tc>
          <w:tcPr>
            <w:tcW w:w="24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5"/>
              </w:rPr>
              <w:t>Tampa Ammonia Benchmark</w:t>
            </w:r>
          </w:p>
        </w:tc>
        <w:tc>
          <w:tcPr>
            <w:tcW w:w="1960" w:type="dxa"/>
            <w:vAlign w:val="bottom"/>
            <w:gridSpan w:val="2"/>
          </w:tcPr>
          <w:p>
            <w:pPr>
              <w:spacing w:after="0"/>
              <w:rPr>
                <w:sz w:val="18"/>
                <w:szCs w:val="18"/>
                <w:color w:val="auto"/>
              </w:rPr>
            </w:pPr>
          </w:p>
        </w:tc>
        <w:tc>
          <w:tcPr>
            <w:tcW w:w="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30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r>
      <w:tr>
        <w:trPr>
          <w:trHeight w:val="269"/>
        </w:trPr>
        <w:tc>
          <w:tcPr>
            <w:tcW w:w="20" w:type="dxa"/>
            <w:vAlign w:val="bottom"/>
          </w:tcPr>
          <w:p>
            <w:pPr>
              <w:spacing w:after="0"/>
              <w:rPr>
                <w:sz w:val="23"/>
                <w:szCs w:val="23"/>
                <w:color w:val="auto"/>
              </w:rPr>
            </w:pPr>
          </w:p>
        </w:tc>
        <w:tc>
          <w:tcPr>
            <w:tcW w:w="4380" w:type="dxa"/>
            <w:vAlign w:val="bottom"/>
            <w:gridSpan w:val="3"/>
          </w:tcPr>
          <w:p>
            <w:pPr>
              <w:ind w:left="180"/>
              <w:spacing w:after="0"/>
              <w:rPr>
                <w:sz w:val="20"/>
                <w:szCs w:val="20"/>
                <w:color w:val="auto"/>
              </w:rPr>
            </w:pPr>
            <w:r>
              <w:rPr>
                <w:rFonts w:ascii="Arial" w:cs="Arial" w:eastAsia="Arial" w:hAnsi="Arial"/>
                <w:sz w:val="18"/>
                <w:szCs w:val="18"/>
                <w:color w:val="auto"/>
              </w:rPr>
              <w:t>NOLA UAN</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285</w:t>
            </w:r>
          </w:p>
        </w:tc>
        <w:tc>
          <w:tcPr>
            <w:tcW w:w="8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574</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(289 )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Net sales of our primary products decreased during the first half of 2023 compared to the prior year period driven by the impact of lower selling prices relative to the second half of 2022 for all of our products. Partially offsetting weaker pricing was an increase in sales volume of agricultural products driven largely by stronger production at our facilities, reflecting the investments made in plant reliability over the past several years.</w:t>
      </w:r>
    </w:p>
    <w:p>
      <w:pPr>
        <w:spacing w:after="0" w:line="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Demand for our industrial and mining products remains robust despite continued global recessionary forces. Our contractual agreements with industrial customers that specify minimum volumes and our product mix flexibility helps us mitigate the impact of a reduction in demand from certain end markets by shifting production to products with stronger demand.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As noted in the table above, we recognized a gross profit of $77.6 million for the first six months of 2023 compared to $233.7 million for the same period in 2022, or an $156.0 million decrease. Overall, our gross profit percentage was 22.4% for the first six months of 2023 compared to 48.3% for the same period in 2022. Our adjusted gross profit percentage decreased to 32.3% for the first six months of 2023 from 56.5% for the first six months of 2022.</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gross profit was primarily driven by lower sales prices for our products partially offset by higher volumes for our agricultural products.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Gross profit was also negatively impacted by higher natural gas costs, in our beginning inventory produced and in addition to higher plant fixed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SG&amp;A expenses were $19.3 million for the first six months of 2023, a decrease of $1.3 million compared to the same period in 2022. The net decrease was primarily driven by approximately $2.2 million of expense relating to nonrecurring transaction fees, $1.4 million in insurance and other miscellaneous fees partially offset by an increase in payroll related items of $2.3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Interest expense for the first half of 2023 was $24.0 million compared to $22.3 million for the same period in 2022. The increase relates to the issuance of $200 million of 6.25% Senior Secured Notes during March of 2022 partially offset by reduced interest expense as a result of the repurchase of $125 million of our 6.25% Senior Secured Notes made during May and June of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Extinguishment of Debt</w:t>
      </w:r>
    </w:p>
    <w:p>
      <w:pPr>
        <w:spacing w:after="0" w:line="121" w:lineRule="exact"/>
        <w:rPr>
          <w:sz w:val="20"/>
          <w:szCs w:val="20"/>
          <w:color w:val="auto"/>
        </w:rPr>
      </w:pPr>
    </w:p>
    <w:p>
      <w:pPr>
        <w:jc w:val="both"/>
        <w:ind w:right="80"/>
        <w:spacing w:after="0" w:line="308" w:lineRule="auto"/>
        <w:rPr>
          <w:sz w:val="20"/>
          <w:szCs w:val="20"/>
          <w:color w:val="auto"/>
        </w:rPr>
      </w:pPr>
      <w:r>
        <w:rPr>
          <w:rFonts w:ascii="Arial" w:cs="Arial" w:eastAsia="Arial" w:hAnsi="Arial"/>
          <w:sz w:val="17"/>
          <w:szCs w:val="17"/>
          <w:color w:val="auto"/>
        </w:rPr>
        <w:t>During the second quarter of 2023 we repurchased $125 million of our Senior Secured Notes through open market transactions for approximately $114.3 million. As a result, we recognized a gain on extinguishment of debt net of issuance costs of approximately $8.6 million.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Income, net</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Non-operating other income for the first half of 2023 was $7.2 million primarily relating to interest income from to our short term investments. For the same period of 2022, we had non-operating other income of $3.4 million primarily relating to a recognized settlement on our company owned life insurance resulting from a death benefit from an insurer relating to the death of J. Golsen as discussed in Note 9 and interest income from our short term investments.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2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provision for income taxes for the first six months of 2023 was $8.9 million compared to $31.5 million for the same period in 2022. For the first six months of 2023, the effective tax rate is less than the statutory rate primarily due to deferred benefits from state tax law changes. For the first six months of 2022, the effective tax rate is less than the statutory rate primarily due to the impact of the valuation allowances. Also see discussion in Note 7.</w:t>
      </w:r>
    </w:p>
    <w:p>
      <w:pPr>
        <w:spacing w:after="0" w:line="3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82"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six months ended June 30:</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r>
      <w:tr>
        <w:trPr>
          <w:trHeight w:val="247"/>
        </w:trPr>
        <w:tc>
          <w:tcPr>
            <w:tcW w:w="5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6"/>
                <w:szCs w:val="16"/>
                <w:color w:val="auto"/>
                <w:w w:val="89"/>
              </w:rPr>
              <w:t>(In Thousands)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9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102,949</w:t>
            </w:r>
          </w:p>
        </w:tc>
        <w:tc>
          <w:tcPr>
            <w:tcW w:w="30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220,813</w:t>
            </w:r>
          </w:p>
        </w:tc>
        <w:tc>
          <w:tcPr>
            <w:tcW w:w="28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(117,864 )</w:t>
            </w:r>
          </w:p>
        </w:tc>
      </w:tr>
      <w:tr>
        <w:trPr>
          <w:trHeight w:val="237"/>
        </w:trPr>
        <w:tc>
          <w:tcPr>
            <w:tcW w:w="57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r>
      <w:tr>
        <w:trPr>
          <w:trHeight w:val="28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30,208</w:t>
            </w:r>
          </w:p>
        </w:tc>
        <w:tc>
          <w:tcPr>
            <w:tcW w:w="30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(341,934 )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372,142</w:t>
            </w:r>
          </w:p>
        </w:tc>
        <w:tc>
          <w:tcPr>
            <w:tcW w:w="120" w:type="dxa"/>
            <w:vAlign w:val="bottom"/>
            <w:shd w:val="clear" w:color="auto" w:fill="CFF0FC"/>
          </w:tcPr>
          <w:p>
            <w:pPr>
              <w:spacing w:after="0"/>
              <w:rPr>
                <w:sz w:val="24"/>
                <w:szCs w:val="24"/>
                <w:color w:val="auto"/>
              </w:rPr>
            </w:pPr>
          </w:p>
        </w:tc>
      </w:tr>
      <w:tr>
        <w:trPr>
          <w:trHeight w:val="223"/>
        </w:trPr>
        <w:tc>
          <w:tcPr>
            <w:tcW w:w="578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r>
      <w:tr>
        <w:trPr>
          <w:trHeight w:val="26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(151,854 )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164,208</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(316,062 )</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-702310</wp:posOffset>
            </wp:positionV>
            <wp:extent cx="1971675"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71675" cy="18859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-359410</wp:posOffset>
            </wp:positionV>
            <wp:extent cx="1971675"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71675" cy="1797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Operating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$102.9 million for the first half of 2023 compared to $220.8 million for the same period of 2022, a change of $117.9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half of 2023, the net cash provided is the result of net income of $41.0 million plus adjustments of $34.4 million for depreciation and amortization of PP&amp;E, $7.7 million for deferred taxes, less other adjustments of $2.9 million and cash provided of $22.7 million primarily from our working capital.</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half 2022, the net cash provided is the result of a net income of $162.2 million plus adjustments of $33.9 million for depreciation and amortization of PP&amp;E, $30.6 million for deferred taxes and other adjustments of $2.0 million net of cash used of $7.9 million primarily from our working capital.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was $30.2 million for the first half of 2023 compared to net cash used of $341.9 million for the same period of 2022, a change of $372.1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half of 2023, the net cash provided primarily relates to proceeds from short-term investments of $264.2 million, partially offset by purchases of short-term investments of $201.7 million and expenditures for PP&amp;E of $32.3 million.</w:t>
      </w:r>
    </w:p>
    <w:p>
      <w:pPr>
        <w:spacing w:after="0" w:line="62" w:lineRule="exact"/>
        <w:rPr>
          <w:sz w:val="20"/>
          <w:szCs w:val="20"/>
          <w:color w:val="auto"/>
        </w:rPr>
      </w:pPr>
    </w:p>
    <w:p>
      <w:pPr>
        <w:ind w:right="900"/>
        <w:spacing w:after="0" w:line="375" w:lineRule="auto"/>
        <w:rPr>
          <w:sz w:val="20"/>
          <w:szCs w:val="20"/>
          <w:color w:val="auto"/>
        </w:rPr>
      </w:pPr>
      <w:r>
        <w:rPr>
          <w:rFonts w:ascii="Arial" w:cs="Arial" w:eastAsia="Arial" w:hAnsi="Arial"/>
          <w:sz w:val="18"/>
          <w:szCs w:val="18"/>
          <w:color w:val="auto"/>
        </w:rPr>
        <w:t xml:space="preserve">For the first half of 2022, the net cash used primarily relates purchases of short-term investments of $325.6 million and expenditures for PP&amp;E. </w:t>
      </w:r>
      <w:r>
        <w:rPr>
          <w:rFonts w:ascii="Arial" w:cs="Arial" w:eastAsia="Arial" w:hAnsi="Arial"/>
          <w:sz w:val="18"/>
          <w:szCs w:val="18"/>
          <w:b w:val="1"/>
          <w:bCs w:val="1"/>
          <w:u w:val="single" w:color="auto"/>
          <w:color w:val="auto"/>
        </w:rPr>
        <w:t>Net Cash Flow from Financing Activities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financing activities was $151.9 million for the first half of 2023 compared to net cash provided of $164.2 million for the same period of 2022, a change of $316.1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half of 2023, the net cash used primarily consists of repurchases of our 6.25% Senior Secured Notes of $114.3, payments on other long-term debt and short-term financing of $17.8 million and payments of $19.8 million for the purchase of treasury stock.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half of 2022, the net cash provided primarily consists of proceeds of $200 million from the New Notes partially offset by payments on other long-term debt and short-term financing of $15.9 million, payments for the acquisition of treasury shares of $15.3 million, payments of $4.5 million for equity and debt-related cost and $0.1 million for other financing activities.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short-term investments, long-term debt and stockholders’ equity:</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December 31,</w:t>
            </w:r>
          </w:p>
        </w:tc>
      </w:tr>
      <w:tr>
        <w:trPr>
          <w:trHeight w:val="250"/>
        </w:trPr>
        <w:tc>
          <w:tcPr>
            <w:tcW w:w="6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r>
      <w:tr>
        <w:trPr>
          <w:trHeight w:val="220"/>
        </w:trPr>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5"/>
          </w:tcPr>
          <w:p>
            <w:pPr>
              <w:jc w:val="right"/>
              <w:ind w:right="1280"/>
              <w:spacing w:after="0"/>
              <w:rPr>
                <w:sz w:val="20"/>
                <w:szCs w:val="20"/>
                <w:color w:val="auto"/>
              </w:rPr>
            </w:pPr>
            <w:r>
              <w:rPr>
                <w:rFonts w:ascii="Arial" w:cs="Arial" w:eastAsia="Arial" w:hAnsi="Arial"/>
                <w:sz w:val="16"/>
                <w:szCs w:val="16"/>
                <w:color w:val="auto"/>
              </w:rPr>
              <w:t>(In Millions)</w:t>
            </w:r>
          </w:p>
        </w:tc>
      </w:tr>
      <w:tr>
        <w:trPr>
          <w:trHeight w:val="286"/>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30"/>
        </w:trPr>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268.8</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Total cash, cash equivalents and short-term investments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3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7"/>
        </w:trPr>
        <w:tc>
          <w:tcPr>
            <w:tcW w:w="6820" w:type="dxa"/>
            <w:vAlign w:val="bottom"/>
          </w:tcPr>
          <w:p>
            <w:pPr>
              <w:ind w:left="180"/>
              <w:spacing w:after="0"/>
              <w:rPr>
                <w:sz w:val="20"/>
                <w:szCs w:val="20"/>
                <w:color w:val="auto"/>
              </w:rPr>
            </w:pPr>
            <w:r>
              <w:rPr>
                <w:rFonts w:ascii="Arial" w:cs="Arial" w:eastAsia="Arial" w:hAnsi="Arial"/>
                <w:sz w:val="18"/>
                <w:szCs w:val="18"/>
                <w:color w:val="auto"/>
              </w:rPr>
              <w:t>Working Capital Revolver Loan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9"/>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 xml:space="preserve">Senior Secured Notes due 2028 </w:t>
            </w:r>
            <w:r>
              <w:rPr>
                <w:rFonts w:ascii="Arial" w:cs="Arial" w:eastAsia="Arial" w:hAnsi="Arial"/>
                <w:sz w:val="14"/>
                <w:szCs w:val="14"/>
                <w:color w:val="auto"/>
              </w:rPr>
              <w:t>(1)</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FF0FC"/>
          </w:tcPr>
          <w:p>
            <w:pPr>
              <w:spacing w:after="0"/>
              <w:rPr>
                <w:sz w:val="21"/>
                <w:szCs w:val="21"/>
                <w:color w:val="auto"/>
              </w:rPr>
            </w:pPr>
          </w:p>
        </w:tc>
      </w:tr>
      <w:tr>
        <w:trPr>
          <w:trHeight w:val="237"/>
        </w:trPr>
        <w:tc>
          <w:tcPr>
            <w:tcW w:w="6820" w:type="dxa"/>
            <w:vAlign w:val="bottom"/>
          </w:tcPr>
          <w:p>
            <w:pPr>
              <w:ind w:left="180"/>
              <w:spacing w:after="0"/>
              <w:rPr>
                <w:sz w:val="20"/>
                <w:szCs w:val="20"/>
                <w:color w:val="auto"/>
              </w:rPr>
            </w:pPr>
            <w:r>
              <w:rPr>
                <w:rFonts w:ascii="Arial" w:cs="Arial" w:eastAsia="Arial" w:hAnsi="Arial"/>
                <w:sz w:val="18"/>
                <w:szCs w:val="18"/>
                <w:color w:val="auto"/>
              </w:rPr>
              <w:t>Secured Financing due 2025</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r>
      <w:tr>
        <w:trPr>
          <w:trHeight w:val="249"/>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Secured Financing due 2023</w:t>
            </w:r>
          </w:p>
        </w:tc>
        <w:tc>
          <w:tcPr>
            <w:tcW w:w="2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21"/>
                <w:szCs w:val="21"/>
                <w:color w:val="auto"/>
              </w:rPr>
            </w:pPr>
          </w:p>
        </w:tc>
      </w:tr>
      <w:tr>
        <w:trPr>
          <w:trHeight w:val="237"/>
        </w:trPr>
        <w:tc>
          <w:tcPr>
            <w:tcW w:w="682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r>
      <w:tr>
        <w:trPr>
          <w:trHeight w:val="243"/>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Unamortized debt issuance costs</w:t>
            </w:r>
          </w:p>
        </w:tc>
        <w:tc>
          <w:tcPr>
            <w:tcW w:w="2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(9.2 )</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(12.3 )</w:t>
            </w:r>
          </w:p>
        </w:tc>
      </w:tr>
      <w:tr>
        <w:trPr>
          <w:trHeight w:val="236"/>
        </w:trPr>
        <w:tc>
          <w:tcPr>
            <w:tcW w:w="68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long-term debt, including current portion,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583.6</w:t>
            </w: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712.3</w:t>
            </w:r>
          </w:p>
        </w:tc>
        <w:tc>
          <w:tcPr>
            <w:tcW w:w="120" w:type="dxa"/>
            <w:vAlign w:val="bottom"/>
            <w:tcBorders>
              <w:top w:val="single" w:sz="8" w:color="CFF0FC"/>
            </w:tcBorders>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w:t>
            </w:r>
          </w:p>
        </w:tc>
        <w:tc>
          <w:tcPr>
            <w:tcW w:w="3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515.9</w:t>
            </w:r>
          </w:p>
        </w:tc>
        <w:tc>
          <w:tcPr>
            <w:tcW w:w="12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-1971040</wp:posOffset>
            </wp:positionV>
            <wp:extent cx="1174115"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74115" cy="1797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-1636395</wp:posOffset>
            </wp:positionV>
            <wp:extent cx="7683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-1636395</wp:posOffset>
            </wp:positionV>
            <wp:extent cx="7747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-367665</wp:posOffset>
            </wp:positionV>
            <wp:extent cx="7683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-367665</wp:posOffset>
            </wp:positionV>
            <wp:extent cx="7747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4"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See discussion contained in Note 4.</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$65 million. As of June 30, 2023, our Working Capital Revolver Loan was undrawn and had approximately $55.4 million of availability.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full year of 2023, we expect capital expenditures to be approximately $60 million to $80 million. This capital spending is primarily planned for reliability and maintenance capital projects.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42424"/>
        </w:rPr>
        <w:t>From time to time, when the Company exceeds the funding threshold in our natural gas purchase commitments the Company is required to fund cash collateral to our counterparty.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short-term investments, the availability on our revolving credit facility and our cash flow from operations will be sufficient to fund our anticipated liquidity needs for the next twelve months.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As of June 30, 2023, we had approximately $314 million of cash and short-term investments. From time to time, we may seek to deploy capital through additional share repurchases or the retirement or purchase of outstanding debt. Such repurchases may be made in open market purchases, privately negotiated transactions or otherwise and will depend on prevailing market conditions, our liquidity requirements, contractual restrictions and other factors. The amounts involved may be material. </w:t>
      </w:r>
      <w:r>
        <w:rPr>
          <w:rFonts w:ascii="Arial" w:cs="Arial" w:eastAsia="Arial" w:hAnsi="Arial"/>
          <w:sz w:val="17"/>
          <w:szCs w:val="17"/>
          <w:color w:val="2B333D"/>
        </w:rPr>
        <w:t>During the first half of 2023, we repurchased $125.0 million in principal value of our Senior Secured Notes for</w:t>
      </w:r>
      <w:r>
        <w:rPr>
          <w:rFonts w:ascii="Arial" w:cs="Arial" w:eastAsia="Arial" w:hAnsi="Arial"/>
          <w:sz w:val="17"/>
          <w:szCs w:val="17"/>
          <w:color w:val="auto"/>
        </w:rPr>
        <w:t xml:space="preserve"> </w:t>
      </w:r>
      <w:r>
        <w:rPr>
          <w:rFonts w:ascii="Arial" w:cs="Arial" w:eastAsia="Arial" w:hAnsi="Arial"/>
          <w:sz w:val="17"/>
          <w:szCs w:val="17"/>
          <w:color w:val="2B333D"/>
        </w:rPr>
        <w:t>$114.3 million and approximately 1.8 million shares of our common stock on the open market for approximately $17.2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4, the Working Capital Revolver Loan requires, among other things, that we meet certain financial covenants. The Working Capital Revolver Loan does not include financial covenant requirements unless a defined covenant trigger event has occurred and is continuing. As of June 30, 2023, no trigger event had occurred.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 xml:space="preserve">Senior Secured Notes due 2028 – </w:t>
      </w:r>
      <w:r>
        <w:rPr>
          <w:rFonts w:ascii="Arial" w:cs="Arial" w:eastAsia="Arial" w:hAnsi="Arial"/>
          <w:sz w:val="18"/>
          <w:szCs w:val="18"/>
          <w:color w:val="auto"/>
        </w:rPr>
        <w:t>LSB has $575 million aggregate principal amount of the 6.25% Senior Secured Notes currently outstanding. Interest is</w:t>
      </w:r>
      <w:r>
        <w:rPr>
          <w:rFonts w:ascii="Arial" w:cs="Arial" w:eastAsia="Arial" w:hAnsi="Arial"/>
          <w:sz w:val="18"/>
          <w:szCs w:val="18"/>
          <w:b w:val="1"/>
          <w:bCs w:val="1"/>
          <w:color w:val="auto"/>
        </w:rPr>
        <w:t xml:space="preserve"> </w:t>
      </w:r>
      <w:r>
        <w:rPr>
          <w:rFonts w:ascii="Arial" w:cs="Arial" w:eastAsia="Arial" w:hAnsi="Arial"/>
          <w:sz w:val="18"/>
          <w:szCs w:val="18"/>
          <w:color w:val="auto"/>
        </w:rPr>
        <w:t>to be paid semiannually in arrears on May 15</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and October 15</w:t>
      </w:r>
      <w:r>
        <w:rPr>
          <w:rFonts w:ascii="Arial" w:cs="Arial" w:eastAsia="Arial" w:hAnsi="Arial"/>
          <w:sz w:val="20"/>
          <w:szCs w:val="20"/>
          <w:color w:val="auto"/>
          <w:vertAlign w:val="superscript"/>
        </w:rPr>
        <w:t>th</w:t>
      </w:r>
      <w:r>
        <w:rPr>
          <w:rFonts w:ascii="Arial" w:cs="Arial" w:eastAsia="Arial" w:hAnsi="Arial"/>
          <w:sz w:val="18"/>
          <w:szCs w:val="18"/>
          <w:color w:val="auto"/>
        </w:rPr>
        <w:t>, maturing October 15, 2028.</w:t>
      </w:r>
    </w:p>
    <w:p>
      <w:pPr>
        <w:spacing w:after="0" w:line="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2025 – </w:t>
      </w:r>
      <w:r>
        <w:rPr>
          <w:rFonts w:ascii="Arial" w:cs="Arial" w:eastAsia="Arial" w:hAnsi="Arial"/>
          <w:sz w:val="18"/>
          <w:szCs w:val="18"/>
          <w:color w:val="auto"/>
        </w:rPr>
        <w:t>EDA is party to a $30 million secured financing arrangement with an affiliate of Eldridge. Principal and interest 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60 equal monthly installments with a final balloon payment of approximately $5 million due in August 2025.</w:t>
      </w:r>
    </w:p>
    <w:p>
      <w:pPr>
        <w:spacing w:after="0" w:line="5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Secured Financing due 2023 </w:t>
      </w:r>
      <w:r>
        <w:rPr>
          <w:rFonts w:ascii="Arial" w:cs="Arial" w:eastAsia="Arial" w:hAnsi="Arial"/>
          <w:sz w:val="16"/>
          <w:szCs w:val="16"/>
          <w:color w:val="auto"/>
        </w:rPr>
        <w:t>– EDC is party to a secured financing arrangement with an affiliate of Eldridge. Principal and interest are payable in 48 equal</w:t>
      </w:r>
      <w:r>
        <w:rPr>
          <w:rFonts w:ascii="Arial" w:cs="Arial" w:eastAsia="Arial" w:hAnsi="Arial"/>
          <w:sz w:val="16"/>
          <w:szCs w:val="16"/>
          <w:b w:val="1"/>
          <w:bCs w:val="1"/>
          <w:color w:val="auto"/>
        </w:rPr>
        <w:t xml:space="preserve"> </w:t>
      </w:r>
      <w:r>
        <w:rPr>
          <w:rFonts w:ascii="Arial" w:cs="Arial" w:eastAsia="Arial" w:hAnsi="Arial"/>
          <w:sz w:val="16"/>
          <w:szCs w:val="16"/>
          <w:color w:val="auto"/>
        </w:rPr>
        <w:t>monthly installments with a final balloon payment of approximately $3 million due in June 2023. The final balloon payment was repaid in April 2023.</w:t>
      </w:r>
    </w:p>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June 30, 2023, our Working Capital Revolver Loan was undrawn and had approximately $55.4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based on our eligible collateral, less outstanding letters of credit as of that date. Also see discussion above under “Compliance with Long-Term Debt Covenants.”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Capital Expenditures – First Six Months of 2023</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half of 2023, capital expenditures relating to PP&amp;E were $32.3 million. The capital expenditures were funded primarily from cash and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our expenses were $2.1 million for the first six months of 2023 in connection with environmental projects. For the remainder of 2023, we expect to incur expenses ranging from $2.0 million to $2.4 million in connection with additional environmental projects. However, it is possible that the actual costs could be significantly different than our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fertilizer products sold to the fertilizer industry are seasonal, while sales into the industrial and mining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fertilizer markets depend upon weather conditions and other circumstances beyond our control.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2023, we had agreed to indemnify the sureties for payments, up to $9.7 million, made by them in respect of such bonds. These insurance bonds are expected to expire or be renewed later in 2023-2024.</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issued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See “Critical Accounting Policies and Estimates,” Item 7 of our 2022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Income taxes are accounted for under the asset and liability method. Deferred tax assets and liabilities are measured using enacted tax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also reasonably possible that the estimates and assumptions utilized as of June 30, 2023, could change in the near term. Actual results could differ materially from these estimates and judgments, as additional information becomes known.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ammonia and natural gas and changes in market interest rates.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June 30, 2023, we had no embedded losses associated with sales commitments with firm sales prices.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June 30, 2023, we had no outstanding natural gas contracts which are accounted for on a mark-to-market basis.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Generally, we are exposed to variable interest rate risk with respect to our revolving credit facility. As of June 30, 2023, we had no outstanding borrowings on this credit facility and no other variable rate borrowings. We currently do not hedge our interest rate risk associated with our variable interest loan.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30, 2023. Based on this evaluation, the Company's Chief Executive Officer and Chief Financial Officer have concluded that the Company's disclosure controls and procedures were effective as of June 30, 2023, at the reasonable assurance level. There were no changes to our internal control over financial reporting (as such term is defined in Rules 13a-15(f) and 15d-15(f) under the Securities Exchange Act of 1934) during the quarter ended June 30, 2023, that have materially affected, or are reasonably likely to materially affect, our internal control over financial reporting.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w:t>
      </w:r>
    </w:p>
    <w:p>
      <w:pPr>
        <w:spacing w:after="0" w:line="1"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the best returns for our stockholders;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outlook of our chemical products and related markets;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current nitrogen expansion projects;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61" w:lineRule="exact"/>
        <w:rPr>
          <w:rFonts w:ascii="Arial" w:cs="Arial" w:eastAsia="Arial" w:hAnsi="Arial"/>
          <w:sz w:val="17"/>
          <w:szCs w:val="17"/>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outlook for the industrial and mining industries;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49" w:lineRule="exact"/>
        <w:rPr>
          <w:rFonts w:ascii="Arial" w:cs="Arial" w:eastAsia="Arial" w:hAnsi="Arial"/>
          <w:sz w:val="18"/>
          <w:szCs w:val="18"/>
          <w:color w:val="auto"/>
        </w:rPr>
      </w:pPr>
    </w:p>
    <w:p>
      <w:pPr>
        <w:ind w:left="760" w:hanging="378"/>
        <w:spacing w:after="0" w:line="27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broaden the distribution of our products, including our ability to leverage our nitric acid production capacity at our El Dorado Facility;</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increasing output and capacity of our existing production facilities;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our repurchase program on our stock price and cash reserves;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the ongoing COVID-19 pandemic and related response; and</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8"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of increases in prices of raw materials;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or in the interpretation of such laws and regulations;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increases resulting from increased inflation;</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conditions, including the effects of climate change;</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imported agricultural products;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supply chain disruptions;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2022.</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ADEQ</w:t>
            </w:r>
          </w:p>
        </w:tc>
        <w:tc>
          <w:tcPr>
            <w:tcW w:w="8380" w:type="dxa"/>
            <w:vAlign w:val="bottom"/>
          </w:tcPr>
          <w:p>
            <w:pPr>
              <w:ind w:left="340"/>
              <w:spacing w:after="0"/>
              <w:rPr>
                <w:sz w:val="20"/>
                <w:szCs w:val="20"/>
                <w:color w:val="auto"/>
              </w:rPr>
            </w:pPr>
            <w:r>
              <w:rPr>
                <w:rFonts w:ascii="Arial" w:cs="Arial" w:eastAsia="Arial" w:hAnsi="Arial"/>
                <w:sz w:val="18"/>
                <w:szCs w:val="18"/>
                <w:color w:val="auto"/>
              </w:rPr>
              <w:t>- The Arkansas Department of Environmental Quality.</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AN</w:t>
            </w:r>
          </w:p>
        </w:tc>
        <w:tc>
          <w:tcPr>
            <w:tcW w:w="8380" w:type="dxa"/>
            <w:vAlign w:val="bottom"/>
          </w:tcPr>
          <w:p>
            <w:pPr>
              <w:ind w:left="340"/>
              <w:spacing w:after="0"/>
              <w:rPr>
                <w:sz w:val="20"/>
                <w:szCs w:val="20"/>
                <w:color w:val="auto"/>
              </w:rPr>
            </w:pPr>
            <w:r>
              <w:rPr>
                <w:rFonts w:ascii="Arial" w:cs="Arial" w:eastAsia="Arial" w:hAnsi="Arial"/>
                <w:sz w:val="18"/>
                <w:szCs w:val="18"/>
                <w:color w:val="auto"/>
              </w:rPr>
              <w:t>- Ammonium nitrate.</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ASUs</w:t>
            </w:r>
          </w:p>
        </w:tc>
        <w:tc>
          <w:tcPr>
            <w:tcW w:w="8380" w:type="dxa"/>
            <w:vAlign w:val="bottom"/>
          </w:tcPr>
          <w:p>
            <w:pPr>
              <w:ind w:left="340"/>
              <w:spacing w:after="0"/>
              <w:rPr>
                <w:sz w:val="20"/>
                <w:szCs w:val="20"/>
                <w:color w:val="auto"/>
              </w:rPr>
            </w:pPr>
            <w:r>
              <w:rPr>
                <w:rFonts w:ascii="Arial" w:cs="Arial" w:eastAsia="Arial" w:hAnsi="Arial"/>
                <w:sz w:val="18"/>
                <w:szCs w:val="18"/>
                <w:color w:val="auto"/>
              </w:rPr>
              <w:t>- Accounting Standard Updates.</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CAO</w:t>
            </w:r>
          </w:p>
        </w:tc>
        <w:tc>
          <w:tcPr>
            <w:tcW w:w="8380" w:type="dxa"/>
            <w:vAlign w:val="bottom"/>
          </w:tcPr>
          <w:p>
            <w:pPr>
              <w:ind w:left="340"/>
              <w:spacing w:after="0"/>
              <w:rPr>
                <w:sz w:val="20"/>
                <w:szCs w:val="20"/>
                <w:color w:val="auto"/>
              </w:rPr>
            </w:pPr>
            <w:r>
              <w:rPr>
                <w:rFonts w:ascii="Arial" w:cs="Arial" w:eastAsia="Arial" w:hAnsi="Arial"/>
                <w:sz w:val="18"/>
                <w:szCs w:val="18"/>
                <w:color w:val="auto"/>
              </w:rPr>
              <w:t>- A consent administrative order.</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Cherokee Facility</w:t>
            </w:r>
          </w:p>
        </w:tc>
        <w:tc>
          <w:tcPr>
            <w:tcW w:w="8380" w:type="dxa"/>
            <w:vAlign w:val="bottom"/>
          </w:tcPr>
          <w:p>
            <w:pPr>
              <w:ind w:left="34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Chevron</w:t>
            </w:r>
          </w:p>
        </w:tc>
        <w:tc>
          <w:tcPr>
            <w:tcW w:w="8380" w:type="dxa"/>
            <w:vAlign w:val="bottom"/>
          </w:tcPr>
          <w:p>
            <w:pPr>
              <w:ind w:left="340"/>
              <w:spacing w:after="0"/>
              <w:rPr>
                <w:sz w:val="20"/>
                <w:szCs w:val="20"/>
                <w:color w:val="auto"/>
              </w:rPr>
            </w:pPr>
            <w:r>
              <w:rPr>
                <w:rFonts w:ascii="Arial" w:cs="Arial" w:eastAsia="Arial" w:hAnsi="Arial"/>
                <w:sz w:val="18"/>
                <w:szCs w:val="18"/>
                <w:color w:val="auto"/>
              </w:rPr>
              <w:t>- Chevron Environmental Management Company.</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COVID-19</w:t>
            </w:r>
          </w:p>
        </w:tc>
        <w:tc>
          <w:tcPr>
            <w:tcW w:w="8380" w:type="dxa"/>
            <w:vAlign w:val="bottom"/>
          </w:tcPr>
          <w:p>
            <w:pPr>
              <w:ind w:left="340"/>
              <w:spacing w:after="0"/>
              <w:rPr>
                <w:sz w:val="20"/>
                <w:szCs w:val="20"/>
                <w:color w:val="auto"/>
              </w:rPr>
            </w:pPr>
            <w:r>
              <w:rPr>
                <w:rFonts w:ascii="Arial" w:cs="Arial" w:eastAsia="Arial" w:hAnsi="Arial"/>
                <w:sz w:val="18"/>
                <w:szCs w:val="18"/>
                <w:color w:val="auto"/>
              </w:rPr>
              <w:t>- The novel coronavirus disease of 2019.</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EDA</w:t>
            </w:r>
          </w:p>
        </w:tc>
        <w:tc>
          <w:tcPr>
            <w:tcW w:w="8380" w:type="dxa"/>
            <w:vAlign w:val="bottom"/>
          </w:tcPr>
          <w:p>
            <w:pPr>
              <w:ind w:left="340"/>
              <w:spacing w:after="0"/>
              <w:rPr>
                <w:sz w:val="20"/>
                <w:szCs w:val="20"/>
                <w:color w:val="auto"/>
              </w:rPr>
            </w:pPr>
            <w:r>
              <w:rPr>
                <w:rFonts w:ascii="Arial" w:cs="Arial" w:eastAsia="Arial" w:hAnsi="Arial"/>
                <w:sz w:val="18"/>
                <w:szCs w:val="18"/>
                <w:color w:val="auto"/>
              </w:rPr>
              <w:t>- El Dorado Ammonia L.L.C.</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EDC</w:t>
            </w:r>
          </w:p>
        </w:tc>
        <w:tc>
          <w:tcPr>
            <w:tcW w:w="8380" w:type="dxa"/>
            <w:vAlign w:val="bottom"/>
          </w:tcPr>
          <w:p>
            <w:pPr>
              <w:ind w:left="340"/>
              <w:spacing w:after="0"/>
              <w:rPr>
                <w:sz w:val="20"/>
                <w:szCs w:val="20"/>
                <w:color w:val="auto"/>
              </w:rPr>
            </w:pPr>
            <w:r>
              <w:rPr>
                <w:rFonts w:ascii="Arial" w:cs="Arial" w:eastAsia="Arial" w:hAnsi="Arial"/>
                <w:sz w:val="18"/>
                <w:szCs w:val="18"/>
                <w:color w:val="auto"/>
              </w:rPr>
              <w:t>- El Dorado Chemical Company.</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El Dorado Facility</w:t>
            </w:r>
          </w:p>
        </w:tc>
        <w:tc>
          <w:tcPr>
            <w:tcW w:w="8380" w:type="dxa"/>
            <w:vAlign w:val="bottom"/>
          </w:tcPr>
          <w:p>
            <w:pPr>
              <w:ind w:left="34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Eldridge</w:t>
            </w:r>
          </w:p>
        </w:tc>
        <w:tc>
          <w:tcPr>
            <w:tcW w:w="8380" w:type="dxa"/>
            <w:vAlign w:val="bottom"/>
          </w:tcPr>
          <w:p>
            <w:pPr>
              <w:ind w:left="340"/>
              <w:spacing w:after="0"/>
              <w:rPr>
                <w:sz w:val="20"/>
                <w:szCs w:val="20"/>
                <w:color w:val="auto"/>
              </w:rPr>
            </w:pPr>
            <w:r>
              <w:rPr>
                <w:rFonts w:ascii="Arial" w:cs="Arial" w:eastAsia="Arial" w:hAnsi="Arial"/>
                <w:sz w:val="18"/>
                <w:szCs w:val="18"/>
                <w:color w:val="auto"/>
              </w:rPr>
              <w:t>- Eldridge Industries, L.L.C.</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Environmental and Health Laws</w:t>
            </w:r>
          </w:p>
        </w:tc>
        <w:tc>
          <w:tcPr>
            <w:tcW w:w="8380" w:type="dxa"/>
            <w:vAlign w:val="bottom"/>
          </w:tcPr>
          <w:p>
            <w:pPr>
              <w:ind w:left="34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EUC</w:t>
            </w:r>
          </w:p>
        </w:tc>
        <w:tc>
          <w:tcPr>
            <w:tcW w:w="8380" w:type="dxa"/>
            <w:vAlign w:val="bottom"/>
          </w:tcPr>
          <w:p>
            <w:pPr>
              <w:ind w:left="340"/>
              <w:spacing w:after="0"/>
              <w:rPr>
                <w:sz w:val="20"/>
                <w:szCs w:val="20"/>
                <w:color w:val="auto"/>
              </w:rPr>
            </w:pPr>
            <w:r>
              <w:rPr>
                <w:rFonts w:ascii="Arial" w:cs="Arial" w:eastAsia="Arial" w:hAnsi="Arial"/>
                <w:sz w:val="18"/>
                <w:szCs w:val="18"/>
                <w:color w:val="auto"/>
              </w:rPr>
              <w:t>- Environmental Use Control.</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FASB</w:t>
            </w:r>
          </w:p>
        </w:tc>
        <w:tc>
          <w:tcPr>
            <w:tcW w:w="8380" w:type="dxa"/>
            <w:vAlign w:val="bottom"/>
          </w:tcPr>
          <w:p>
            <w:pPr>
              <w:ind w:left="340"/>
              <w:spacing w:after="0"/>
              <w:rPr>
                <w:sz w:val="20"/>
                <w:szCs w:val="20"/>
                <w:color w:val="auto"/>
              </w:rPr>
            </w:pPr>
            <w:r>
              <w:rPr>
                <w:rFonts w:ascii="Arial" w:cs="Arial" w:eastAsia="Arial" w:hAnsi="Arial"/>
                <w:sz w:val="18"/>
                <w:szCs w:val="18"/>
                <w:color w:val="auto"/>
              </w:rPr>
              <w:t>- Financial Accounting Standards Board.</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FEED</w:t>
            </w:r>
          </w:p>
        </w:tc>
        <w:tc>
          <w:tcPr>
            <w:tcW w:w="8380" w:type="dxa"/>
            <w:vAlign w:val="bottom"/>
          </w:tcPr>
          <w:p>
            <w:pPr>
              <w:ind w:left="340"/>
              <w:spacing w:after="0"/>
              <w:rPr>
                <w:sz w:val="20"/>
                <w:szCs w:val="20"/>
                <w:color w:val="auto"/>
              </w:rPr>
            </w:pPr>
            <w:r>
              <w:rPr>
                <w:rFonts w:ascii="Arial" w:cs="Arial" w:eastAsia="Arial" w:hAnsi="Arial"/>
                <w:sz w:val="18"/>
                <w:szCs w:val="18"/>
                <w:color w:val="auto"/>
              </w:rPr>
              <w:t>- Front end engineering design.</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Financial Covenant</w:t>
            </w:r>
          </w:p>
        </w:tc>
        <w:tc>
          <w:tcPr>
            <w:tcW w:w="8380" w:type="dxa"/>
            <w:vAlign w:val="bottom"/>
          </w:tcPr>
          <w:p>
            <w:pPr>
              <w:ind w:left="34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Global</w:t>
            </w:r>
          </w:p>
        </w:tc>
        <w:tc>
          <w:tcPr>
            <w:tcW w:w="8380" w:type="dxa"/>
            <w:vAlign w:val="bottom"/>
          </w:tcPr>
          <w:p>
            <w:pPr>
              <w:ind w:left="340"/>
              <w:spacing w:after="0"/>
              <w:rPr>
                <w:sz w:val="20"/>
                <w:szCs w:val="20"/>
                <w:color w:val="auto"/>
              </w:rPr>
            </w:pPr>
            <w:r>
              <w:rPr>
                <w:rFonts w:ascii="Arial" w:cs="Arial" w:eastAsia="Arial" w:hAnsi="Arial"/>
                <w:sz w:val="18"/>
                <w:szCs w:val="18"/>
                <w:color w:val="auto"/>
                <w:w w:val="98"/>
              </w:rPr>
              <w:t>- Global Industrial, Inc., a subcontractor asserting mechanics liens for work rendered to LSB and EDC.</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Hallowell Facility</w:t>
            </w:r>
          </w:p>
        </w:tc>
        <w:tc>
          <w:tcPr>
            <w:tcW w:w="8380" w:type="dxa"/>
            <w:vAlign w:val="bottom"/>
          </w:tcPr>
          <w:p>
            <w:pPr>
              <w:ind w:left="34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HDAN</w:t>
            </w:r>
          </w:p>
        </w:tc>
        <w:tc>
          <w:tcPr>
            <w:tcW w:w="8380" w:type="dxa"/>
            <w:vAlign w:val="bottom"/>
          </w:tcPr>
          <w:p>
            <w:pPr>
              <w:ind w:left="34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Indenture</w:t>
            </w:r>
          </w:p>
        </w:tc>
        <w:tc>
          <w:tcPr>
            <w:tcW w:w="8380" w:type="dxa"/>
            <w:vAlign w:val="bottom"/>
          </w:tcPr>
          <w:p>
            <w:pPr>
              <w:ind w:left="340"/>
              <w:spacing w:after="0"/>
              <w:rPr>
                <w:sz w:val="20"/>
                <w:szCs w:val="20"/>
                <w:color w:val="auto"/>
              </w:rPr>
            </w:pPr>
            <w:r>
              <w:rPr>
                <w:rFonts w:ascii="Arial" w:cs="Arial" w:eastAsia="Arial" w:hAnsi="Arial"/>
                <w:sz w:val="18"/>
                <w:szCs w:val="18"/>
                <w:color w:val="auto"/>
              </w:rPr>
              <w:t>- The agreement governing the 6.25% senior secured notes.</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IRS</w:t>
            </w:r>
          </w:p>
        </w:tc>
        <w:tc>
          <w:tcPr>
            <w:tcW w:w="8380" w:type="dxa"/>
            <w:vAlign w:val="bottom"/>
          </w:tcPr>
          <w:p>
            <w:pPr>
              <w:ind w:left="340"/>
              <w:spacing w:after="0"/>
              <w:rPr>
                <w:sz w:val="20"/>
                <w:szCs w:val="20"/>
                <w:color w:val="auto"/>
              </w:rPr>
            </w:pPr>
            <w:r>
              <w:rPr>
                <w:rFonts w:ascii="Arial" w:cs="Arial" w:eastAsia="Arial" w:hAnsi="Arial"/>
                <w:sz w:val="18"/>
                <w:szCs w:val="18"/>
                <w:color w:val="auto"/>
              </w:rPr>
              <w:t>- Internal Revenue Service.</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J. Golsen</w:t>
            </w:r>
          </w:p>
        </w:tc>
        <w:tc>
          <w:tcPr>
            <w:tcW w:w="8380" w:type="dxa"/>
            <w:vAlign w:val="bottom"/>
          </w:tcPr>
          <w:p>
            <w:pPr>
              <w:ind w:left="340"/>
              <w:spacing w:after="0"/>
              <w:rPr>
                <w:sz w:val="20"/>
                <w:szCs w:val="20"/>
                <w:color w:val="auto"/>
              </w:rPr>
            </w:pPr>
            <w:r>
              <w:rPr>
                <w:rFonts w:ascii="Arial" w:cs="Arial" w:eastAsia="Arial" w:hAnsi="Arial"/>
                <w:sz w:val="18"/>
                <w:szCs w:val="18"/>
                <w:color w:val="auto"/>
              </w:rPr>
              <w:t>- Jack E. Golsen.</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July Report</w:t>
            </w:r>
          </w:p>
        </w:tc>
        <w:tc>
          <w:tcPr>
            <w:tcW w:w="8380" w:type="dxa"/>
            <w:vAlign w:val="bottom"/>
          </w:tcPr>
          <w:p>
            <w:pPr>
              <w:ind w:left="340"/>
              <w:spacing w:after="0"/>
              <w:rPr>
                <w:sz w:val="20"/>
                <w:szCs w:val="20"/>
                <w:color w:val="auto"/>
              </w:rPr>
            </w:pPr>
            <w:r>
              <w:rPr>
                <w:rFonts w:ascii="Arial" w:cs="Arial" w:eastAsia="Arial" w:hAnsi="Arial"/>
                <w:sz w:val="18"/>
                <w:szCs w:val="18"/>
                <w:color w:val="auto"/>
              </w:rPr>
              <w:t>- The World Agricultural Supply and Demand Estimates Report dated July 12, 2023.</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KDHE</w:t>
            </w:r>
          </w:p>
        </w:tc>
        <w:tc>
          <w:tcPr>
            <w:tcW w:w="8380" w:type="dxa"/>
            <w:vAlign w:val="bottom"/>
          </w:tcPr>
          <w:p>
            <w:pPr>
              <w:ind w:left="340"/>
              <w:spacing w:after="0"/>
              <w:rPr>
                <w:sz w:val="20"/>
                <w:szCs w:val="20"/>
                <w:color w:val="auto"/>
              </w:rPr>
            </w:pPr>
            <w:r>
              <w:rPr>
                <w:rFonts w:ascii="Arial" w:cs="Arial" w:eastAsia="Arial" w:hAnsi="Arial"/>
                <w:sz w:val="18"/>
                <w:szCs w:val="18"/>
                <w:color w:val="auto"/>
              </w:rPr>
              <w:t>- The Kansas Department of Health and Environment.</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LDAN</w:t>
            </w:r>
          </w:p>
        </w:tc>
        <w:tc>
          <w:tcPr>
            <w:tcW w:w="8380" w:type="dxa"/>
            <w:vAlign w:val="bottom"/>
          </w:tcPr>
          <w:p>
            <w:pPr>
              <w:ind w:left="34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Leidos</w:t>
            </w:r>
          </w:p>
        </w:tc>
        <w:tc>
          <w:tcPr>
            <w:tcW w:w="8380" w:type="dxa"/>
            <w:vAlign w:val="bottom"/>
          </w:tcPr>
          <w:p>
            <w:pPr>
              <w:ind w:left="340"/>
              <w:spacing w:after="0"/>
              <w:rPr>
                <w:sz w:val="20"/>
                <w:szCs w:val="20"/>
                <w:color w:val="auto"/>
              </w:rPr>
            </w:pPr>
            <w:r>
              <w:rPr>
                <w:rFonts w:ascii="Arial" w:cs="Arial" w:eastAsia="Arial" w:hAnsi="Arial"/>
                <w:sz w:val="18"/>
                <w:szCs w:val="18"/>
                <w:color w:val="auto"/>
              </w:rPr>
              <w:t>- Leidos Constructors L.L.C.</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LSB</w:t>
            </w:r>
          </w:p>
        </w:tc>
        <w:tc>
          <w:tcPr>
            <w:tcW w:w="8380" w:type="dxa"/>
            <w:vAlign w:val="bottom"/>
          </w:tcPr>
          <w:p>
            <w:pPr>
              <w:ind w:left="340"/>
              <w:spacing w:after="0"/>
              <w:rPr>
                <w:sz w:val="20"/>
                <w:szCs w:val="20"/>
                <w:color w:val="auto"/>
              </w:rPr>
            </w:pPr>
            <w:r>
              <w:rPr>
                <w:rFonts w:ascii="Arial" w:cs="Arial" w:eastAsia="Arial" w:hAnsi="Arial"/>
                <w:sz w:val="18"/>
                <w:szCs w:val="18"/>
                <w:color w:val="auto"/>
              </w:rPr>
              <w:t>- LSB Industries, Inc.</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Maximum Revolver Amount</w:t>
            </w:r>
          </w:p>
        </w:tc>
        <w:tc>
          <w:tcPr>
            <w:tcW w:w="8380" w:type="dxa"/>
            <w:vAlign w:val="bottom"/>
          </w:tcPr>
          <w:p>
            <w:pPr>
              <w:ind w:left="340"/>
              <w:spacing w:after="0"/>
              <w:rPr>
                <w:sz w:val="20"/>
                <w:szCs w:val="20"/>
                <w:color w:val="auto"/>
              </w:rPr>
            </w:pPr>
            <w:r>
              <w:rPr>
                <w:rFonts w:ascii="Arial" w:cs="Arial" w:eastAsia="Arial" w:hAnsi="Arial"/>
                <w:sz w:val="18"/>
                <w:szCs w:val="18"/>
                <w:color w:val="auto"/>
                <w:w w:val="99"/>
              </w:rPr>
              <w:t>- The maximum amount of outstanding advances available under our Working Capital Revolver Loan.</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MD&amp;A</w:t>
            </w:r>
          </w:p>
        </w:tc>
        <w:tc>
          <w:tcPr>
            <w:tcW w:w="8380" w:type="dxa"/>
            <w:vAlign w:val="bottom"/>
          </w:tcPr>
          <w:p>
            <w:pPr>
              <w:ind w:left="34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MOU</w:t>
            </w:r>
          </w:p>
        </w:tc>
        <w:tc>
          <w:tcPr>
            <w:tcW w:w="8380" w:type="dxa"/>
            <w:vAlign w:val="bottom"/>
          </w:tcPr>
          <w:p>
            <w:pPr>
              <w:ind w:left="340"/>
              <w:spacing w:after="0"/>
              <w:rPr>
                <w:sz w:val="20"/>
                <w:szCs w:val="20"/>
                <w:color w:val="auto"/>
              </w:rPr>
            </w:pPr>
            <w:r>
              <w:rPr>
                <w:rFonts w:ascii="Arial" w:cs="Arial" w:eastAsia="Arial" w:hAnsi="Arial"/>
                <w:sz w:val="18"/>
                <w:szCs w:val="18"/>
                <w:color w:val="auto"/>
              </w:rPr>
              <w:t>- Memorandum of understanding.</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New Notes</w:t>
            </w:r>
          </w:p>
        </w:tc>
        <w:tc>
          <w:tcPr>
            <w:tcW w:w="8380" w:type="dxa"/>
            <w:vAlign w:val="bottom"/>
          </w:tcPr>
          <w:p>
            <w:pPr>
              <w:ind w:left="340"/>
              <w:spacing w:after="0"/>
              <w:rPr>
                <w:sz w:val="20"/>
                <w:szCs w:val="20"/>
                <w:color w:val="auto"/>
              </w:rPr>
            </w:pPr>
            <w:r>
              <w:rPr>
                <w:rFonts w:ascii="Arial" w:cs="Arial" w:eastAsia="Arial" w:hAnsi="Arial"/>
                <w:sz w:val="18"/>
                <w:szCs w:val="18"/>
                <w:color w:val="auto"/>
                <w:w w:val="90"/>
              </w:rPr>
              <w:t>- The senior secured notes issued March 8, 2022 with an interest rate of 6.25%, which mature in October 2028.</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Note</w:t>
            </w:r>
          </w:p>
        </w:tc>
        <w:tc>
          <w:tcPr>
            <w:tcW w:w="8380" w:type="dxa"/>
            <w:vAlign w:val="bottom"/>
          </w:tcPr>
          <w:p>
            <w:pPr>
              <w:ind w:left="340"/>
              <w:spacing w:after="0"/>
              <w:rPr>
                <w:sz w:val="20"/>
                <w:szCs w:val="20"/>
                <w:color w:val="auto"/>
              </w:rPr>
            </w:pPr>
            <w:r>
              <w:rPr>
                <w:rFonts w:ascii="Arial" w:cs="Arial" w:eastAsia="Arial" w:hAnsi="Arial"/>
                <w:sz w:val="18"/>
                <w:szCs w:val="18"/>
                <w:color w:val="auto"/>
              </w:rPr>
              <w:t>- A note in the accompanying notes to the condensed consolidated financial statements.</w:t>
            </w:r>
          </w:p>
        </w:tc>
      </w:tr>
      <w:tr>
        <w:trPr>
          <w:trHeight w:val="296"/>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Notes</w:t>
            </w:r>
          </w:p>
        </w:tc>
        <w:tc>
          <w:tcPr>
            <w:tcW w:w="8380" w:type="dxa"/>
            <w:vAlign w:val="bottom"/>
          </w:tcPr>
          <w:p>
            <w:pPr>
              <w:ind w:left="340"/>
              <w:spacing w:after="0"/>
              <w:rPr>
                <w:sz w:val="20"/>
                <w:szCs w:val="20"/>
                <w:color w:val="auto"/>
              </w:rPr>
            </w:pPr>
            <w:r>
              <w:rPr>
                <w:rFonts w:ascii="Arial" w:cs="Arial" w:eastAsia="Arial" w:hAnsi="Arial"/>
                <w:sz w:val="18"/>
                <w:szCs w:val="18"/>
                <w:color w:val="auto"/>
                <w:w w:val="90"/>
              </w:rPr>
              <w:t>- The senior secured notes issued on October 14, 2021 with an interest rate of 6.25%, which mature in October</w:t>
            </w:r>
          </w:p>
        </w:tc>
      </w:tr>
      <w:tr>
        <w:trPr>
          <w:trHeight w:val="230"/>
        </w:trPr>
        <w:tc>
          <w:tcPr>
            <w:tcW w:w="2860" w:type="dxa"/>
            <w:vAlign w:val="bottom"/>
          </w:tcPr>
          <w:p>
            <w:pPr>
              <w:spacing w:after="0"/>
              <w:rPr>
                <w:sz w:val="20"/>
                <w:szCs w:val="20"/>
                <w:color w:val="auto"/>
              </w:rPr>
            </w:pPr>
          </w:p>
        </w:tc>
        <w:tc>
          <w:tcPr>
            <w:tcW w:w="8380" w:type="dxa"/>
            <w:vAlign w:val="bottom"/>
          </w:tcPr>
          <w:p>
            <w:pPr>
              <w:ind w:left="460"/>
              <w:spacing w:after="0"/>
              <w:rPr>
                <w:sz w:val="20"/>
                <w:szCs w:val="20"/>
                <w:color w:val="auto"/>
              </w:rPr>
            </w:pPr>
            <w:r>
              <w:rPr>
                <w:rFonts w:ascii="Arial" w:cs="Arial" w:eastAsia="Arial" w:hAnsi="Arial"/>
                <w:sz w:val="18"/>
                <w:szCs w:val="18"/>
                <w:color w:val="auto"/>
              </w:rPr>
              <w:t>2028.</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ODEQ</w:t>
            </w:r>
          </w:p>
        </w:tc>
        <w:tc>
          <w:tcPr>
            <w:tcW w:w="8380" w:type="dxa"/>
            <w:vAlign w:val="bottom"/>
          </w:tcPr>
          <w:p>
            <w:pPr>
              <w:ind w:left="340"/>
              <w:spacing w:after="0"/>
              <w:rPr>
                <w:sz w:val="20"/>
                <w:szCs w:val="20"/>
                <w:color w:val="auto"/>
              </w:rPr>
            </w:pPr>
            <w:r>
              <w:rPr>
                <w:rFonts w:ascii="Arial" w:cs="Arial" w:eastAsia="Arial" w:hAnsi="Arial"/>
                <w:sz w:val="18"/>
                <w:szCs w:val="18"/>
                <w:color w:val="auto"/>
              </w:rPr>
              <w:t>- The Oklahoma Department of Environmental Quality.</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PCC</w:t>
            </w:r>
          </w:p>
        </w:tc>
        <w:tc>
          <w:tcPr>
            <w:tcW w:w="8380" w:type="dxa"/>
            <w:vAlign w:val="bottom"/>
          </w:tcPr>
          <w:p>
            <w:pPr>
              <w:ind w:left="340"/>
              <w:spacing w:after="0"/>
              <w:rPr>
                <w:sz w:val="20"/>
                <w:szCs w:val="20"/>
                <w:color w:val="auto"/>
              </w:rPr>
            </w:pPr>
            <w:r>
              <w:rPr>
                <w:rFonts w:ascii="Arial" w:cs="Arial" w:eastAsia="Arial" w:hAnsi="Arial"/>
                <w:sz w:val="18"/>
                <w:szCs w:val="18"/>
                <w:color w:val="auto"/>
              </w:rPr>
              <w:t>- Pryor Chemical Company.</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PP&amp;E</w:t>
            </w:r>
          </w:p>
        </w:tc>
        <w:tc>
          <w:tcPr>
            <w:tcW w:w="8380" w:type="dxa"/>
            <w:vAlign w:val="bottom"/>
          </w:tcPr>
          <w:p>
            <w:pPr>
              <w:ind w:left="340"/>
              <w:spacing w:after="0"/>
              <w:rPr>
                <w:sz w:val="20"/>
                <w:szCs w:val="20"/>
                <w:color w:val="auto"/>
              </w:rPr>
            </w:pPr>
            <w:r>
              <w:rPr>
                <w:rFonts w:ascii="Arial" w:cs="Arial" w:eastAsia="Arial" w:hAnsi="Arial"/>
                <w:sz w:val="18"/>
                <w:szCs w:val="18"/>
                <w:color w:val="auto"/>
              </w:rPr>
              <w:t>- Plant, property and equipment.</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Pryor Facility</w:t>
            </w:r>
          </w:p>
        </w:tc>
        <w:tc>
          <w:tcPr>
            <w:tcW w:w="8380" w:type="dxa"/>
            <w:vAlign w:val="bottom"/>
          </w:tcPr>
          <w:p>
            <w:pPr>
              <w:ind w:left="34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SEC</w:t>
            </w:r>
          </w:p>
        </w:tc>
        <w:tc>
          <w:tcPr>
            <w:tcW w:w="8380" w:type="dxa"/>
            <w:vAlign w:val="bottom"/>
          </w:tcPr>
          <w:p>
            <w:pPr>
              <w:ind w:left="340"/>
              <w:spacing w:after="0"/>
              <w:rPr>
                <w:sz w:val="20"/>
                <w:szCs w:val="20"/>
                <w:color w:val="auto"/>
              </w:rPr>
            </w:pPr>
            <w:r>
              <w:rPr>
                <w:rFonts w:ascii="Arial" w:cs="Arial" w:eastAsia="Arial" w:hAnsi="Arial"/>
                <w:sz w:val="18"/>
                <w:szCs w:val="18"/>
                <w:color w:val="auto"/>
              </w:rPr>
              <w:t>- The U.S. Securities and Exchange Commission.</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Secured Financing due 2023</w:t>
            </w:r>
          </w:p>
        </w:tc>
        <w:tc>
          <w:tcPr>
            <w:tcW w:w="8380" w:type="dxa"/>
            <w:vAlign w:val="bottom"/>
          </w:tcPr>
          <w:p>
            <w:pPr>
              <w:ind w:left="340"/>
              <w:spacing w:after="0"/>
              <w:rPr>
                <w:sz w:val="20"/>
                <w:szCs w:val="20"/>
                <w:color w:val="auto"/>
              </w:rPr>
            </w:pPr>
            <w:r>
              <w:rPr>
                <w:rFonts w:ascii="Arial" w:cs="Arial" w:eastAsia="Arial" w:hAnsi="Arial"/>
                <w:sz w:val="18"/>
                <w:szCs w:val="18"/>
                <w:color w:val="auto"/>
                <w:w w:val="95"/>
              </w:rPr>
              <w:t>- A secured financing arrangement between EDC and an affiliate of Eldridge which matures in June 2023.</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Secured Financing due 2025</w:t>
            </w:r>
          </w:p>
        </w:tc>
        <w:tc>
          <w:tcPr>
            <w:tcW w:w="8380" w:type="dxa"/>
            <w:vAlign w:val="bottom"/>
          </w:tcPr>
          <w:p>
            <w:pPr>
              <w:ind w:left="340"/>
              <w:spacing w:after="0"/>
              <w:rPr>
                <w:sz w:val="20"/>
                <w:szCs w:val="20"/>
                <w:color w:val="auto"/>
              </w:rPr>
            </w:pPr>
            <w:r>
              <w:rPr>
                <w:rFonts w:ascii="Arial" w:cs="Arial" w:eastAsia="Arial" w:hAnsi="Arial"/>
                <w:sz w:val="18"/>
                <w:szCs w:val="18"/>
                <w:color w:val="auto"/>
                <w:w w:val="93"/>
              </w:rPr>
              <w:t>- A secured financing arrangement between EDA and an affiliate of Eldridge which matures in August 2025.</w:t>
            </w:r>
          </w:p>
        </w:tc>
      </w:tr>
      <w:tr>
        <w:trPr>
          <w:trHeight w:val="311"/>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8380" w:type="dxa"/>
            <w:vAlign w:val="bottom"/>
          </w:tcPr>
          <w:p>
            <w:pPr>
              <w:ind w:left="340"/>
              <w:spacing w:after="0"/>
              <w:rPr>
                <w:sz w:val="20"/>
                <w:szCs w:val="20"/>
                <w:color w:val="auto"/>
              </w:rPr>
            </w:pPr>
            <w:r>
              <w:rPr>
                <w:rFonts w:ascii="Arial" w:cs="Arial" w:eastAsia="Arial" w:hAnsi="Arial"/>
                <w:sz w:val="18"/>
                <w:szCs w:val="18"/>
                <w:color w:val="auto"/>
                <w:w w:val="95"/>
              </w:rPr>
              <w:t>- The Notes and New Notes, taken together due on October 15, 2028 with a stated interest rate of 6.25%.</w:t>
            </w:r>
          </w:p>
        </w:tc>
      </w:tr>
      <w:tr>
        <w:trPr>
          <w:trHeight w:val="31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SG&amp;A</w:t>
            </w:r>
          </w:p>
        </w:tc>
        <w:tc>
          <w:tcPr>
            <w:tcW w:w="8380" w:type="dxa"/>
            <w:vAlign w:val="bottom"/>
          </w:tcPr>
          <w:p>
            <w:pPr>
              <w:ind w:left="340"/>
              <w:spacing w:after="0"/>
              <w:rPr>
                <w:sz w:val="20"/>
                <w:szCs w:val="20"/>
                <w:color w:val="auto"/>
              </w:rPr>
            </w:pPr>
            <w:r>
              <w:rPr>
                <w:rFonts w:ascii="Arial" w:cs="Arial" w:eastAsia="Arial" w:hAnsi="Arial"/>
                <w:sz w:val="18"/>
                <w:szCs w:val="18"/>
                <w:color w:val="auto"/>
              </w:rPr>
              <w:t>- Selling, general and administrative expense.</w:t>
            </w:r>
          </w:p>
        </w:tc>
      </w:tr>
      <w:tr>
        <w:trPr>
          <w:trHeight w:val="513"/>
        </w:trPr>
        <w:tc>
          <w:tcPr>
            <w:tcW w:w="2860" w:type="dxa"/>
            <w:vAlign w:val="bottom"/>
          </w:tcPr>
          <w:p>
            <w:pPr>
              <w:spacing w:after="0"/>
              <w:rPr>
                <w:sz w:val="24"/>
                <w:szCs w:val="24"/>
                <w:color w:val="auto"/>
              </w:rPr>
            </w:pPr>
          </w:p>
        </w:tc>
        <w:tc>
          <w:tcPr>
            <w:tcW w:w="8380" w:type="dxa"/>
            <w:vAlign w:val="bottom"/>
          </w:tcPr>
          <w:p>
            <w:pPr>
              <w:ind w:left="2680"/>
              <w:spacing w:after="0"/>
              <w:rPr>
                <w:sz w:val="20"/>
                <w:szCs w:val="20"/>
                <w:color w:val="auto"/>
              </w:rPr>
            </w:pPr>
            <w:r>
              <w:rPr>
                <w:rFonts w:ascii="Arial" w:cs="Arial" w:eastAsia="Arial" w:hAnsi="Arial"/>
                <w:sz w:val="18"/>
                <w:szCs w:val="18"/>
                <w:color w:val="auto"/>
              </w:rPr>
              <w:t>33</w:t>
            </w:r>
          </w:p>
        </w:tc>
      </w:tr>
      <w:tr>
        <w:trPr>
          <w:trHeight w:val="115"/>
        </w:trPr>
        <w:tc>
          <w:tcPr>
            <w:tcW w:w="286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Ton</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7960" w:type="dxa"/>
            <w:vAlign w:val="bottom"/>
          </w:tcPr>
          <w:p>
            <w:pPr>
              <w:ind w:left="40"/>
              <w:spacing w:after="0"/>
              <w:rPr>
                <w:sz w:val="20"/>
                <w:szCs w:val="20"/>
                <w:color w:val="auto"/>
              </w:rPr>
            </w:pPr>
            <w:r>
              <w:rPr>
                <w:rFonts w:ascii="Arial" w:cs="Arial" w:eastAsia="Arial" w:hAnsi="Arial"/>
                <w:sz w:val="18"/>
                <w:szCs w:val="18"/>
                <w:color w:val="111111"/>
              </w:rPr>
              <w:t>A unit of weight equal to 2,000 pounds.</w:t>
            </w:r>
          </w:p>
        </w:tc>
      </w:tr>
      <w:tr>
        <w:trPr>
          <w:trHeight w:val="310"/>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Turnaround</w:t>
            </w:r>
          </w:p>
        </w:tc>
        <w:tc>
          <w:tcPr>
            <w:tcW w:w="46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7960" w:type="dxa"/>
            <w:vAlign w:val="bottom"/>
          </w:tcPr>
          <w:p>
            <w:pPr>
              <w:ind w:left="40"/>
              <w:spacing w:after="0"/>
              <w:rPr>
                <w:sz w:val="20"/>
                <w:szCs w:val="20"/>
                <w:color w:val="auto"/>
              </w:rPr>
            </w:pPr>
            <w:r>
              <w:rPr>
                <w:rFonts w:ascii="Arial" w:cs="Arial" w:eastAsia="Arial" w:hAnsi="Arial"/>
                <w:sz w:val="18"/>
                <w:szCs w:val="18"/>
                <w:color w:val="auto"/>
              </w:rPr>
              <w:t>A planned major maintenance activity.</w:t>
            </w:r>
          </w:p>
        </w:tc>
      </w:tr>
      <w:tr>
        <w:trPr>
          <w:trHeight w:val="311"/>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UAN</w:t>
            </w:r>
          </w:p>
        </w:tc>
        <w:tc>
          <w:tcPr>
            <w:tcW w:w="46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7960" w:type="dxa"/>
            <w:vAlign w:val="bottom"/>
          </w:tcPr>
          <w:p>
            <w:pPr>
              <w:ind w:left="40"/>
              <w:spacing w:after="0"/>
              <w:rPr>
                <w:sz w:val="20"/>
                <w:szCs w:val="20"/>
                <w:color w:val="auto"/>
              </w:rPr>
            </w:pPr>
            <w:r>
              <w:rPr>
                <w:rFonts w:ascii="Arial" w:cs="Arial" w:eastAsia="Arial" w:hAnsi="Arial"/>
                <w:sz w:val="18"/>
                <w:szCs w:val="18"/>
                <w:color w:val="auto"/>
              </w:rPr>
              <w:t>Urea ammonium nitrate.</w:t>
            </w:r>
          </w:p>
        </w:tc>
      </w:tr>
      <w:tr>
        <w:trPr>
          <w:trHeight w:val="311"/>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U.S.</w:t>
            </w:r>
          </w:p>
        </w:tc>
        <w:tc>
          <w:tcPr>
            <w:tcW w:w="46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7960" w:type="dxa"/>
            <w:vAlign w:val="bottom"/>
          </w:tcPr>
          <w:p>
            <w:pPr>
              <w:ind w:left="40"/>
              <w:spacing w:after="0"/>
              <w:rPr>
                <w:sz w:val="20"/>
                <w:szCs w:val="20"/>
                <w:color w:val="auto"/>
              </w:rPr>
            </w:pPr>
            <w:r>
              <w:rPr>
                <w:rFonts w:ascii="Arial" w:cs="Arial" w:eastAsia="Arial" w:hAnsi="Arial"/>
                <w:sz w:val="18"/>
                <w:szCs w:val="18"/>
                <w:color w:val="auto"/>
              </w:rPr>
              <w:t>United States.</w:t>
            </w:r>
          </w:p>
        </w:tc>
      </w:tr>
      <w:tr>
        <w:trPr>
          <w:trHeight w:val="310"/>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U.S. GAAP</w:t>
            </w:r>
          </w:p>
        </w:tc>
        <w:tc>
          <w:tcPr>
            <w:tcW w:w="46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7960" w:type="dxa"/>
            <w:vAlign w:val="bottom"/>
          </w:tcPr>
          <w:p>
            <w:pPr>
              <w:ind w:left="40"/>
              <w:spacing w:after="0"/>
              <w:rPr>
                <w:sz w:val="20"/>
                <w:szCs w:val="20"/>
                <w:color w:val="auto"/>
              </w:rPr>
            </w:pPr>
            <w:r>
              <w:rPr>
                <w:rFonts w:ascii="Arial" w:cs="Arial" w:eastAsia="Arial" w:hAnsi="Arial"/>
                <w:sz w:val="18"/>
                <w:szCs w:val="18"/>
                <w:color w:val="auto"/>
              </w:rPr>
              <w:t>U.S. Generally Accepted Accounting Principles.</w:t>
            </w:r>
          </w:p>
        </w:tc>
      </w:tr>
      <w:tr>
        <w:trPr>
          <w:trHeight w:val="311"/>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USDA</w:t>
            </w:r>
          </w:p>
        </w:tc>
        <w:tc>
          <w:tcPr>
            <w:tcW w:w="46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7960" w:type="dxa"/>
            <w:vAlign w:val="bottom"/>
          </w:tcPr>
          <w:p>
            <w:pPr>
              <w:ind w:left="40"/>
              <w:spacing w:after="0"/>
              <w:rPr>
                <w:sz w:val="20"/>
                <w:szCs w:val="20"/>
                <w:color w:val="auto"/>
              </w:rPr>
            </w:pPr>
            <w:r>
              <w:rPr>
                <w:rFonts w:ascii="Arial" w:cs="Arial" w:eastAsia="Arial" w:hAnsi="Arial"/>
                <w:sz w:val="18"/>
                <w:szCs w:val="18"/>
                <w:color w:val="auto"/>
              </w:rPr>
              <w:t>United States Department of Agriculture.</w:t>
            </w:r>
          </w:p>
        </w:tc>
      </w:tr>
      <w:tr>
        <w:trPr>
          <w:trHeight w:val="310"/>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West Fertilizer</w:t>
            </w:r>
          </w:p>
        </w:tc>
        <w:tc>
          <w:tcPr>
            <w:tcW w:w="46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7960" w:type="dxa"/>
            <w:vAlign w:val="bottom"/>
          </w:tcPr>
          <w:p>
            <w:pPr>
              <w:ind w:left="40"/>
              <w:spacing w:after="0"/>
              <w:rPr>
                <w:sz w:val="20"/>
                <w:szCs w:val="20"/>
                <w:color w:val="auto"/>
              </w:rPr>
            </w:pPr>
            <w:r>
              <w:rPr>
                <w:rFonts w:ascii="Arial" w:cs="Arial" w:eastAsia="Arial" w:hAnsi="Arial"/>
                <w:sz w:val="18"/>
                <w:szCs w:val="18"/>
                <w:color w:val="auto"/>
              </w:rPr>
              <w:t>West Fertilizer Company.</w:t>
            </w:r>
          </w:p>
        </w:tc>
      </w:tr>
      <w:tr>
        <w:trPr>
          <w:trHeight w:val="311"/>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Working Capital Revolver Loan</w:t>
            </w:r>
          </w:p>
        </w:tc>
        <w:tc>
          <w:tcPr>
            <w:tcW w:w="46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7960" w:type="dxa"/>
            <w:vAlign w:val="bottom"/>
          </w:tcPr>
          <w:p>
            <w:pPr>
              <w:ind w:left="40"/>
              <w:spacing w:after="0"/>
              <w:rPr>
                <w:sz w:val="20"/>
                <w:szCs w:val="20"/>
                <w:color w:val="auto"/>
              </w:rPr>
            </w:pPr>
            <w:r>
              <w:rPr>
                <w:rFonts w:ascii="Arial" w:cs="Arial" w:eastAsia="Arial" w:hAnsi="Arial"/>
                <w:sz w:val="18"/>
                <w:szCs w:val="18"/>
                <w:color w:val="auto"/>
              </w:rPr>
              <w:t>Our secured revolving credit facility.</w:t>
            </w:r>
          </w:p>
        </w:tc>
      </w:tr>
      <w:tr>
        <w:trPr>
          <w:trHeight w:val="296"/>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2022 Crop</w:t>
            </w:r>
          </w:p>
        </w:tc>
        <w:tc>
          <w:tcPr>
            <w:tcW w:w="8420" w:type="dxa"/>
            <w:vAlign w:val="bottom"/>
            <w:gridSpan w:val="2"/>
          </w:tcPr>
          <w:p>
            <w:pPr>
              <w:ind w:left="380"/>
              <w:spacing w:after="0"/>
              <w:rPr>
                <w:sz w:val="20"/>
                <w:szCs w:val="20"/>
                <w:color w:val="auto"/>
              </w:rPr>
            </w:pPr>
            <w:r>
              <w:rPr>
                <w:rFonts w:ascii="Arial" w:cs="Arial" w:eastAsia="Arial" w:hAnsi="Arial"/>
                <w:sz w:val="18"/>
                <w:szCs w:val="18"/>
                <w:color w:val="auto"/>
                <w:w w:val="92"/>
              </w:rPr>
              <w:t>- Corn crop marketing year (September 1 - August 31), which began in 2021 and ended in 2022 and primarily</w:t>
            </w:r>
          </w:p>
        </w:tc>
      </w:tr>
      <w:tr>
        <w:trPr>
          <w:trHeight w:val="230"/>
        </w:trPr>
        <w:tc>
          <w:tcPr>
            <w:tcW w:w="2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960" w:type="dxa"/>
            <w:vAlign w:val="bottom"/>
          </w:tcPr>
          <w:p>
            <w:pPr>
              <w:ind w:left="40"/>
              <w:spacing w:after="0"/>
              <w:rPr>
                <w:sz w:val="20"/>
                <w:szCs w:val="20"/>
                <w:color w:val="auto"/>
              </w:rPr>
            </w:pPr>
            <w:r>
              <w:rPr>
                <w:rFonts w:ascii="Arial" w:cs="Arial" w:eastAsia="Arial" w:hAnsi="Arial"/>
                <w:sz w:val="18"/>
                <w:szCs w:val="18"/>
                <w:color w:val="auto"/>
              </w:rPr>
              <w:t>relates to corn planted and harvested in 2021.</w:t>
            </w:r>
          </w:p>
        </w:tc>
      </w:tr>
      <w:tr>
        <w:trPr>
          <w:trHeight w:val="296"/>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2023 Crop</w:t>
            </w:r>
          </w:p>
        </w:tc>
        <w:tc>
          <w:tcPr>
            <w:tcW w:w="8420" w:type="dxa"/>
            <w:vAlign w:val="bottom"/>
            <w:gridSpan w:val="2"/>
          </w:tcPr>
          <w:p>
            <w:pPr>
              <w:ind w:left="380"/>
              <w:spacing w:after="0"/>
              <w:rPr>
                <w:sz w:val="20"/>
                <w:szCs w:val="20"/>
                <w:color w:val="auto"/>
              </w:rPr>
            </w:pPr>
            <w:r>
              <w:rPr>
                <w:rFonts w:ascii="Arial" w:cs="Arial" w:eastAsia="Arial" w:hAnsi="Arial"/>
                <w:sz w:val="18"/>
                <w:szCs w:val="18"/>
                <w:color w:val="auto"/>
                <w:w w:val="99"/>
              </w:rPr>
              <w:t>- Corn crop marketing year (September 1 - August 31), which began in 2022 and will end in 2023 and</w:t>
            </w:r>
          </w:p>
        </w:tc>
      </w:tr>
      <w:tr>
        <w:trPr>
          <w:trHeight w:val="230"/>
        </w:trPr>
        <w:tc>
          <w:tcPr>
            <w:tcW w:w="2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960" w:type="dxa"/>
            <w:vAlign w:val="bottom"/>
          </w:tcPr>
          <w:p>
            <w:pPr>
              <w:ind w:left="40"/>
              <w:spacing w:after="0"/>
              <w:rPr>
                <w:sz w:val="20"/>
                <w:szCs w:val="20"/>
                <w:color w:val="auto"/>
              </w:rPr>
            </w:pPr>
            <w:r>
              <w:rPr>
                <w:rFonts w:ascii="Arial" w:cs="Arial" w:eastAsia="Arial" w:hAnsi="Arial"/>
                <w:sz w:val="18"/>
                <w:szCs w:val="18"/>
                <w:color w:val="auto"/>
              </w:rPr>
              <w:t>primarily relates to corn planted and harvested in 2022.</w:t>
            </w:r>
          </w:p>
        </w:tc>
      </w:tr>
      <w:tr>
        <w:trPr>
          <w:trHeight w:val="296"/>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2024 Crop</w:t>
            </w:r>
          </w:p>
        </w:tc>
        <w:tc>
          <w:tcPr>
            <w:tcW w:w="8420" w:type="dxa"/>
            <w:vAlign w:val="bottom"/>
            <w:gridSpan w:val="2"/>
          </w:tcPr>
          <w:p>
            <w:pPr>
              <w:ind w:left="380"/>
              <w:spacing w:after="0"/>
              <w:rPr>
                <w:sz w:val="20"/>
                <w:szCs w:val="20"/>
                <w:color w:val="auto"/>
              </w:rPr>
            </w:pPr>
            <w:r>
              <w:rPr>
                <w:rFonts w:ascii="Arial" w:cs="Arial" w:eastAsia="Arial" w:hAnsi="Arial"/>
                <w:sz w:val="18"/>
                <w:szCs w:val="18"/>
                <w:color w:val="auto"/>
                <w:w w:val="99"/>
              </w:rPr>
              <w:t>- Corn crop marketing year (September 1 - August 31), which began in 2023 and will end in 2024 and</w:t>
            </w:r>
          </w:p>
        </w:tc>
      </w:tr>
      <w:tr>
        <w:trPr>
          <w:trHeight w:val="230"/>
        </w:trPr>
        <w:tc>
          <w:tcPr>
            <w:tcW w:w="2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960" w:type="dxa"/>
            <w:vAlign w:val="bottom"/>
          </w:tcPr>
          <w:p>
            <w:pPr>
              <w:ind w:left="40"/>
              <w:spacing w:after="0"/>
              <w:rPr>
                <w:sz w:val="20"/>
                <w:szCs w:val="20"/>
                <w:color w:val="auto"/>
              </w:rPr>
            </w:pPr>
            <w:r>
              <w:rPr>
                <w:rFonts w:ascii="Arial" w:cs="Arial" w:eastAsia="Arial" w:hAnsi="Arial"/>
                <w:sz w:val="18"/>
                <w:szCs w:val="18"/>
                <w:color w:val="auto"/>
              </w:rPr>
              <w:t>primarily relates to corn planted and harvested in 2023.</w:t>
            </w:r>
          </w:p>
        </w:tc>
      </w:tr>
      <w:tr>
        <w:trPr>
          <w:trHeight w:val="446"/>
        </w:trPr>
        <w:tc>
          <w:tcPr>
            <w:tcW w:w="2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60" w:type="dxa"/>
            <w:vAlign w:val="bottom"/>
          </w:tcPr>
          <w:p>
            <w:pPr>
              <w:ind w:left="2260"/>
              <w:spacing w:after="0"/>
              <w:rPr>
                <w:sz w:val="20"/>
                <w:szCs w:val="20"/>
                <w:color w:val="auto"/>
              </w:rPr>
            </w:pPr>
            <w:r>
              <w:rPr>
                <w:rFonts w:ascii="Arial" w:cs="Arial" w:eastAsia="Arial" w:hAnsi="Arial"/>
                <w:sz w:val="18"/>
                <w:szCs w:val="18"/>
                <w:color w:val="auto"/>
              </w:rPr>
              <w:t>34</w:t>
            </w:r>
          </w:p>
        </w:tc>
      </w:tr>
      <w:tr>
        <w:trPr>
          <w:trHeight w:val="115"/>
        </w:trPr>
        <w:tc>
          <w:tcPr>
            <w:tcW w:w="28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5—Commitments and Contingencies—Legal Matters” in the notes to the Condensed Consolidated Financial Statements in this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Item 1A of our Form 10-K for the year ended December 31, 2022, filed with the SEC on February 23, 2023. There are no material changes from the risk factors disclosed in our 2022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purchase of its common stock for the quarter ended June 30, 2023:</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 – April 30, 2023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 – May 31, 2023</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(d) Maximum Number (or</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6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3"/>
              </w:rPr>
              <w:t>(c) Total Number of Shares (or Units)</w:t>
            </w: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14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3"/>
              </w:rPr>
              <w:t>(a) Total Number of</w:t>
            </w:r>
          </w:p>
        </w:tc>
        <w:tc>
          <w:tcPr>
            <w:tcW w:w="1300" w:type="dxa"/>
            <w:vAlign w:val="bottom"/>
            <w:gridSpan w:val="2"/>
            <w:vMerge w:val="restart"/>
          </w:tcPr>
          <w:p>
            <w:pPr>
              <w:jc w:val="right"/>
              <w:ind w:right="76"/>
              <w:spacing w:after="0"/>
              <w:rPr>
                <w:sz w:val="20"/>
                <w:szCs w:val="20"/>
                <w:color w:val="auto"/>
              </w:rPr>
            </w:pPr>
            <w:r>
              <w:rPr>
                <w:rFonts w:ascii="Arial" w:cs="Arial" w:eastAsia="Arial" w:hAnsi="Arial"/>
                <w:sz w:val="14"/>
                <w:szCs w:val="14"/>
                <w:b w:val="1"/>
                <w:bCs w:val="1"/>
                <w:color w:val="auto"/>
                <w:w w:val="97"/>
              </w:rPr>
              <w:t>(b) Average Price</w:t>
            </w:r>
          </w:p>
        </w:tc>
        <w:tc>
          <w:tcPr>
            <w:tcW w:w="2560" w:type="dxa"/>
            <w:vAlign w:val="bottom"/>
            <w:vMerge w:val="continue"/>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Shares (or Units) that May</w:t>
            </w:r>
          </w:p>
        </w:tc>
        <w:tc>
          <w:tcPr>
            <w:tcW w:w="0" w:type="dxa"/>
            <w:vAlign w:val="bottom"/>
          </w:tcPr>
          <w:p>
            <w:pPr>
              <w:spacing w:after="0"/>
              <w:rPr>
                <w:sz w:val="1"/>
                <w:szCs w:val="1"/>
                <w:color w:val="auto"/>
              </w:rPr>
            </w:pPr>
          </w:p>
        </w:tc>
      </w:tr>
      <w:tr>
        <w:trPr>
          <w:trHeight w:val="149"/>
        </w:trPr>
        <w:tc>
          <w:tcPr>
            <w:tcW w:w="144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Yet Be Purchased Under the</w:t>
            </w:r>
          </w:p>
        </w:tc>
        <w:tc>
          <w:tcPr>
            <w:tcW w:w="0" w:type="dxa"/>
            <w:vAlign w:val="bottom"/>
          </w:tcPr>
          <w:p>
            <w:pPr>
              <w:spacing w:after="0"/>
              <w:rPr>
                <w:sz w:val="1"/>
                <w:szCs w:val="1"/>
                <w:color w:val="auto"/>
              </w:rPr>
            </w:pPr>
          </w:p>
        </w:tc>
      </w:tr>
      <w:tr>
        <w:trPr>
          <w:trHeight w:val="184"/>
        </w:trPr>
        <w:tc>
          <w:tcPr>
            <w:tcW w:w="144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Shares Purchased</w:t>
            </w:r>
          </w:p>
        </w:tc>
        <w:tc>
          <w:tcPr>
            <w:tcW w:w="160" w:type="dxa"/>
            <w:vAlign w:val="bottom"/>
          </w:tcPr>
          <w:p>
            <w:pPr>
              <w:spacing w:after="0"/>
              <w:rPr>
                <w:sz w:val="15"/>
                <w:szCs w:val="15"/>
                <w:color w:val="auto"/>
              </w:rPr>
            </w:pPr>
          </w:p>
        </w:tc>
        <w:tc>
          <w:tcPr>
            <w:tcW w:w="1140" w:type="dxa"/>
            <w:vAlign w:val="bottom"/>
          </w:tcPr>
          <w:p>
            <w:pPr>
              <w:jc w:val="right"/>
              <w:ind w:right="136"/>
              <w:spacing w:after="0"/>
              <w:rPr>
                <w:sz w:val="20"/>
                <w:szCs w:val="20"/>
                <w:color w:val="auto"/>
              </w:rPr>
            </w:pPr>
            <w:r>
              <w:rPr>
                <w:rFonts w:ascii="Arial" w:cs="Arial" w:eastAsia="Arial" w:hAnsi="Arial"/>
                <w:sz w:val="14"/>
                <w:szCs w:val="14"/>
                <w:b w:val="1"/>
                <w:bCs w:val="1"/>
                <w:color w:val="auto"/>
                <w:w w:val="91"/>
              </w:rPr>
              <w:t>Paid per Share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3"/>
              </w:rPr>
              <w:t>Announced Plans or Program (1)</w:t>
            </w:r>
          </w:p>
        </w:tc>
        <w:tc>
          <w:tcPr>
            <w:tcW w:w="180" w:type="dxa"/>
            <w:vAlign w:val="bottom"/>
          </w:tcPr>
          <w:p>
            <w:pPr>
              <w:spacing w:after="0"/>
              <w:rPr>
                <w:sz w:val="15"/>
                <w:szCs w:val="15"/>
                <w:color w:val="auto"/>
              </w:rPr>
            </w:pPr>
          </w:p>
        </w:tc>
        <w:tc>
          <w:tcPr>
            <w:tcW w:w="174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Plans or Program</w:t>
            </w:r>
          </w:p>
        </w:tc>
        <w:tc>
          <w:tcPr>
            <w:tcW w:w="0" w:type="dxa"/>
            <w:vAlign w:val="bottom"/>
          </w:tcPr>
          <w:p>
            <w:pPr>
              <w:spacing w:after="0"/>
              <w:rPr>
                <w:sz w:val="1"/>
                <w:szCs w:val="1"/>
                <w:color w:val="auto"/>
              </w:rPr>
            </w:pPr>
          </w:p>
        </w:tc>
      </w:tr>
      <w:tr>
        <w:trPr>
          <w:trHeight w:val="230"/>
        </w:trPr>
        <w:tc>
          <w:tcPr>
            <w:tcW w:w="160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740" w:type="dxa"/>
            <w:vAlign w:val="bottom"/>
            <w:gridSpan w:val="2"/>
          </w:tcPr>
          <w:p>
            <w:pPr>
              <w:ind w:left="2300"/>
              <w:spacing w:after="0"/>
              <w:rPr>
                <w:sz w:val="20"/>
                <w:szCs w:val="20"/>
                <w:color w:val="auto"/>
              </w:rPr>
            </w:pPr>
            <w:r>
              <w:rPr>
                <w:rFonts w:ascii="Arial" w:cs="Arial" w:eastAsia="Arial" w:hAnsi="Arial"/>
                <w:sz w:val="18"/>
                <w:szCs w:val="18"/>
                <w:color w:val="auto"/>
              </w:rPr>
              <w:t>—  $</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40" w:type="dxa"/>
            <w:vAlign w:val="bottom"/>
          </w:tcPr>
          <w:p>
            <w:pPr>
              <w:jc w:val="right"/>
              <w:ind w:right="19"/>
              <w:spacing w:after="0"/>
              <w:rPr>
                <w:sz w:val="20"/>
                <w:szCs w:val="20"/>
                <w:color w:val="auto"/>
              </w:rPr>
            </w:pPr>
            <w:r>
              <w:rPr>
                <w:rFonts w:ascii="Arial" w:cs="Arial" w:eastAsia="Arial" w:hAnsi="Arial"/>
                <w:sz w:val="18"/>
                <w:szCs w:val="18"/>
                <w:color w:val="auto"/>
              </w:rPr>
              <w:t>1,173,778</w:t>
            </w:r>
          </w:p>
        </w:tc>
        <w:tc>
          <w:tcPr>
            <w:tcW w:w="1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9.49</w:t>
            </w:r>
          </w:p>
        </w:tc>
        <w:tc>
          <w:tcPr>
            <w:tcW w:w="2560" w:type="dxa"/>
            <w:vAlign w:val="bottom"/>
          </w:tcPr>
          <w:p>
            <w:pPr>
              <w:jc w:val="right"/>
              <w:ind w:right="1"/>
              <w:spacing w:after="0"/>
              <w:rPr>
                <w:sz w:val="20"/>
                <w:szCs w:val="20"/>
                <w:color w:val="auto"/>
              </w:rPr>
            </w:pPr>
            <w:r>
              <w:rPr>
                <w:rFonts w:ascii="Arial" w:cs="Arial" w:eastAsia="Arial" w:hAnsi="Arial"/>
                <w:sz w:val="18"/>
                <w:szCs w:val="18"/>
                <w:color w:val="auto"/>
              </w:rPr>
              <w:t>1,173,778</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138,855,631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-299720</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60" w:space="720"/>
            <w:col w:w="736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 June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621,581</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4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621,581</w:t>
            </w: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132,781,963</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Pr>
          <w:p>
            <w:pPr>
              <w:jc w:val="right"/>
              <w:spacing w:after="0"/>
              <w:rPr>
                <w:sz w:val="20"/>
                <w:szCs w:val="20"/>
                <w:color w:val="auto"/>
              </w:rPr>
            </w:pPr>
            <w:r>
              <w:rPr>
                <w:rFonts w:ascii="Arial" w:cs="Arial" w:eastAsia="Arial" w:hAnsi="Arial"/>
                <w:sz w:val="18"/>
                <w:szCs w:val="18"/>
                <w:color w:val="auto"/>
              </w:rPr>
              <w:t>1,795,359</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9.59</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1,795,359</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132,781,963</w:t>
            </w:r>
          </w:p>
        </w:tc>
        <w:tc>
          <w:tcPr>
            <w:tcW w:w="140" w:type="dxa"/>
            <w:vAlign w:val="bottom"/>
          </w:tcPr>
          <w:p>
            <w:pPr>
              <w:spacing w:after="0"/>
              <w:rPr>
                <w:sz w:val="20"/>
                <w:szCs w:val="20"/>
                <w:color w:val="auto"/>
              </w:rPr>
            </w:pPr>
          </w:p>
        </w:tc>
      </w:tr>
      <w:tr>
        <w:trPr>
          <w:trHeight w:val="20"/>
        </w:trPr>
        <w:tc>
          <w:tcPr>
            <w:tcW w:w="37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-187960</wp:posOffset>
            </wp:positionV>
            <wp:extent cx="85725"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-187960</wp:posOffset>
            </wp:positionV>
            <wp:extent cx="85725"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85725"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59" w:lineRule="exact"/>
        <w:rPr>
          <w:sz w:val="20"/>
          <w:szCs w:val="20"/>
          <w:color w:val="auto"/>
        </w:rPr>
      </w:pPr>
    </w:p>
    <w:p>
      <w:pPr>
        <w:ind w:left="660" w:hanging="50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6"/>
          <w:szCs w:val="16"/>
          <w:color w:val="auto"/>
        </w:rPr>
        <w:t>During May 2023, our Board authorized a $150 million repurchase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10b5-1 Trading Plans by Our Officers and Directors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our fiscal quarter ended June 30, 2023, certain of our directors and officers (as defined in Rule 16a-1(f) under the Securities Exchange Act of 1934, as amended (the “Exchange Act”)) entered into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We refer to these contracts, instructions, and written plans as “Rule 10b5-1 trading plans” and each one as a “Rule 10b5-1 trading plan.” We describe the material terms of these Rule 10b5-1 trading plans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 T. Behrman, President and Chief Executive Officer</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17, 2023, Mark T. Behrman, our President and Chief Executive Officer and a member of our board of directors, entered into a Rule 10b5-1 trading plan that is intended to satisfy the affirmative defense of Rule 10b5-1(c) and provides that Mr. Behrman, acting through a broker, may sell up to an aggregate of 250,000 shares of our common stock, subject to adjustments for stock splits, stock combinations, stock dividends and other similar changes to our common stock. The total vested and unvested common shares held by Mr. Behrman is 1,784,460. Sales of shares under the plan may only occur from August 15, 2023 to March 31, 2024. The plan is scheduled to terminate on March 31, 2024, subject to earlier termination upon the sale of all shares subject to the plan or the expiration of all sale orders under the plan, upon termination by Mr. Behrman or the broker, or as otherwise provided in the plan.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Cheryl A. Maguire, Executive Vice President and Chief Financial Officer</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17, 2023, Cheryl A. Maguire, our Executive Vice President and Chief Financial Officer, entered into a Rule 10b5-1 trading plan that is intended to satisfy the affirmative defense of Rule 10b5-1(c) and provides that Ms. Maguire, acting through a broker, may sell up to an aggregate of 100,000 shares of our common stock, subject to adjustments for stock splits, stock combinations, stock dividends and other similar changes to our common stock. The total vested and unvested common shares held by Ms. Maguire is 308,631. Sales of shares under the plan may only occur from August 16, 2023 to May 18, 2024.The plan is scheduled to terminate on May 18, 2024, subject to earlier termination upon the sale of all shares subject to the plan or the expiration of all sale orders under the plan, upon termination by Ms. Maguire or the broker, or as otherwise provided in the plan.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Michael J. Foster, Executive Vice President, General Counsel &amp; Secretary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8, 2023, Michael J. Foster, our Executive Vice President, General Counsel &amp; Secretary, entered into a Rule 10b5-1 trading plan that is intended to satisfy the affirmative defense of Rule 10b5-1(c) and provides that Mr. Foster, acting through a broker, may sell up to an aggregate of 100,000 shares of our common stock, subject to adjustments for stock splits, stock combinations, stock dividends and other similar changes to our common stock. The total vested and unvested common shares held by Mr. Foster is 451,635. Sales of shares under the plan may only occur from August 7, 2023 to July 31, 2024. The plan is scheduled to terminate on July 31, 2024, subject to earlier termination upon the sale of all shares subject to the plan or the expiration of all sale orders under the plan, upon termination by Mr. Foster or the broker, or as otherwise provided in the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P. Burns, Executive Vice President – Manufacturing</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8, 2023, John P. Burns, our Executive Vice President – Manufacturing, entered into a Rule 10b5-1 trading plan that is intended to satisfy the affirmative defense of Rule 10b5-1(c) and provides that Mr. Burns, acting through a broker, may sell up to an aggregate of 61,248 shares of our common stock, subject to adjustments for stock splits, stock combinations, stock dividends and other similar changes to our common stock. The total vested and unvested common shares held by Mr. Burns currently is 208,605. Sales of shares under the plan may only occur from August 9, 2023 to February 22, 2024. The plan is scheduled to terminate on February 22, 2024, subject to earlier termination upon the sale of all shares subject to the plan or the expiration of all sale orders under the plan, upon termination by Mr. Burns or the broker, or as otherwise provided in the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Kristy D. Carver, Senior Vice President and Treasurer</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8, 2023, Kristy D. Carver, our Senior Vice President and Treasurer, entered into a Rule 10b5-1 trading plan that is intended to satisfy the affirmative defense of Rule 10b5-1(c) and provides that Ms. Carver, acting through a broker, may sell up to an aggregate of 26,813 shares of our common stock, subject to adjustments for stock splits, stock combinations, stock dividends and other similar changes to our common stock. The total vested and unvested common shares held by Ms. Carver is 93,335. Sales of shares under the plan may only occur from August 7, 2023 to February 29, 2024. The plan is scheduled to terminate on February 29, 2024, subject to earlier termination upon the sale of all shares subject to the plan or the expiration of all sale orders under the plan, upon termination by Ms. Carver or the broker, or as otherwise provided in the plan.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11, 2023, we filed a Current Report on Form 8-K (the “Form 8-K”) to report on the voting results of our 2023 annual general meeting held on May 11, 2023 (the “Annual General Meeting”), including, among other matters, the results of the advisory non-binding votes of our stockholders regarding whether stockholder votes to approve the compensation of our named executive officers required by Section 14A(a)(1) of the Exchange Act and Rule 14a-21(a) promulgated thereunder (the “Say-on-Pay Vote”) should be held every one, two, or three years (the “Say-on-Frequency Proposal”). As previously reported on the Form 8-K, in an advisory vote held at the Annual General Meeting on the Say-on-Frequency Proposal, our stockholders expressed their preference for a Say-on-Pay Vote to be conducted every year. On May 11, 2023, the Company’s Board of Directors considered the outcome of this advisory vote and determined that future Say-on-Pay Votes will be conducted every year. The Company’s Board of Directors will re-evaluate this determination after the next Say-on-Frequency Proposal, which will be held no later than the 2029 annual general meeting of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38.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Index to Exhibits Item 6.</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360" w:type="dxa"/>
            <w:vAlign w:val="bottom"/>
            <w:gridSpan w:val="11"/>
            <w:vMerge w:val="restart"/>
          </w:tcPr>
          <w:p>
            <w:pPr>
              <w:ind w:left="1300"/>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Pr>
          <w:p>
            <w:pPr>
              <w:ind w:left="14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85"/>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gridSpan w:val="11"/>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to the Following</w:t>
            </w:r>
          </w:p>
        </w:tc>
        <w:tc>
          <w:tcPr>
            <w:tcW w:w="0" w:type="dxa"/>
            <w:vAlign w:val="bottom"/>
          </w:tcPr>
          <w:p>
            <w:pPr>
              <w:spacing w:after="0"/>
              <w:rPr>
                <w:sz w:val="1"/>
                <w:szCs w:val="1"/>
                <w:color w:val="auto"/>
              </w:rPr>
            </w:pPr>
          </w:p>
        </w:tc>
      </w:tr>
      <w:tr>
        <w:trPr>
          <w:trHeight w:val="331"/>
        </w:trPr>
        <w:tc>
          <w:tcPr>
            <w:tcW w:w="1140" w:type="dxa"/>
            <w:vAlign w:val="bottom"/>
          </w:tcPr>
          <w:p>
            <w:pPr>
              <w:ind w:left="120"/>
              <w:spacing w:after="0"/>
              <w:rPr>
                <w:sz w:val="20"/>
                <w:szCs w:val="20"/>
                <w:color w:val="auto"/>
              </w:rPr>
            </w:pPr>
            <w:r>
              <w:rPr>
                <w:rFonts w:ascii="Arial" w:cs="Arial" w:eastAsia="Arial" w:hAnsi="Arial"/>
                <w:sz w:val="18"/>
                <w:szCs w:val="18"/>
                <w:color w:val="auto"/>
              </w:rPr>
              <w:t>3(i).1</w:t>
            </w:r>
          </w:p>
        </w:tc>
        <w:tc>
          <w:tcPr>
            <w:tcW w:w="160" w:type="dxa"/>
            <w:vAlign w:val="bottom"/>
          </w:tcPr>
          <w:p>
            <w:pPr>
              <w:spacing w:after="0"/>
              <w:rPr>
                <w:sz w:val="24"/>
                <w:szCs w:val="24"/>
                <w:color w:val="auto"/>
              </w:rPr>
            </w:pPr>
          </w:p>
        </w:tc>
        <w:tc>
          <w:tcPr>
            <w:tcW w:w="4860" w:type="dxa"/>
            <w:vAlign w:val="bottom"/>
            <w:tcBorders>
              <w:bottom w:val="single" w:sz="8" w:color="0000FF"/>
            </w:tcBorders>
            <w:gridSpan w:val="7"/>
          </w:tcPr>
          <w:p>
            <w:pPr>
              <w:spacing w:after="0"/>
              <w:rPr>
                <w:rFonts w:ascii="Arial" w:cs="Arial" w:eastAsia="Arial" w:hAnsi="Arial"/>
                <w:sz w:val="18"/>
                <w:szCs w:val="18"/>
                <w:color w:val="0000FF"/>
                <w:w w:val="92"/>
              </w:rPr>
            </w:pPr>
            <w:hyperlink r:id="rId203">
              <w:r>
                <w:rPr>
                  <w:rFonts w:ascii="Arial" w:cs="Arial" w:eastAsia="Arial" w:hAnsi="Arial"/>
                  <w:sz w:val="18"/>
                  <w:szCs w:val="18"/>
                  <w:color w:val="0000FF"/>
                  <w:w w:val="92"/>
                </w:rPr>
                <w:t>Restated Certificate of Incorporation of LSB Industries, Inc., dated</w:t>
              </w:r>
            </w:hyperlink>
          </w:p>
        </w:tc>
        <w:tc>
          <w:tcPr>
            <w:tcW w:w="4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w w:val="93"/>
              </w:rPr>
              <w:t>Exhibit 3(i).1 to the Company’s Form 10-K filed on February</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gridSpan w:val="12"/>
          </w:tcPr>
          <w:p>
            <w:pPr>
              <w:spacing w:after="0" w:line="196" w:lineRule="exact"/>
              <w:rPr>
                <w:rFonts w:ascii="Arial" w:cs="Arial" w:eastAsia="Arial" w:hAnsi="Arial"/>
                <w:sz w:val="18"/>
                <w:szCs w:val="18"/>
                <w:color w:val="0000FF"/>
              </w:rPr>
            </w:pPr>
            <w:hyperlink r:id="rId203">
              <w:r>
                <w:rPr>
                  <w:rFonts w:ascii="Arial" w:cs="Arial" w:eastAsia="Arial" w:hAnsi="Arial"/>
                  <w:sz w:val="18"/>
                  <w:szCs w:val="18"/>
                  <w:color w:val="0000FF"/>
                </w:rPr>
                <w:t>January 21, 1977, as amended August 27, 1987</w:t>
              </w:r>
            </w:hyperlink>
          </w:p>
        </w:tc>
        <w:tc>
          <w:tcPr>
            <w:tcW w:w="4600" w:type="dxa"/>
            <w:vAlign w:val="bottom"/>
            <w:gridSpan w:val="4"/>
          </w:tcPr>
          <w:p>
            <w:pPr>
              <w:ind w:left="160"/>
              <w:spacing w:after="0" w:line="196" w:lineRule="exact"/>
              <w:rPr>
                <w:sz w:val="20"/>
                <w:szCs w:val="20"/>
                <w:color w:val="auto"/>
              </w:rPr>
            </w:pPr>
            <w:r>
              <w:rPr>
                <w:rFonts w:ascii="Arial" w:cs="Arial" w:eastAsia="Arial" w:hAnsi="Arial"/>
                <w:sz w:val="18"/>
                <w:szCs w:val="18"/>
                <w:color w:val="auto"/>
              </w:rPr>
              <w:t>28, 2013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60" w:type="dxa"/>
            <w:vAlign w:val="bottom"/>
            <w:tcBorders>
              <w:bottom w:val="single" w:sz="8" w:color="0000FF"/>
            </w:tcBorders>
            <w:gridSpan w:val="10"/>
          </w:tcPr>
          <w:p>
            <w:pPr>
              <w:spacing w:after="0"/>
              <w:rPr>
                <w:rFonts w:ascii="Arial" w:cs="Arial" w:eastAsia="Arial" w:hAnsi="Arial"/>
                <w:sz w:val="18"/>
                <w:szCs w:val="18"/>
                <w:color w:val="0000FF"/>
                <w:w w:val="92"/>
              </w:rPr>
            </w:pPr>
            <w:hyperlink r:id="rId204">
              <w:r>
                <w:rPr>
                  <w:rFonts w:ascii="Arial" w:cs="Arial" w:eastAsia="Arial" w:hAnsi="Arial"/>
                  <w:sz w:val="18"/>
                  <w:szCs w:val="18"/>
                  <w:color w:val="0000FF"/>
                  <w:w w:val="92"/>
                </w:rPr>
                <w:t>Certificate of Amendment to the Restated Certificate of Incorporation of</w:t>
              </w:r>
            </w:hyperlink>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w w:val="96"/>
              </w:rPr>
              <w:t>Exhibit 3(i).2 to the Company’s Registration Statement on</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3(i).2</w:t>
            </w:r>
          </w:p>
        </w:tc>
        <w:tc>
          <w:tcPr>
            <w:tcW w:w="160" w:type="dxa"/>
            <w:vAlign w:val="bottom"/>
          </w:tcPr>
          <w:p>
            <w:pPr>
              <w:spacing w:after="0"/>
              <w:rPr>
                <w:sz w:val="17"/>
                <w:szCs w:val="17"/>
                <w:color w:val="auto"/>
              </w:rPr>
            </w:pPr>
          </w:p>
        </w:tc>
        <w:tc>
          <w:tcPr>
            <w:tcW w:w="30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204">
              <w:r>
                <w:rPr>
                  <w:rFonts w:ascii="Arial" w:cs="Arial" w:eastAsia="Arial" w:hAnsi="Arial"/>
                  <w:sz w:val="18"/>
                  <w:szCs w:val="18"/>
                  <w:color w:val="0000FF"/>
                  <w:w w:val="89"/>
                </w:rPr>
                <w:t>LSB Industries, dated September 23, 2021</w:t>
              </w:r>
            </w:hyperlink>
          </w:p>
        </w:tc>
        <w:tc>
          <w:tcPr>
            <w:tcW w:w="228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Pr>
          <w:p>
            <w:pPr>
              <w:ind w:left="20"/>
              <w:spacing w:after="0" w:line="196" w:lineRule="exact"/>
              <w:rPr>
                <w:sz w:val="20"/>
                <w:szCs w:val="20"/>
                <w:color w:val="auto"/>
              </w:rPr>
            </w:pPr>
            <w:r>
              <w:rPr>
                <w:rFonts w:ascii="Arial" w:cs="Arial" w:eastAsia="Arial" w:hAnsi="Arial"/>
                <w:sz w:val="18"/>
                <w:szCs w:val="18"/>
                <w:color w:val="auto"/>
              </w:rPr>
              <w:t>Form S-3 filed on November 16, 2021</w:t>
            </w:r>
          </w:p>
        </w:tc>
        <w:tc>
          <w:tcPr>
            <w:tcW w:w="0" w:type="dxa"/>
            <w:vAlign w:val="bottom"/>
          </w:tcPr>
          <w:p>
            <w:pPr>
              <w:spacing w:after="0"/>
              <w:rPr>
                <w:sz w:val="1"/>
                <w:szCs w:val="1"/>
                <w:color w:val="auto"/>
              </w:rPr>
            </w:pPr>
          </w:p>
        </w:tc>
      </w:tr>
      <w:tr>
        <w:trPr>
          <w:trHeight w:val="371"/>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40" w:type="dxa"/>
            <w:vAlign w:val="bottom"/>
            <w:tcBorders>
              <w:bottom w:val="single" w:sz="8" w:color="0000FF"/>
            </w:tcBorders>
            <w:gridSpan w:val="9"/>
          </w:tcPr>
          <w:p>
            <w:pPr>
              <w:spacing w:after="0"/>
              <w:rPr>
                <w:rFonts w:ascii="Arial" w:cs="Arial" w:eastAsia="Arial" w:hAnsi="Arial"/>
                <w:sz w:val="18"/>
                <w:szCs w:val="18"/>
                <w:color w:val="0000FF"/>
                <w:w w:val="90"/>
              </w:rPr>
            </w:pPr>
            <w:hyperlink r:id="rId205">
              <w:r>
                <w:rPr>
                  <w:rFonts w:ascii="Arial" w:cs="Arial" w:eastAsia="Arial" w:hAnsi="Arial"/>
                  <w:sz w:val="18"/>
                  <w:szCs w:val="18"/>
                  <w:color w:val="0000FF"/>
                  <w:w w:val="90"/>
                </w:rPr>
                <w:t>Second Amended and Restated Bylaws of LSB Industries, Inc., dated</w:t>
              </w:r>
            </w:hyperlink>
          </w:p>
        </w:tc>
        <w:tc>
          <w:tcPr>
            <w:tcW w:w="3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3(ii)</w:t>
            </w:r>
          </w:p>
        </w:tc>
        <w:tc>
          <w:tcPr>
            <w:tcW w:w="160" w:type="dxa"/>
            <w:vAlign w:val="bottom"/>
          </w:tcPr>
          <w:p>
            <w:pPr>
              <w:spacing w:after="0"/>
              <w:rPr>
                <w:sz w:val="17"/>
                <w:szCs w:val="17"/>
                <w:color w:val="auto"/>
              </w:rPr>
            </w:pPr>
          </w:p>
        </w:tc>
        <w:tc>
          <w:tcPr>
            <w:tcW w:w="5340" w:type="dxa"/>
            <w:vAlign w:val="bottom"/>
            <w:gridSpan w:val="12"/>
          </w:tcPr>
          <w:p>
            <w:pPr>
              <w:spacing w:after="0" w:line="196" w:lineRule="exact"/>
              <w:rPr>
                <w:rFonts w:ascii="Arial" w:cs="Arial" w:eastAsia="Arial" w:hAnsi="Arial"/>
                <w:sz w:val="18"/>
                <w:szCs w:val="18"/>
                <w:color w:val="0000FF"/>
              </w:rPr>
            </w:pPr>
            <w:hyperlink r:id="rId205">
              <w:r>
                <w:rPr>
                  <w:rFonts w:ascii="Arial" w:cs="Arial" w:eastAsia="Arial" w:hAnsi="Arial"/>
                  <w:sz w:val="18"/>
                  <w:szCs w:val="18"/>
                  <w:color w:val="0000FF"/>
                </w:rPr>
                <w:t>July 19, 2021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Pr>
          <w:p>
            <w:pPr>
              <w:ind w:left="20"/>
              <w:spacing w:after="0" w:line="196" w:lineRule="exact"/>
              <w:rPr>
                <w:sz w:val="20"/>
                <w:szCs w:val="20"/>
                <w:color w:val="auto"/>
              </w:rPr>
            </w:pPr>
            <w:r>
              <w:rPr>
                <w:rFonts w:ascii="Arial" w:cs="Arial" w:eastAsia="Arial" w:hAnsi="Arial"/>
                <w:sz w:val="18"/>
                <w:szCs w:val="18"/>
                <w:color w:val="auto"/>
                <w:w w:val="96"/>
              </w:rPr>
              <w:t>Exhibit 3.1 to the Company’s Form 8-K filed July 20, 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tcPr>
          <w:p>
            <w:pPr>
              <w:ind w:left="120"/>
              <w:spacing w:after="0"/>
              <w:rPr>
                <w:sz w:val="20"/>
                <w:szCs w:val="20"/>
                <w:color w:val="auto"/>
              </w:rPr>
            </w:pPr>
            <w:r>
              <w:rPr>
                <w:rFonts w:ascii="Arial" w:cs="Arial" w:eastAsia="Arial" w:hAnsi="Arial"/>
                <w:sz w:val="18"/>
                <w:szCs w:val="18"/>
                <w:color w:val="auto"/>
              </w:rPr>
              <w:t>10.1(a)</w:t>
            </w:r>
          </w:p>
        </w:tc>
        <w:tc>
          <w:tcPr>
            <w:tcW w:w="160" w:type="dxa"/>
            <w:vAlign w:val="bottom"/>
          </w:tcPr>
          <w:p>
            <w:pPr>
              <w:spacing w:after="0"/>
              <w:rPr>
                <w:sz w:val="24"/>
                <w:szCs w:val="24"/>
                <w:color w:val="auto"/>
              </w:rPr>
            </w:pPr>
          </w:p>
        </w:tc>
        <w:tc>
          <w:tcPr>
            <w:tcW w:w="50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Sixth Amendment to Third Amended and Restated Loan and Security</w:t>
            </w:r>
          </w:p>
        </w:tc>
        <w:tc>
          <w:tcPr>
            <w:tcW w:w="3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90"/>
              </w:rPr>
              <w:t>Agreement, dated as of May 26, 2023, by and among Wells Fargo Capital</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0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0"/>
              </w:rPr>
              <w:t>Finance, LLC, as the arranger and administrative agent, the lenders party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1"/>
              </w:rPr>
              <w:t>thereto, LSB Industries, Inc. and its subsidiaries identified on the</w:t>
            </w:r>
          </w:p>
        </w:tc>
        <w:tc>
          <w:tcPr>
            <w:tcW w:w="6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89"/>
              </w:rPr>
              <w:t>signature pages thereto as borrowers and the Company’s subsidiaries</w:t>
            </w:r>
          </w:p>
        </w:tc>
        <w:tc>
          <w:tcPr>
            <w:tcW w:w="3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gridSpan w:val="12"/>
          </w:tcPr>
          <w:p>
            <w:pPr>
              <w:spacing w:after="0" w:line="196" w:lineRule="exact"/>
              <w:rPr>
                <w:sz w:val="20"/>
                <w:szCs w:val="20"/>
                <w:color w:val="auto"/>
              </w:rPr>
            </w:pPr>
            <w:r>
              <w:rPr>
                <w:rFonts w:ascii="Arial" w:cs="Arial" w:eastAsia="Arial" w:hAnsi="Arial"/>
                <w:sz w:val="18"/>
                <w:szCs w:val="18"/>
                <w:color w:val="0000FF"/>
              </w:rPr>
              <w:t>identified on the signature pages thereto as guarantors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500" w:type="dxa"/>
            <w:vAlign w:val="bottom"/>
            <w:tcBorders>
              <w:left w:val="single" w:sz="8" w:color="0000FF"/>
            </w:tcBorders>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40" w:type="dxa"/>
            <w:vAlign w:val="bottom"/>
          </w:tcPr>
          <w:p>
            <w:pPr>
              <w:ind w:left="120"/>
              <w:spacing w:after="0"/>
              <w:rPr>
                <w:sz w:val="20"/>
                <w:szCs w:val="20"/>
                <w:color w:val="auto"/>
              </w:rPr>
            </w:pPr>
            <w:r>
              <w:rPr>
                <w:rFonts w:ascii="Arial" w:cs="Arial" w:eastAsia="Arial" w:hAnsi="Arial"/>
                <w:sz w:val="18"/>
                <w:szCs w:val="18"/>
                <w:color w:val="auto"/>
              </w:rPr>
              <w:t>31.1(a)</w:t>
            </w:r>
          </w:p>
        </w:tc>
        <w:tc>
          <w:tcPr>
            <w:tcW w:w="160" w:type="dxa"/>
            <w:vAlign w:val="bottom"/>
          </w:tcPr>
          <w:p>
            <w:pPr>
              <w:spacing w:after="0"/>
              <w:rPr>
                <w:sz w:val="24"/>
                <w:szCs w:val="24"/>
                <w:color w:val="auto"/>
              </w:rPr>
            </w:pPr>
          </w:p>
        </w:tc>
        <w:tc>
          <w:tcPr>
            <w:tcW w:w="5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6"/>
              </w:rPr>
              <w:t>Certification of Mark T. Behrman, Chief Executive Officer, pursuant to</w:t>
            </w:r>
          </w:p>
        </w:tc>
        <w:tc>
          <w:tcPr>
            <w:tcW w:w="2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Sarbanes-Oxley Act of 2002, Section 302</w:t>
            </w:r>
          </w:p>
        </w:tc>
        <w:tc>
          <w:tcPr>
            <w:tcW w:w="23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40" w:type="dxa"/>
            <w:vAlign w:val="bottom"/>
          </w:tcPr>
          <w:p>
            <w:pPr>
              <w:ind w:left="120"/>
              <w:spacing w:after="0"/>
              <w:rPr>
                <w:sz w:val="20"/>
                <w:szCs w:val="20"/>
                <w:color w:val="auto"/>
              </w:rPr>
            </w:pPr>
            <w:r>
              <w:rPr>
                <w:rFonts w:ascii="Arial" w:cs="Arial" w:eastAsia="Arial" w:hAnsi="Arial"/>
                <w:sz w:val="18"/>
                <w:szCs w:val="18"/>
                <w:color w:val="auto"/>
              </w:rPr>
              <w:t>31.2(a)</w:t>
            </w:r>
          </w:p>
        </w:tc>
        <w:tc>
          <w:tcPr>
            <w:tcW w:w="160" w:type="dxa"/>
            <w:vAlign w:val="bottom"/>
          </w:tcPr>
          <w:p>
            <w:pPr>
              <w:spacing w:after="0"/>
              <w:rPr>
                <w:sz w:val="24"/>
                <w:szCs w:val="24"/>
                <w:color w:val="auto"/>
              </w:rPr>
            </w:pPr>
          </w:p>
        </w:tc>
        <w:tc>
          <w:tcPr>
            <w:tcW w:w="5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6"/>
              </w:rPr>
              <w:t>Certification of Cheryl A. Maguire, Chief Financial Officer, pursuant to</w:t>
            </w:r>
          </w:p>
        </w:tc>
        <w:tc>
          <w:tcPr>
            <w:tcW w:w="2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Sarbanes-Oxley Act of 2002, Section 302</w:t>
            </w:r>
          </w:p>
        </w:tc>
        <w:tc>
          <w:tcPr>
            <w:tcW w:w="23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40" w:type="dxa"/>
            <w:vAlign w:val="bottom"/>
          </w:tcPr>
          <w:p>
            <w:pPr>
              <w:ind w:left="120"/>
              <w:spacing w:after="0"/>
              <w:rPr>
                <w:sz w:val="20"/>
                <w:szCs w:val="20"/>
                <w:color w:val="auto"/>
              </w:rPr>
            </w:pPr>
            <w:r>
              <w:rPr>
                <w:rFonts w:ascii="Arial" w:cs="Arial" w:eastAsia="Arial" w:hAnsi="Arial"/>
                <w:sz w:val="18"/>
                <w:szCs w:val="18"/>
                <w:color w:val="auto"/>
              </w:rPr>
              <w:t>32.1(a)</w:t>
            </w:r>
          </w:p>
        </w:tc>
        <w:tc>
          <w:tcPr>
            <w:tcW w:w="160" w:type="dxa"/>
            <w:vAlign w:val="bottom"/>
          </w:tcPr>
          <w:p>
            <w:pPr>
              <w:spacing w:after="0"/>
              <w:rPr>
                <w:sz w:val="24"/>
                <w:szCs w:val="24"/>
                <w:color w:val="auto"/>
              </w:rPr>
            </w:pPr>
          </w:p>
        </w:tc>
        <w:tc>
          <w:tcPr>
            <w:tcW w:w="5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Certification of Mark T. Behrman, Chief Executive Officer, furnished</w:t>
            </w:r>
          </w:p>
        </w:tc>
        <w:tc>
          <w:tcPr>
            <w:tcW w:w="2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gridSpan w:val="12"/>
          </w:tcPr>
          <w:p>
            <w:pPr>
              <w:spacing w:after="0" w:line="196" w:lineRule="exact"/>
              <w:rPr>
                <w:sz w:val="20"/>
                <w:szCs w:val="20"/>
                <w:color w:val="auto"/>
              </w:rPr>
            </w:pPr>
            <w:r>
              <w:rPr>
                <w:rFonts w:ascii="Arial" w:cs="Arial" w:eastAsia="Arial" w:hAnsi="Arial"/>
                <w:sz w:val="18"/>
                <w:szCs w:val="18"/>
                <w:color w:val="0000FF"/>
              </w:rPr>
              <w:t>pursuant to Sarbanes-Oxley Act of 2002, Section 906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40" w:type="dxa"/>
            <w:vAlign w:val="bottom"/>
          </w:tcPr>
          <w:p>
            <w:pPr>
              <w:ind w:left="120"/>
              <w:spacing w:after="0"/>
              <w:rPr>
                <w:sz w:val="20"/>
                <w:szCs w:val="20"/>
                <w:color w:val="auto"/>
              </w:rPr>
            </w:pPr>
            <w:r>
              <w:rPr>
                <w:rFonts w:ascii="Arial" w:cs="Arial" w:eastAsia="Arial" w:hAnsi="Arial"/>
                <w:sz w:val="18"/>
                <w:szCs w:val="18"/>
                <w:color w:val="auto"/>
              </w:rPr>
              <w:t>32.2(a)</w:t>
            </w:r>
          </w:p>
        </w:tc>
        <w:tc>
          <w:tcPr>
            <w:tcW w:w="160" w:type="dxa"/>
            <w:vAlign w:val="bottom"/>
          </w:tcPr>
          <w:p>
            <w:pPr>
              <w:spacing w:after="0"/>
              <w:rPr>
                <w:sz w:val="24"/>
                <w:szCs w:val="24"/>
                <w:color w:val="auto"/>
              </w:rPr>
            </w:pPr>
          </w:p>
        </w:tc>
        <w:tc>
          <w:tcPr>
            <w:tcW w:w="5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Certification of Cheryl A. Maguire, Chief Financial Officer, furnished</w:t>
            </w:r>
          </w:p>
        </w:tc>
        <w:tc>
          <w:tcPr>
            <w:tcW w:w="2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gridSpan w:val="12"/>
          </w:tcPr>
          <w:p>
            <w:pPr>
              <w:spacing w:after="0" w:line="196" w:lineRule="exact"/>
              <w:rPr>
                <w:sz w:val="20"/>
                <w:szCs w:val="20"/>
                <w:color w:val="auto"/>
              </w:rPr>
            </w:pPr>
            <w:r>
              <w:rPr>
                <w:rFonts w:ascii="Arial" w:cs="Arial" w:eastAsia="Arial" w:hAnsi="Arial"/>
                <w:sz w:val="18"/>
                <w:szCs w:val="18"/>
                <w:color w:val="0000FF"/>
              </w:rPr>
              <w:t>pursuant to Sarbanes-Oxley Act of 2002, Section 906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ind w:left="20"/>
              <w:spacing w:after="0"/>
              <w:rPr>
                <w:sz w:val="20"/>
                <w:szCs w:val="20"/>
                <w:color w:val="auto"/>
              </w:rPr>
            </w:pPr>
            <w:r>
              <w:rPr>
                <w:rFonts w:ascii="Arial" w:cs="Arial" w:eastAsia="Arial" w:hAnsi="Arial"/>
                <w:sz w:val="18"/>
                <w:szCs w:val="18"/>
                <w:color w:val="auto"/>
              </w:rPr>
              <w:t>101.INS(a)</w:t>
            </w:r>
          </w:p>
        </w:tc>
        <w:tc>
          <w:tcPr>
            <w:tcW w:w="160" w:type="dxa"/>
            <w:vAlign w:val="bottom"/>
          </w:tcPr>
          <w:p>
            <w:pPr>
              <w:spacing w:after="0"/>
              <w:rPr>
                <w:sz w:val="24"/>
                <w:szCs w:val="24"/>
                <w:color w:val="auto"/>
              </w:rPr>
            </w:pPr>
          </w:p>
        </w:tc>
        <w:tc>
          <w:tcPr>
            <w:tcW w:w="5340" w:type="dxa"/>
            <w:vAlign w:val="bottom"/>
            <w:gridSpan w:val="12"/>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gridSpan w:val="12"/>
          </w:tcPr>
          <w:p>
            <w:pPr>
              <w:spacing w:after="0"/>
              <w:rPr>
                <w:sz w:val="20"/>
                <w:szCs w:val="20"/>
                <w:color w:val="auto"/>
              </w:rPr>
            </w:pPr>
            <w:r>
              <w:rPr>
                <w:rFonts w:ascii="Arial" w:cs="Arial" w:eastAsia="Arial" w:hAnsi="Arial"/>
                <w:sz w:val="18"/>
                <w:szCs w:val="18"/>
                <w:color w:val="auto"/>
                <w:w w:val="91"/>
              </w:rPr>
              <w:t>appear in the Interactive Data File because its XBRL tags are embedded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40" w:type="dxa"/>
            <w:vAlign w:val="bottom"/>
          </w:tcPr>
          <w:p>
            <w:pPr>
              <w:ind w:left="20"/>
              <w:spacing w:after="0"/>
              <w:rPr>
                <w:sz w:val="20"/>
                <w:szCs w:val="20"/>
                <w:color w:val="auto"/>
              </w:rPr>
            </w:pPr>
            <w:r>
              <w:rPr>
                <w:rFonts w:ascii="Arial" w:cs="Arial" w:eastAsia="Arial" w:hAnsi="Arial"/>
                <w:sz w:val="18"/>
                <w:szCs w:val="18"/>
                <w:color w:val="auto"/>
              </w:rPr>
              <w:t>101.SCH(a)</w:t>
            </w:r>
          </w:p>
        </w:tc>
        <w:tc>
          <w:tcPr>
            <w:tcW w:w="160" w:type="dxa"/>
            <w:vAlign w:val="bottom"/>
          </w:tcPr>
          <w:p>
            <w:pPr>
              <w:spacing w:after="0"/>
              <w:rPr>
                <w:sz w:val="24"/>
                <w:szCs w:val="24"/>
                <w:color w:val="auto"/>
              </w:rPr>
            </w:pPr>
          </w:p>
        </w:tc>
        <w:tc>
          <w:tcPr>
            <w:tcW w:w="53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40" w:type="dxa"/>
            <w:vAlign w:val="bottom"/>
          </w:tcPr>
          <w:p>
            <w:pPr>
              <w:ind w:left="20"/>
              <w:spacing w:after="0"/>
              <w:rPr>
                <w:sz w:val="20"/>
                <w:szCs w:val="20"/>
                <w:color w:val="auto"/>
              </w:rPr>
            </w:pPr>
            <w:r>
              <w:rPr>
                <w:rFonts w:ascii="Arial" w:cs="Arial" w:eastAsia="Arial" w:hAnsi="Arial"/>
                <w:sz w:val="18"/>
                <w:szCs w:val="18"/>
                <w:color w:val="auto"/>
              </w:rPr>
              <w:t>101.CAL(a)</w:t>
            </w:r>
          </w:p>
        </w:tc>
        <w:tc>
          <w:tcPr>
            <w:tcW w:w="160" w:type="dxa"/>
            <w:vAlign w:val="bottom"/>
          </w:tcPr>
          <w:p>
            <w:pPr>
              <w:spacing w:after="0"/>
              <w:rPr>
                <w:sz w:val="24"/>
                <w:szCs w:val="24"/>
                <w:color w:val="auto"/>
              </w:rPr>
            </w:pPr>
          </w:p>
        </w:tc>
        <w:tc>
          <w:tcPr>
            <w:tcW w:w="534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ind w:left="20"/>
              <w:spacing w:after="0"/>
              <w:rPr>
                <w:sz w:val="20"/>
                <w:szCs w:val="20"/>
                <w:color w:val="auto"/>
              </w:rPr>
            </w:pPr>
            <w:r>
              <w:rPr>
                <w:rFonts w:ascii="Arial" w:cs="Arial" w:eastAsia="Arial" w:hAnsi="Arial"/>
                <w:sz w:val="18"/>
                <w:szCs w:val="18"/>
                <w:color w:val="auto"/>
              </w:rPr>
              <w:t>101.DEF(a)</w:t>
            </w:r>
          </w:p>
        </w:tc>
        <w:tc>
          <w:tcPr>
            <w:tcW w:w="160" w:type="dxa"/>
            <w:vAlign w:val="bottom"/>
          </w:tcPr>
          <w:p>
            <w:pPr>
              <w:spacing w:after="0"/>
              <w:rPr>
                <w:sz w:val="24"/>
                <w:szCs w:val="24"/>
                <w:color w:val="auto"/>
              </w:rPr>
            </w:pPr>
          </w:p>
        </w:tc>
        <w:tc>
          <w:tcPr>
            <w:tcW w:w="534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40" w:type="dxa"/>
            <w:vAlign w:val="bottom"/>
          </w:tcPr>
          <w:p>
            <w:pPr>
              <w:ind w:left="20"/>
              <w:spacing w:after="0"/>
              <w:rPr>
                <w:sz w:val="20"/>
                <w:szCs w:val="20"/>
                <w:color w:val="auto"/>
              </w:rPr>
            </w:pPr>
            <w:r>
              <w:rPr>
                <w:rFonts w:ascii="Arial" w:cs="Arial" w:eastAsia="Arial" w:hAnsi="Arial"/>
                <w:sz w:val="18"/>
                <w:szCs w:val="18"/>
                <w:color w:val="auto"/>
              </w:rPr>
              <w:t>101.LAB(a)</w:t>
            </w:r>
          </w:p>
        </w:tc>
        <w:tc>
          <w:tcPr>
            <w:tcW w:w="160" w:type="dxa"/>
            <w:vAlign w:val="bottom"/>
          </w:tcPr>
          <w:p>
            <w:pPr>
              <w:spacing w:after="0"/>
              <w:rPr>
                <w:sz w:val="24"/>
                <w:szCs w:val="24"/>
                <w:color w:val="auto"/>
              </w:rPr>
            </w:pPr>
          </w:p>
        </w:tc>
        <w:tc>
          <w:tcPr>
            <w:tcW w:w="534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ind w:left="20"/>
              <w:spacing w:after="0"/>
              <w:rPr>
                <w:sz w:val="20"/>
                <w:szCs w:val="20"/>
                <w:color w:val="auto"/>
              </w:rPr>
            </w:pPr>
            <w:r>
              <w:rPr>
                <w:rFonts w:ascii="Arial" w:cs="Arial" w:eastAsia="Arial" w:hAnsi="Arial"/>
                <w:sz w:val="18"/>
                <w:szCs w:val="18"/>
                <w:color w:val="auto"/>
              </w:rPr>
              <w:t>101.PRE(a)</w:t>
            </w:r>
          </w:p>
        </w:tc>
        <w:tc>
          <w:tcPr>
            <w:tcW w:w="160" w:type="dxa"/>
            <w:vAlign w:val="bottom"/>
          </w:tcPr>
          <w:p>
            <w:pPr>
              <w:spacing w:after="0"/>
              <w:rPr>
                <w:sz w:val="24"/>
                <w:szCs w:val="24"/>
                <w:color w:val="auto"/>
              </w:rPr>
            </w:pPr>
          </w:p>
        </w:tc>
        <w:tc>
          <w:tcPr>
            <w:tcW w:w="5340" w:type="dxa"/>
            <w:vAlign w:val="bottom"/>
            <w:gridSpan w:val="12"/>
          </w:tcPr>
          <w:p>
            <w:pPr>
              <w:spacing w:after="0"/>
              <w:rPr>
                <w:sz w:val="20"/>
                <w:szCs w:val="20"/>
                <w:color w:val="auto"/>
              </w:rPr>
            </w:pPr>
            <w:r>
              <w:rPr>
                <w:rFonts w:ascii="Arial" w:cs="Arial" w:eastAsia="Arial" w:hAnsi="Arial"/>
                <w:sz w:val="18"/>
                <w:szCs w:val="18"/>
                <w:color w:val="auto"/>
                <w:w w:val="98"/>
              </w:rPr>
              <w:t>Inline XBRL Taxonomy Extension Presentation Linkbase Document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140" w:type="dxa"/>
            <w:vAlign w:val="bottom"/>
          </w:tcPr>
          <w:p>
            <w:pPr>
              <w:ind w:left="20"/>
              <w:spacing w:after="0"/>
              <w:rPr>
                <w:sz w:val="20"/>
                <w:szCs w:val="20"/>
                <w:color w:val="auto"/>
              </w:rPr>
            </w:pPr>
            <w:r>
              <w:rPr>
                <w:rFonts w:ascii="Arial" w:cs="Arial" w:eastAsia="Arial" w:hAnsi="Arial"/>
                <w:sz w:val="18"/>
                <w:szCs w:val="18"/>
                <w:color w:val="auto"/>
              </w:rPr>
              <w:t>104(a)</w:t>
            </w:r>
          </w:p>
        </w:tc>
        <w:tc>
          <w:tcPr>
            <w:tcW w:w="160" w:type="dxa"/>
            <w:vAlign w:val="bottom"/>
          </w:tcPr>
          <w:p>
            <w:pPr>
              <w:spacing w:after="0"/>
              <w:rPr>
                <w:sz w:val="24"/>
                <w:szCs w:val="24"/>
                <w:color w:val="auto"/>
              </w:rPr>
            </w:pPr>
          </w:p>
        </w:tc>
        <w:tc>
          <w:tcPr>
            <w:tcW w:w="5340" w:type="dxa"/>
            <w:vAlign w:val="bottom"/>
            <w:gridSpan w:val="12"/>
          </w:tcPr>
          <w:p>
            <w:pPr>
              <w:spacing w:after="0"/>
              <w:rPr>
                <w:sz w:val="20"/>
                <w:szCs w:val="20"/>
                <w:color w:val="auto"/>
              </w:rPr>
            </w:pPr>
            <w:r>
              <w:rPr>
                <w:rFonts w:ascii="Arial" w:cs="Arial" w:eastAsia="Arial" w:hAnsi="Arial"/>
                <w:sz w:val="18"/>
                <w:szCs w:val="18"/>
                <w:color w:val="auto"/>
                <w:w w:val="99"/>
              </w:rPr>
              <w:t>Cover Page Interactive Data File (embedded within the Inline XBRL</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Filed herewith or 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27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July 2023.</w:t>
      </w:r>
    </w:p>
    <w:p>
      <w:pPr>
        <w:spacing w:after="0" w:line="12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LSB INDUSTRIES, INC.</w:t>
      </w:r>
    </w:p>
    <w:p>
      <w:pPr>
        <w:spacing w:after="0" w:line="30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23495</wp:posOffset>
            </wp:positionV>
            <wp:extent cx="363474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3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Cheryl A. Maguire</w:t>
      </w:r>
    </w:p>
    <w:p>
      <w:pPr>
        <w:spacing w:after="0" w:line="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ind w:left="10120"/>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SIXTH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LOAN AND SECURITY AGREEMENT</w:t>
      </w:r>
    </w:p>
    <w:p>
      <w:pPr>
        <w:spacing w:after="0" w:line="200" w:lineRule="exact"/>
        <w:rPr>
          <w:sz w:val="20"/>
          <w:szCs w:val="20"/>
          <w:color w:val="auto"/>
        </w:rPr>
      </w:pPr>
    </w:p>
    <w:p>
      <w:pPr>
        <w:spacing w:after="0" w:line="204"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THIS SIXTH AMENDMENT TO THIRD AMENDED AND RESTATED LOAN AND SECURITY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as of May 26, 2023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among WELLS FARGO CAPITAL FINANCE, LLC, a Delaware limited liability company, as the arranger and administrative agent ("</w:t>
      </w:r>
      <w:r>
        <w:rPr>
          <w:rFonts w:ascii="Arial" w:cs="Arial" w:eastAsia="Arial" w:hAnsi="Arial"/>
          <w:sz w:val="19"/>
          <w:szCs w:val="19"/>
          <w:u w:val="single" w:color="auto"/>
          <w:color w:val="auto"/>
        </w:rPr>
        <w:t>Agent</w:t>
      </w:r>
      <w:r>
        <w:rPr>
          <w:rFonts w:ascii="Arial" w:cs="Arial" w:eastAsia="Arial" w:hAnsi="Arial"/>
          <w:sz w:val="19"/>
          <w:szCs w:val="19"/>
          <w:color w:val="auto"/>
        </w:rPr>
        <w:t xml:space="preserve"> ") for the Lenders (as defined in the Credit Agreement referred to below), the Lenders party hereto, LSB INDUSTRIES, INC., a Delaware corporation ("</w:t>
      </w:r>
      <w:r>
        <w:rPr>
          <w:rFonts w:ascii="Arial" w:cs="Arial" w:eastAsia="Arial" w:hAnsi="Arial"/>
          <w:sz w:val="19"/>
          <w:szCs w:val="19"/>
          <w:u w:val="single" w:color="auto"/>
          <w:color w:val="auto"/>
        </w:rPr>
        <w:t>Parent</w:t>
      </w:r>
      <w:r>
        <w:rPr>
          <w:rFonts w:ascii="Arial" w:cs="Arial" w:eastAsia="Arial" w:hAnsi="Arial"/>
          <w:sz w:val="19"/>
          <w:szCs w:val="19"/>
          <w:color w:val="auto"/>
        </w:rPr>
        <w:t>"), certain Subsidiaries of Parent designated on the signature pages hereto as borrowers (together with Parent, such Subsidiaries are collectively referred as the "</w:t>
      </w:r>
      <w:r>
        <w:rPr>
          <w:rFonts w:ascii="Arial" w:cs="Arial" w:eastAsia="Arial" w:hAnsi="Arial"/>
          <w:sz w:val="19"/>
          <w:szCs w:val="19"/>
          <w:u w:val="single" w:color="auto"/>
          <w:color w:val="auto"/>
        </w:rPr>
        <w:t>Borrowers</w:t>
      </w:r>
      <w:r>
        <w:rPr>
          <w:rFonts w:ascii="Arial" w:cs="Arial" w:eastAsia="Arial" w:hAnsi="Arial"/>
          <w:sz w:val="19"/>
          <w:szCs w:val="19"/>
          <w:color w:val="auto"/>
        </w:rPr>
        <w:t xml:space="preserve"> ") and certain Subsidiaries of Parent designated on the signature pages hereto as guarantors (such Subsidiaries are collectively referred to as the "</w:t>
      </w:r>
      <w:r>
        <w:rPr>
          <w:rFonts w:ascii="Arial" w:cs="Arial" w:eastAsia="Arial" w:hAnsi="Arial"/>
          <w:sz w:val="19"/>
          <w:szCs w:val="19"/>
          <w:u w:val="single" w:color="auto"/>
          <w:color w:val="auto"/>
        </w:rPr>
        <w:t>Guarantors</w:t>
      </w:r>
      <w:r>
        <w:rPr>
          <w:rFonts w:ascii="Arial" w:cs="Arial" w:eastAsia="Arial" w:hAnsi="Arial"/>
          <w:sz w:val="19"/>
          <w:szCs w:val="19"/>
          <w:color w:val="auto"/>
        </w:rPr>
        <w:t>" and together with the Borrowers, such Guarantors are collectively referred to as the "</w:t>
      </w:r>
      <w:r>
        <w:rPr>
          <w:rFonts w:ascii="Arial" w:cs="Arial" w:eastAsia="Arial" w:hAnsi="Arial"/>
          <w:sz w:val="19"/>
          <w:szCs w:val="19"/>
          <w:u w:val="single" w:color="auto"/>
          <w:color w:val="auto"/>
        </w:rPr>
        <w:t>Loan Parties</w:t>
      </w:r>
      <w:r>
        <w:rPr>
          <w:rFonts w:ascii="Arial" w:cs="Arial" w:eastAsia="Arial" w:hAnsi="Arial"/>
          <w:sz w:val="19"/>
          <w:szCs w:val="19"/>
          <w:color w:val="auto"/>
        </w:rPr>
        <w:t>").</w:t>
      </w:r>
    </w:p>
    <w:p>
      <w:pPr>
        <w:spacing w:after="0" w:line="15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WHEREAS, the Borrowers, Agent, and the Lenders are parties to that certain Third Amended and Restated Loan and Security Agreement dated as of January 17, 2017 (as amended, restated, modified or supplemented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and</w:t>
      </w:r>
    </w:p>
    <w:p>
      <w:pPr>
        <w:spacing w:after="0" w:line="186"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WHEREAS, the Borrowers have requested that the Lenders agree to amend the Credit Agreement in certain respects as set forth herein, and the Lenders have agreed to the foregoing, on the terms and conditions set forth herein;</w:t>
      </w:r>
    </w:p>
    <w:p>
      <w:pPr>
        <w:spacing w:after="0" w:line="10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NOW THEREFORE, in consideration of the premises and mutual agreements herein contained, the parties hereto agree as follows:</w:t>
      </w:r>
    </w:p>
    <w:p>
      <w:pPr>
        <w:spacing w:after="0" w:line="175" w:lineRule="exact"/>
        <w:rPr>
          <w:sz w:val="20"/>
          <w:szCs w:val="20"/>
          <w:color w:val="auto"/>
        </w:rPr>
      </w:pPr>
    </w:p>
    <w:p>
      <w:pPr>
        <w:ind w:firstLine="1505"/>
        <w:spacing w:after="0" w:line="250" w:lineRule="auto"/>
        <w:tabs>
          <w:tab w:leader="none" w:pos="2036"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Unless otherwise defined herein, capitalized terms used herein and not otherwise defined shall have the meanings ascribed to such terms in the Credit Agreement.</w:t>
      </w:r>
    </w:p>
    <w:p>
      <w:pPr>
        <w:spacing w:after="0" w:line="174" w:lineRule="exact"/>
        <w:rPr>
          <w:rFonts w:ascii="Arial" w:cs="Arial" w:eastAsia="Arial" w:hAnsi="Arial"/>
          <w:sz w:val="22"/>
          <w:szCs w:val="22"/>
          <w:color w:val="auto"/>
        </w:rPr>
      </w:pPr>
    </w:p>
    <w:p>
      <w:pPr>
        <w:jc w:val="both"/>
        <w:ind w:firstLine="1505"/>
        <w:spacing w:after="0" w:line="238" w:lineRule="auto"/>
        <w:tabs>
          <w:tab w:leader="none" w:pos="2036"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Amendment to Credit Agreement</w:t>
      </w:r>
      <w:r>
        <w:rPr>
          <w:rFonts w:ascii="Arial" w:cs="Arial" w:eastAsia="Arial" w:hAnsi="Arial"/>
          <w:sz w:val="22"/>
          <w:szCs w:val="22"/>
          <w:color w:val="auto"/>
        </w:rPr>
        <w:t xml:space="preserve">. In reliance upon the representations and warranties of the Borrowers set forth in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and subject to the satisfaction of the conditions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below, the Credit Agreement is hereby amended, which amendment shall first take effect of the date the conditions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below are satisfied, as follows:</w:t>
      </w:r>
    </w:p>
    <w:p>
      <w:pPr>
        <w:spacing w:after="0" w:line="185" w:lineRule="exact"/>
        <w:rPr>
          <w:sz w:val="20"/>
          <w:szCs w:val="20"/>
          <w:color w:val="auto"/>
        </w:rPr>
      </w:pPr>
    </w:p>
    <w:p>
      <w:pPr>
        <w:jc w:val="both"/>
        <w:ind w:firstLine="1505"/>
        <w:spacing w:after="0" w:line="252" w:lineRule="auto"/>
        <w:tabs>
          <w:tab w:leader="none" w:pos="2036"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the Credit Agreement (excluding schedules and exhibits other than described in this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is hereby amended to delete the stricken text (indicated textually in the same manner as the following example: </w:t>
      </w:r>
      <w:r>
        <w:rPr>
          <w:rFonts w:ascii="Arial" w:cs="Arial" w:eastAsia="Arial" w:hAnsi="Arial"/>
          <w:sz w:val="21"/>
          <w:szCs w:val="21"/>
          <w:color w:val="FF0000"/>
          <w:strike w:val="1"/>
        </w:rPr>
        <w:t>stricken text</w:t>
      </w:r>
      <w:r>
        <w:rPr>
          <w:rFonts w:ascii="Arial" w:cs="Arial" w:eastAsia="Arial" w:hAnsi="Arial"/>
          <w:sz w:val="21"/>
          <w:szCs w:val="21"/>
          <w:color w:val="auto"/>
        </w:rPr>
        <w:t xml:space="preserve">) and to add the double-underlined text (indicated textually in the same manner as the following example: </w:t>
      </w:r>
      <w:r>
        <w:rPr>
          <w:rFonts w:ascii="Arial" w:cs="Arial" w:eastAsia="Arial" w:hAnsi="Arial"/>
          <w:sz w:val="21"/>
          <w:szCs w:val="21"/>
          <w:u w:val="single" w:color="auto"/>
          <w:color w:val="0F14E1"/>
        </w:rPr>
        <w:t>double-underlined text</w:t>
      </w:r>
      <w:r>
        <w:rPr>
          <w:rFonts w:ascii="Arial" w:cs="Arial" w:eastAsia="Arial" w:hAnsi="Arial"/>
          <w:sz w:val="21"/>
          <w:szCs w:val="21"/>
          <w:color w:val="auto"/>
        </w:rPr>
        <w:t>) as reflected in the modifications set forth in the document attached hereto as Exhibit A.</w:t>
      </w:r>
    </w:p>
    <w:p>
      <w:pPr>
        <w:spacing w:after="0" w:line="173" w:lineRule="exact"/>
        <w:rPr>
          <w:rFonts w:ascii="Arial" w:cs="Arial" w:eastAsia="Arial" w:hAnsi="Arial"/>
          <w:sz w:val="21"/>
          <w:szCs w:val="21"/>
          <w:color w:val="auto"/>
        </w:rPr>
      </w:pPr>
    </w:p>
    <w:p>
      <w:pPr>
        <w:ind w:left="2040" w:hanging="535"/>
        <w:spacing w:after="0"/>
        <w:tabs>
          <w:tab w:leader="none" w:pos="20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Exhibit L-1 to the Credit Agreement is hereby deleted in its entirety.</w:t>
      </w:r>
    </w:p>
    <w:p>
      <w:pPr>
        <w:spacing w:after="0" w:line="206" w:lineRule="exact"/>
        <w:rPr>
          <w:rFonts w:ascii="Arial" w:cs="Arial" w:eastAsia="Arial" w:hAnsi="Arial"/>
          <w:sz w:val="22"/>
          <w:szCs w:val="22"/>
          <w:color w:val="auto"/>
        </w:rPr>
      </w:pPr>
    </w:p>
    <w:p>
      <w:pPr>
        <w:ind w:left="2040" w:hanging="535"/>
        <w:spacing w:after="0"/>
        <w:tabs>
          <w:tab w:leader="none" w:pos="20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A new Exhibit S-1 to the Credit Agreement is hereby added as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w:t>
      </w:r>
    </w:p>
    <w:p>
      <w:pPr>
        <w:spacing w:after="0" w:line="240" w:lineRule="exact"/>
        <w:rPr>
          <w:rFonts w:ascii="Arial" w:cs="Arial" w:eastAsia="Arial" w:hAnsi="Arial"/>
          <w:sz w:val="19"/>
          <w:szCs w:val="19"/>
          <w:color w:val="auto"/>
        </w:rPr>
      </w:pPr>
    </w:p>
    <w:p>
      <w:pPr>
        <w:jc w:val="both"/>
        <w:ind w:firstLine="1505"/>
        <w:spacing w:after="0" w:line="235" w:lineRule="auto"/>
        <w:tabs>
          <w:tab w:leader="none" w:pos="2036"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SOFR Conversion.</w:t>
      </w:r>
      <w:r>
        <w:rPr>
          <w:rFonts w:ascii="Arial" w:cs="Arial" w:eastAsia="Arial" w:hAnsi="Arial"/>
          <w:sz w:val="22"/>
          <w:szCs w:val="22"/>
          <w:color w:val="auto"/>
        </w:rPr>
        <w:t xml:space="preserve"> Upon the effectiveness of this Amendment on the date hereof, all outstanding LIBOR Rate Loans (as defined in the Credit Agreement immediately prior to giving effect to this Amendment) are hereby converted to SOFR Loans with an Interest Period of 1 month (the "</w:t>
      </w:r>
      <w:r>
        <w:rPr>
          <w:rFonts w:ascii="Arial" w:cs="Arial" w:eastAsia="Arial" w:hAnsi="Arial"/>
          <w:sz w:val="22"/>
          <w:szCs w:val="22"/>
          <w:u w:val="single" w:color="auto"/>
          <w:color w:val="auto"/>
        </w:rPr>
        <w:t>SOFR Conversion</w:t>
      </w:r>
      <w:r>
        <w:rPr>
          <w:rFonts w:ascii="Arial" w:cs="Arial" w:eastAsia="Arial" w:hAnsi="Arial"/>
          <w:sz w:val="22"/>
          <w:szCs w:val="22"/>
          <w:color w:val="auto"/>
        </w:rPr>
        <w:t>"). Notwithstanding anything to the contrary set forth in the Credit Agreement as in effect immediately prior to giving effect to this Amendment, no amounts shall be owed by Borrowers in respect of any Funding Losses (as defined in the Credit Agreement immediately prior to giving effect to this Amendment) associated with the SOFR Conversion.</w:t>
      </w:r>
    </w:p>
    <w:p>
      <w:pPr>
        <w:spacing w:after="0" w:line="191" w:lineRule="exact"/>
        <w:rPr>
          <w:sz w:val="20"/>
          <w:szCs w:val="20"/>
          <w:color w:val="auto"/>
        </w:rPr>
      </w:pPr>
    </w:p>
    <w:p>
      <w:pPr>
        <w:ind w:left="40"/>
        <w:spacing w:after="0"/>
        <w:tabs>
          <w:tab w:leader="none" w:pos="8620" w:val="left"/>
        </w:tabs>
        <w:rPr>
          <w:sz w:val="20"/>
          <w:szCs w:val="20"/>
          <w:color w:val="auto"/>
        </w:rPr>
      </w:pPr>
      <w:r>
        <w:rPr>
          <w:rFonts w:ascii="Arial" w:cs="Arial" w:eastAsia="Arial" w:hAnsi="Arial"/>
          <w:sz w:val="14"/>
          <w:szCs w:val="14"/>
          <w:color w:val="auto"/>
        </w:rPr>
        <w:t>DOCPROPERTY DMNumber 14080564 DOCPROPERTY DMVersionNumber v4 DOCPROPERTY DocNumberSuffix  5/26/2023 12:58 PM</w:t>
      </w:r>
      <w:r>
        <w:rPr>
          <w:sz w:val="20"/>
          <w:szCs w:val="20"/>
          <w:color w:val="auto"/>
        </w:rPr>
        <w:tab/>
      </w:r>
      <w:r>
        <w:rPr>
          <w:rFonts w:ascii="Arial" w:cs="Arial" w:eastAsia="Arial" w:hAnsi="Arial"/>
          <w:sz w:val="12"/>
          <w:szCs w:val="12"/>
          <w:color w:val="auto"/>
        </w:rPr>
        <w:t>1989.539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 w:name="page42"/>
    <w:bookmarkEnd w:id="41"/>
    <w:p>
      <w:pPr>
        <w:jc w:val="both"/>
        <w:ind w:firstLine="1505"/>
        <w:spacing w:after="0" w:line="252" w:lineRule="auto"/>
        <w:tabs>
          <w:tab w:leader="none" w:pos="2036"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Continuing Effect</w:t>
      </w:r>
      <w:r>
        <w:rPr>
          <w:rFonts w:ascii="Arial" w:cs="Arial" w:eastAsia="Arial" w:hAnsi="Arial"/>
          <w:sz w:val="21"/>
          <w:szCs w:val="21"/>
          <w:color w:val="auto"/>
        </w:rPr>
        <w:t xml:space="preserve">. Except as expressly set forth in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of this Amendment, nothing in this Amendment shall constitute a modification or alteration of the terms, conditions or covenants of the Credit Agreement or any other Loan Document, or a waiver of any other terms or provisions thereof, and the Credit Agreement and the other Loan Documents shall remain unchanged and shall continue in full force and effect, in each case as amended hereby.</w:t>
      </w:r>
    </w:p>
    <w:p>
      <w:pPr>
        <w:spacing w:after="0" w:line="173" w:lineRule="exact"/>
        <w:rPr>
          <w:rFonts w:ascii="Arial" w:cs="Arial" w:eastAsia="Arial" w:hAnsi="Arial"/>
          <w:sz w:val="21"/>
          <w:szCs w:val="21"/>
          <w:color w:val="auto"/>
        </w:rPr>
      </w:pPr>
    </w:p>
    <w:p>
      <w:pPr>
        <w:jc w:val="both"/>
        <w:ind w:firstLine="1505"/>
        <w:spacing w:after="0" w:line="279" w:lineRule="auto"/>
        <w:tabs>
          <w:tab w:leader="none" w:pos="2036"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Reaffirmation and Confirmation</w:t>
      </w:r>
      <w:r>
        <w:rPr>
          <w:rFonts w:ascii="Arial" w:cs="Arial" w:eastAsia="Arial" w:hAnsi="Arial"/>
          <w:sz w:val="19"/>
          <w:szCs w:val="19"/>
          <w:color w:val="auto"/>
        </w:rPr>
        <w:t>. Each Loan Party hereby ratifies, affirms, acknowledges and agrees that the Credit Agreement and the other Loan Documents to which it is a party represent the valid, enforceable and collectible obligations of such Loan Party, and further acknowledges that there are no existing claims, defenses, personal or otherwise, or rights of setoff whatsoever with respect to the Credit Agreement or any other Loan Document. Each Loan Party hereby agrees that this Amendment in no way acts as a release or relinquishment of the Liens and rights securing payments of the Obligations. The Liens and rights securing payment of the Obligations are hereby ratified and confirmed by each Loan Party in all respects.</w:t>
      </w:r>
    </w:p>
    <w:p>
      <w:pPr>
        <w:spacing w:after="0" w:line="150" w:lineRule="exact"/>
        <w:rPr>
          <w:rFonts w:ascii="Arial" w:cs="Arial" w:eastAsia="Arial" w:hAnsi="Arial"/>
          <w:sz w:val="19"/>
          <w:szCs w:val="19"/>
          <w:color w:val="auto"/>
        </w:rPr>
      </w:pPr>
    </w:p>
    <w:p>
      <w:pPr>
        <w:jc w:val="both"/>
        <w:ind w:firstLine="1505"/>
        <w:spacing w:after="0" w:line="257" w:lineRule="auto"/>
        <w:tabs>
          <w:tab w:leader="none" w:pos="2036"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Conditions to Effectiveness</w:t>
      </w:r>
      <w:r>
        <w:rPr>
          <w:rFonts w:ascii="Arial" w:cs="Arial" w:eastAsia="Arial" w:hAnsi="Arial"/>
          <w:sz w:val="21"/>
          <w:szCs w:val="21"/>
          <w:color w:val="auto"/>
        </w:rPr>
        <w:t xml:space="preserve">. This Amendment shall become effective, and the amendment to the Credit Agreement set forth in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above shall, in each case, become operative, as of the date hereof upon Agent's receipt of a copy of this Amendment executed and delivered by Agent, the Lenders and the Loan Parties.</w:t>
      </w:r>
    </w:p>
    <w:p>
      <w:pPr>
        <w:spacing w:after="0" w:line="169" w:lineRule="exact"/>
        <w:rPr>
          <w:rFonts w:ascii="Arial" w:cs="Arial" w:eastAsia="Arial" w:hAnsi="Arial"/>
          <w:sz w:val="21"/>
          <w:szCs w:val="21"/>
          <w:color w:val="auto"/>
        </w:rPr>
      </w:pPr>
    </w:p>
    <w:p>
      <w:pPr>
        <w:ind w:firstLine="1505"/>
        <w:spacing w:after="0" w:line="250" w:lineRule="auto"/>
        <w:tabs>
          <w:tab w:leader="none" w:pos="203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In order to induce Agent and the Lenders to enter into this Amendment, each Loan Party hereby represents and warrants to Agent and the Lenders that:</w:t>
      </w:r>
    </w:p>
    <w:p>
      <w:pPr>
        <w:spacing w:after="0" w:line="175" w:lineRule="exact"/>
        <w:rPr>
          <w:sz w:val="20"/>
          <w:szCs w:val="20"/>
          <w:color w:val="auto"/>
        </w:rPr>
      </w:pPr>
    </w:p>
    <w:p>
      <w:pPr>
        <w:jc w:val="both"/>
        <w:ind w:firstLine="1505"/>
        <w:spacing w:after="0" w:line="277" w:lineRule="auto"/>
        <w:tabs>
          <w:tab w:leader="none" w:pos="2036" w:val="left"/>
        </w:tabs>
        <w:numPr>
          <w:ilvl w:val="0"/>
          <w:numId w:val="19"/>
        </w:numPr>
        <w:rPr>
          <w:rFonts w:ascii="Arial" w:cs="Arial" w:eastAsia="Arial" w:hAnsi="Arial"/>
          <w:sz w:val="19"/>
          <w:szCs w:val="19"/>
          <w:color w:val="auto"/>
        </w:rPr>
      </w:pPr>
      <w:r>
        <w:rPr>
          <w:rFonts w:ascii="Arial" w:cs="Arial" w:eastAsia="Arial" w:hAnsi="Arial"/>
          <w:sz w:val="19"/>
          <w:szCs w:val="19"/>
          <w:color w:val="auto"/>
        </w:rPr>
        <w:t>after giving effect to this Amendment, all representations and warranties contained in the Loan Documents to which such Loan Party is a party are true, correct and complete in all material respects (except that such materiality qualifier shall not be applicable to any representations and warranties that already are qualified or modified by materiality in the text thereof) on and as of the date of this Amendment, as though made on and as of such date (except to the extent that such representations and warranties relate solely to an earlier date, in which case such representations and warranties shall be true, correct and complete in all material respects (except that such materiality qualifier shall not be applicable to any representations and warranties that already are qualified or modified by materiality in the text thereof) on and as of such earlier date);</w:t>
      </w:r>
    </w:p>
    <w:p>
      <w:pPr>
        <w:spacing w:after="0" w:line="151" w:lineRule="exact"/>
        <w:rPr>
          <w:rFonts w:ascii="Arial" w:cs="Arial" w:eastAsia="Arial" w:hAnsi="Arial"/>
          <w:sz w:val="19"/>
          <w:szCs w:val="19"/>
          <w:color w:val="auto"/>
        </w:rPr>
      </w:pPr>
    </w:p>
    <w:p>
      <w:pPr>
        <w:ind w:left="2040" w:hanging="535"/>
        <w:spacing w:after="0"/>
        <w:tabs>
          <w:tab w:leader="none" w:pos="20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or will exist after this Amendment becomes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effective; and</w:t>
      </w:r>
    </w:p>
    <w:p>
      <w:pPr>
        <w:spacing w:after="0" w:line="188" w:lineRule="exact"/>
        <w:rPr>
          <w:rFonts w:ascii="Arial" w:cs="Arial" w:eastAsia="Arial" w:hAnsi="Arial"/>
          <w:sz w:val="19"/>
          <w:szCs w:val="19"/>
          <w:color w:val="auto"/>
        </w:rPr>
      </w:pPr>
    </w:p>
    <w:p>
      <w:pPr>
        <w:jc w:val="both"/>
        <w:ind w:firstLine="1505"/>
        <w:spacing w:after="0" w:line="238" w:lineRule="auto"/>
        <w:tabs>
          <w:tab w:leader="none" w:pos="2036"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this Amendment and the Loan Documents, as amended hereby, constitute legal, valid and binding obligations of such Loan Party and are enforceable against such Loan Party in accordance with their respective terms, except as enforcement may be limited by equitable principles or by bankruptcy, insolvency, reorganization, moratorium or similar laws relating to or limiting creditors' rights generally.</w:t>
      </w:r>
    </w:p>
    <w:p>
      <w:pPr>
        <w:spacing w:after="0" w:line="185" w:lineRule="exact"/>
        <w:rPr>
          <w:sz w:val="20"/>
          <w:szCs w:val="20"/>
          <w:color w:val="auto"/>
        </w:rPr>
      </w:pPr>
    </w:p>
    <w:p>
      <w:pPr>
        <w:ind w:left="2040" w:hanging="535"/>
        <w:spacing w:after="0"/>
        <w:tabs>
          <w:tab w:leader="none" w:pos="204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Borrowers jointly and severally agree to pay, promptly after demand therefor is made by Agent, all reasonable and documented out-of-pocket costs and expenses of Agent (including reasonable attorneys' fees of a single firm of counsel to Agent) incurred in connection with the preparation, negotiation, execution, delivery and administration of this Amendment and all other instruments or documents provided for herein or delivered or to be delivered hereunder or in connection herewith. All obligations provided herein shall survive any termination of this Amendment and the Credit Agreement as amended hereby.</w:t>
      </w:r>
    </w:p>
    <w:p>
      <w:pPr>
        <w:spacing w:after="0" w:line="187" w:lineRule="exact"/>
        <w:rPr>
          <w:rFonts w:ascii="Arial" w:cs="Arial" w:eastAsia="Arial" w:hAnsi="Arial"/>
          <w:sz w:val="22"/>
          <w:szCs w:val="22"/>
          <w:color w:val="auto"/>
        </w:rPr>
      </w:pPr>
    </w:p>
    <w:p>
      <w:pPr>
        <w:jc w:val="both"/>
        <w:ind w:firstLine="1505"/>
        <w:spacing w:after="0"/>
        <w:tabs>
          <w:tab w:leader="none" w:pos="203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Choice of Law and Venue; Jury Trial Waiver; Reference Provision</w:t>
      </w:r>
      <w:r>
        <w:rPr>
          <w:rFonts w:ascii="Arial" w:cs="Arial" w:eastAsia="Arial" w:hAnsi="Arial"/>
          <w:sz w:val="22"/>
          <w:szCs w:val="22"/>
          <w:color w:val="auto"/>
        </w:rPr>
        <w:t>. Without limiting the applicability of any other provision of the Credit Agreement or any other Loan Document, the terms and provisions set forth in Section 13 of the Credit Agreement are expressly incorporated herein by reference.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2" w:name="page43"/>
    <w:bookmarkEnd w:id="42"/>
    <w:p>
      <w:pPr>
        <w:jc w:val="both"/>
        <w:ind w:firstLine="1505"/>
        <w:spacing w:after="0" w:line="272" w:lineRule="auto"/>
        <w:tabs>
          <w:tab w:leader="none" w:pos="2036"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Counterparts; Electronic Execution</w:t>
      </w:r>
      <w:r>
        <w:rPr>
          <w:rFonts w:ascii="Arial" w:cs="Arial" w:eastAsia="Arial" w:hAnsi="Arial"/>
          <w:sz w:val="19"/>
          <w:szCs w:val="19"/>
          <w:color w:val="auto"/>
        </w:rPr>
        <w:t>. This Amendment may be executed in any number of counterparts and by different parties on separate counterparts, each of which, when executed and delivered, shall be deemed to be an original, and all of which, when taken together, shall constitute but one and the same Amendment. Execution of any such counterpart may be by means of (a) an electronic signature that complies with the federal Electronic Signatures in Global and National Commerce Act, as in effect from time to time, state enactments of the Uniform Electronic Transactions Act, as in effect from time to time,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Agent reserves the right, in its discretion, to accept, deny, or condition acceptance of any electronic signature on this Amendment. Any party delivering an executed counterpart of this Amendment by faxed, scanned or photocopied manual signature shall also deliver an original manually executed counterpart, but the failure to deliver an original manually executed counterpart shall not affect the validity, enforceability and binding effect of this Amendment.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3" w:name="page44"/>
    <w:bookmarkEnd w:id="43"/>
    <w:p>
      <w:pPr>
        <w:ind w:firstLine="1497"/>
        <w:spacing w:after="0" w:line="250" w:lineRule="auto"/>
        <w:rPr>
          <w:sz w:val="20"/>
          <w:szCs w:val="20"/>
          <w:color w:val="auto"/>
        </w:rPr>
      </w:pPr>
      <w:r>
        <w:rPr>
          <w:rFonts w:ascii="Arial" w:cs="Arial" w:eastAsia="Arial" w:hAnsi="Arial"/>
          <w:sz w:val="22"/>
          <w:szCs w:val="22"/>
          <w:color w:val="auto"/>
        </w:rPr>
        <w:t>IN WITNESS WHEREOF, the parties hereto have caused this Amendment to be executed by their respective officers thereunto duly authorized and delivered as of the date first above written.</w:t>
      </w:r>
    </w:p>
    <w:p>
      <w:pPr>
        <w:spacing w:after="0" w:line="317"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BORROWERS:</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LSB INDUSTRIES, INC.</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CHEMEX I CORP.</w:t>
      </w:r>
    </w:p>
    <w:p>
      <w:pPr>
        <w:ind w:left="5200"/>
        <w:spacing w:after="0" w:line="230" w:lineRule="auto"/>
        <w:rPr>
          <w:sz w:val="20"/>
          <w:szCs w:val="20"/>
          <w:color w:val="auto"/>
        </w:rPr>
      </w:pPr>
      <w:r>
        <w:rPr>
          <w:rFonts w:ascii="Arial" w:cs="Arial" w:eastAsia="Arial" w:hAnsi="Arial"/>
          <w:sz w:val="22"/>
          <w:szCs w:val="22"/>
          <w:b w:val="1"/>
          <w:bCs w:val="1"/>
          <w:color w:val="auto"/>
        </w:rPr>
        <w:t>CHEROKEE NITROGEN LLC</w:t>
      </w:r>
    </w:p>
    <w:p>
      <w:pPr>
        <w:ind w:left="5200"/>
        <w:spacing w:after="0" w:line="231" w:lineRule="auto"/>
        <w:rPr>
          <w:sz w:val="20"/>
          <w:szCs w:val="20"/>
          <w:color w:val="auto"/>
        </w:rPr>
      </w:pPr>
      <w:r>
        <w:rPr>
          <w:rFonts w:ascii="Arial" w:cs="Arial" w:eastAsia="Arial" w:hAnsi="Arial"/>
          <w:sz w:val="22"/>
          <w:szCs w:val="22"/>
          <w:b w:val="1"/>
          <w:bCs w:val="1"/>
          <w:color w:val="auto"/>
        </w:rPr>
        <w:t>EDC AG PRODUCTS COMPANY L.L.C.</w:t>
      </w:r>
    </w:p>
    <w:p>
      <w:pPr>
        <w:ind w:left="5200"/>
        <w:spacing w:after="0" w:line="230" w:lineRule="auto"/>
        <w:rPr>
          <w:sz w:val="20"/>
          <w:szCs w:val="20"/>
          <w:color w:val="auto"/>
        </w:rPr>
      </w:pPr>
      <w:r>
        <w:rPr>
          <w:rFonts w:ascii="Arial" w:cs="Arial" w:eastAsia="Arial" w:hAnsi="Arial"/>
          <w:sz w:val="22"/>
          <w:szCs w:val="22"/>
          <w:b w:val="1"/>
          <w:bCs w:val="1"/>
          <w:color w:val="auto"/>
        </w:rPr>
        <w:t>EL DORADO AMMONIA L.L.C.</w:t>
      </w:r>
    </w:p>
    <w:p>
      <w:pPr>
        <w:ind w:left="5200"/>
        <w:spacing w:after="0" w:line="231" w:lineRule="auto"/>
        <w:rPr>
          <w:sz w:val="20"/>
          <w:szCs w:val="20"/>
          <w:color w:val="auto"/>
        </w:rPr>
      </w:pPr>
      <w:r>
        <w:rPr>
          <w:rFonts w:ascii="Arial" w:cs="Arial" w:eastAsia="Arial" w:hAnsi="Arial"/>
          <w:sz w:val="22"/>
          <w:szCs w:val="22"/>
          <w:b w:val="1"/>
          <w:bCs w:val="1"/>
          <w:color w:val="auto"/>
        </w:rPr>
        <w:t>EL DORADO CHEMICAL COMPANY</w:t>
      </w:r>
    </w:p>
    <w:p>
      <w:pPr>
        <w:ind w:left="5200"/>
        <w:spacing w:after="0" w:line="230" w:lineRule="auto"/>
        <w:rPr>
          <w:sz w:val="20"/>
          <w:szCs w:val="20"/>
          <w:color w:val="auto"/>
        </w:rPr>
      </w:pPr>
      <w:r>
        <w:rPr>
          <w:rFonts w:ascii="Arial" w:cs="Arial" w:eastAsia="Arial" w:hAnsi="Arial"/>
          <w:sz w:val="22"/>
          <w:szCs w:val="22"/>
          <w:b w:val="1"/>
          <w:bCs w:val="1"/>
          <w:color w:val="auto"/>
        </w:rPr>
        <w:t>EL DORADO NITROGEN, L.L.C.</w:t>
      </w:r>
    </w:p>
    <w:p>
      <w:pPr>
        <w:ind w:left="5200"/>
        <w:spacing w:after="0" w:line="231" w:lineRule="auto"/>
        <w:rPr>
          <w:sz w:val="20"/>
          <w:szCs w:val="20"/>
          <w:color w:val="auto"/>
        </w:rPr>
      </w:pPr>
      <w:r>
        <w:rPr>
          <w:rFonts w:ascii="Arial" w:cs="Arial" w:eastAsia="Arial" w:hAnsi="Arial"/>
          <w:sz w:val="22"/>
          <w:szCs w:val="22"/>
          <w:b w:val="1"/>
          <w:bCs w:val="1"/>
          <w:color w:val="auto"/>
        </w:rPr>
        <w:t>LSB CHEMICAL L.L.C.</w:t>
      </w:r>
    </w:p>
    <w:p>
      <w:pPr>
        <w:ind w:left="5200"/>
        <w:spacing w:after="0" w:line="230" w:lineRule="auto"/>
        <w:rPr>
          <w:sz w:val="20"/>
          <w:szCs w:val="20"/>
          <w:color w:val="auto"/>
        </w:rPr>
      </w:pPr>
      <w:r>
        <w:rPr>
          <w:rFonts w:ascii="Arial" w:cs="Arial" w:eastAsia="Arial" w:hAnsi="Arial"/>
          <w:sz w:val="22"/>
          <w:szCs w:val="22"/>
          <w:b w:val="1"/>
          <w:bCs w:val="1"/>
          <w:color w:val="auto"/>
        </w:rPr>
        <w:t>PRYOR CHEMICAL COMPANY</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TRISON CONSTRUCTION, INC.</w:t>
      </w: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Kristy Carver</w:t>
      </w:r>
    </w:p>
    <w:p>
      <w:pPr>
        <w:spacing w:after="0" w:line="8" w:lineRule="exact"/>
        <w:rPr>
          <w:sz w:val="20"/>
          <w:szCs w:val="20"/>
          <w:color w:val="auto"/>
        </w:rPr>
      </w:pPr>
    </w:p>
    <w:p>
      <w:pPr>
        <w:ind w:left="5200"/>
        <w:spacing w:after="0"/>
        <w:tabs>
          <w:tab w:leader="none" w:pos="6040" w:val="left"/>
        </w:tabs>
        <w:rPr>
          <w:sz w:val="20"/>
          <w:szCs w:val="20"/>
          <w:color w:val="auto"/>
        </w:rPr>
      </w:pPr>
      <w:r>
        <w:rPr>
          <w:rFonts w:ascii="Arial" w:cs="Arial" w:eastAsia="Arial" w:hAnsi="Arial"/>
          <w:sz w:val="22"/>
          <w:szCs w:val="22"/>
          <w:color w:val="auto"/>
        </w:rPr>
        <w:t>Name:</w:t>
        <w:tab/>
        <w:t>Kristy Carver</w:t>
      </w:r>
    </w:p>
    <w:p>
      <w:pPr>
        <w:spacing w:after="0" w:line="3" w:lineRule="exact"/>
        <w:rPr>
          <w:sz w:val="20"/>
          <w:szCs w:val="20"/>
          <w:color w:val="auto"/>
        </w:rPr>
      </w:pPr>
    </w:p>
    <w:p>
      <w:pPr>
        <w:ind w:left="5200"/>
        <w:spacing w:after="0"/>
        <w:tabs>
          <w:tab w:leader="none" w:pos="60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Senior Vice President, Treasurer</w:t>
      </w:r>
    </w:p>
    <w:p>
      <w:pPr>
        <w:spacing w:after="0" w:line="4"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and Assistant Secretary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Sixth Amendment to Third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4" w:name="page45"/>
    <w:bookmarkEnd w:id="44"/>
    <w:p>
      <w:pPr>
        <w:ind w:left="5160"/>
        <w:spacing w:after="0"/>
        <w:rPr>
          <w:sz w:val="20"/>
          <w:szCs w:val="20"/>
          <w:color w:val="auto"/>
        </w:rPr>
      </w:pPr>
      <w:r>
        <w:rPr>
          <w:rFonts w:ascii="Arial" w:cs="Arial" w:eastAsia="Arial" w:hAnsi="Arial"/>
          <w:sz w:val="22"/>
          <w:szCs w:val="22"/>
          <w:b w:val="1"/>
          <w:bCs w:val="1"/>
          <w:color w:val="auto"/>
        </w:rPr>
        <w:t>AGENT AND LENDERS:</w:t>
      </w:r>
    </w:p>
    <w:p>
      <w:pPr>
        <w:spacing w:after="0" w:line="233"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WELLS FARGO CAPITAL FINANCE, LLC</w:t>
      </w:r>
      <w:r>
        <w:rPr>
          <w:rFonts w:ascii="Arial" w:cs="Arial" w:eastAsia="Arial" w:hAnsi="Arial"/>
          <w:sz w:val="22"/>
          <w:szCs w:val="22"/>
          <w:color w:val="auto"/>
        </w:rPr>
        <w:t>, as Agent</w:t>
      </w:r>
    </w:p>
    <w:p>
      <w:pPr>
        <w:spacing w:after="0" w:line="200" w:lineRule="exact"/>
        <w:rPr>
          <w:sz w:val="20"/>
          <w:szCs w:val="20"/>
          <w:color w:val="auto"/>
        </w:rPr>
      </w:pPr>
    </w:p>
    <w:p>
      <w:pPr>
        <w:spacing w:after="0" w:line="282"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Andrew Leblanc</w:t>
      </w:r>
    </w:p>
    <w:p>
      <w:pPr>
        <w:spacing w:after="0" w:line="8" w:lineRule="exact"/>
        <w:rPr>
          <w:sz w:val="20"/>
          <w:szCs w:val="20"/>
          <w:color w:val="auto"/>
        </w:rPr>
      </w:pPr>
    </w:p>
    <w:p>
      <w:pPr>
        <w:ind w:left="5160"/>
        <w:spacing w:after="0"/>
        <w:tabs>
          <w:tab w:leader="none" w:pos="6000" w:val="left"/>
        </w:tabs>
        <w:rPr>
          <w:sz w:val="20"/>
          <w:szCs w:val="20"/>
          <w:color w:val="auto"/>
        </w:rPr>
      </w:pPr>
      <w:r>
        <w:rPr>
          <w:rFonts w:ascii="Arial" w:cs="Arial" w:eastAsia="Arial" w:hAnsi="Arial"/>
          <w:sz w:val="22"/>
          <w:szCs w:val="22"/>
          <w:color w:val="auto"/>
        </w:rPr>
        <w:t>Name:</w:t>
        <w:tab/>
        <w:t>Andrew Leblanc</w:t>
      </w:r>
    </w:p>
    <w:p>
      <w:pPr>
        <w:spacing w:after="0" w:line="3" w:lineRule="exact"/>
        <w:rPr>
          <w:sz w:val="20"/>
          <w:szCs w:val="20"/>
          <w:color w:val="auto"/>
        </w:rPr>
      </w:pPr>
    </w:p>
    <w:p>
      <w:pPr>
        <w:ind w:left="5160"/>
        <w:spacing w:after="0"/>
        <w:tabs>
          <w:tab w:leader="none" w:pos="6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line="256" w:lineRule="auto"/>
        <w:rPr>
          <w:sz w:val="20"/>
          <w:szCs w:val="20"/>
          <w:color w:val="auto"/>
        </w:rPr>
      </w:pPr>
      <w:r>
        <w:rPr>
          <w:rFonts w:ascii="Arial" w:cs="Arial" w:eastAsia="Arial" w:hAnsi="Arial"/>
          <w:sz w:val="22"/>
          <w:szCs w:val="22"/>
          <w:b w:val="1"/>
          <w:bCs w:val="1"/>
          <w:color w:val="auto"/>
        </w:rPr>
        <w:t>WELLS FARGO BANK, NATIONAL ASSOCIATION</w:t>
      </w:r>
      <w:r>
        <w:rPr>
          <w:rFonts w:ascii="Arial" w:cs="Arial" w:eastAsia="Arial" w:hAnsi="Arial"/>
          <w:sz w:val="22"/>
          <w:szCs w:val="22"/>
          <w:color w:val="auto"/>
        </w:rPr>
        <w:t>, as a</w:t>
      </w:r>
      <w:r>
        <w:rPr>
          <w:rFonts w:ascii="Arial" w:cs="Arial" w:eastAsia="Arial" w:hAnsi="Arial"/>
          <w:sz w:val="22"/>
          <w:szCs w:val="22"/>
          <w:b w:val="1"/>
          <w:bCs w:val="1"/>
          <w:color w:val="auto"/>
        </w:rPr>
        <w:t xml:space="preserve"> </w:t>
      </w:r>
      <w:r>
        <w:rPr>
          <w:rFonts w:ascii="Arial" w:cs="Arial" w:eastAsia="Arial" w:hAnsi="Arial"/>
          <w:sz w:val="22"/>
          <w:szCs w:val="22"/>
          <w:color w:val="auto"/>
        </w:rPr>
        <w:t>Lender</w:t>
      </w:r>
    </w:p>
    <w:p>
      <w:pPr>
        <w:spacing w:after="0" w:line="200" w:lineRule="exact"/>
        <w:rPr>
          <w:sz w:val="20"/>
          <w:szCs w:val="20"/>
          <w:color w:val="auto"/>
        </w:rPr>
      </w:pPr>
    </w:p>
    <w:p>
      <w:pPr>
        <w:spacing w:after="0" w:line="23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Andrew Leblanc</w:t>
      </w:r>
    </w:p>
    <w:p>
      <w:pPr>
        <w:ind w:left="5160"/>
        <w:spacing w:after="0" w:line="238" w:lineRule="auto"/>
        <w:tabs>
          <w:tab w:leader="none" w:pos="6000" w:val="left"/>
        </w:tabs>
        <w:rPr>
          <w:sz w:val="20"/>
          <w:szCs w:val="20"/>
          <w:color w:val="auto"/>
        </w:rPr>
      </w:pPr>
      <w:r>
        <w:rPr>
          <w:rFonts w:ascii="Arial" w:cs="Arial" w:eastAsia="Arial" w:hAnsi="Arial"/>
          <w:sz w:val="22"/>
          <w:szCs w:val="22"/>
          <w:color w:val="auto"/>
        </w:rPr>
        <w:t>Name:</w:t>
        <w:tab/>
        <w:t>Andrew Leblanc</w:t>
      </w:r>
    </w:p>
    <w:p>
      <w:pPr>
        <w:ind w:left="5160"/>
        <w:spacing w:after="0"/>
        <w:tabs>
          <w:tab w:leader="none" w:pos="6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Sixth Amendment to Third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360045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39" w:right="9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Amended Credit Agreement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[attach]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923925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FF0000"/>
          <w:strike w:val="1"/>
        </w:rPr>
        <w:t>CONFORMED – EXECUTION COPY</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0000FF"/>
        </w:rPr>
        <w:t>EXHIBIT A</w:t>
      </w:r>
    </w:p>
    <w:p>
      <w:pPr>
        <w:jc w:val="right"/>
        <w:spacing w:after="0"/>
        <w:rPr>
          <w:sz w:val="20"/>
          <w:szCs w:val="20"/>
          <w:color w:val="auto"/>
        </w:rPr>
      </w:pPr>
      <w:r>
        <w:rPr>
          <w:rFonts w:ascii="Arial" w:cs="Arial" w:eastAsia="Arial" w:hAnsi="Arial"/>
          <w:sz w:val="22"/>
          <w:szCs w:val="22"/>
          <w:b w:val="1"/>
          <w:bCs w:val="1"/>
          <w:u w:val="single" w:color="auto"/>
          <w:color w:val="0000FF"/>
        </w:rPr>
        <w:t>TO SIXTH AMENDMENT TO LOAN AND SECURITY AGREEMENT</w:t>
      </w:r>
    </w:p>
    <w:p>
      <w:pPr>
        <w:spacing w:after="0" w:line="222" w:lineRule="exact"/>
        <w:rPr>
          <w:sz w:val="20"/>
          <w:szCs w:val="20"/>
          <w:color w:val="auto"/>
        </w:rPr>
      </w:pPr>
    </w:p>
    <w:p>
      <w:pPr>
        <w:ind w:left="200" w:right="5260"/>
        <w:spacing w:after="0" w:line="291" w:lineRule="auto"/>
        <w:rPr>
          <w:sz w:val="20"/>
          <w:szCs w:val="20"/>
          <w:color w:val="auto"/>
        </w:rPr>
      </w:pPr>
      <w:r>
        <w:rPr>
          <w:rFonts w:ascii="Arial" w:cs="Arial" w:eastAsia="Arial" w:hAnsi="Arial"/>
          <w:sz w:val="16"/>
          <w:szCs w:val="16"/>
          <w:color w:val="FF0000"/>
          <w:strike w:val="1"/>
        </w:rPr>
        <w:t>First Amendment to Third Amended and Restated Loan and Security Agreement Notification of Address Change dated October 3, 2018 from LSB Industries</w:t>
      </w:r>
    </w:p>
    <w:p>
      <w:pPr>
        <w:ind w:left="200" w:right="5060"/>
        <w:spacing w:after="0" w:line="281" w:lineRule="auto"/>
        <w:rPr>
          <w:sz w:val="20"/>
          <w:szCs w:val="20"/>
          <w:color w:val="auto"/>
        </w:rPr>
      </w:pPr>
      <w:r>
        <w:rPr>
          <w:rFonts w:ascii="Arial" w:cs="Arial" w:eastAsia="Arial" w:hAnsi="Arial"/>
          <w:sz w:val="16"/>
          <w:szCs w:val="16"/>
          <w:color w:val="FF0000"/>
          <w:strike w:val="1"/>
        </w:rPr>
        <w:t>Second Amendment to Third Amended and Restated Loan and Security Agreement Third Amendment to Third Amended and Restated Loan and Security Agreement</w:t>
      </w:r>
    </w:p>
    <w:p>
      <w:pPr>
        <w:spacing w:after="0" w:line="1" w:lineRule="exact"/>
        <w:rPr>
          <w:sz w:val="20"/>
          <w:szCs w:val="20"/>
          <w:color w:val="auto"/>
        </w:rPr>
      </w:pPr>
    </w:p>
    <w:p>
      <w:pPr>
        <w:ind w:left="200" w:right="4180"/>
        <w:spacing w:after="0" w:line="323" w:lineRule="auto"/>
        <w:rPr>
          <w:sz w:val="20"/>
          <w:szCs w:val="20"/>
          <w:color w:val="auto"/>
        </w:rPr>
      </w:pPr>
      <w:r>
        <w:rPr>
          <w:rFonts w:ascii="Arial" w:cs="Arial" w:eastAsia="Arial" w:hAnsi="Arial"/>
          <w:sz w:val="16"/>
          <w:szCs w:val="16"/>
          <w:color w:val="FF0000"/>
          <w:strike w:val="1"/>
        </w:rPr>
        <w:t>Consent and Fourth Amendment to Third Amended and Restated Loan and Security Agreement Fifth Amendment to Third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LOAN AND SECURITY AGREEMENT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LSB INDUSTRIES,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Parent,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EACH OF THE PARENT'S SUBSIDIARIES THAT ARE SIGNATORIES HERETO AS BORROWERS,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Borrowers,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LENDERS THAT ARE FROM TIME TO TIME PARTIES HERETO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the Lenders, and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WELLS FARGO CAPITAL FINANCE, LLC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the Arranger and Administrative Agent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January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DOCPROPERTY DMNumber 14080297 </w:t>
      </w:r>
      <w:r>
        <w:rPr>
          <w:rFonts w:ascii="Arial" w:cs="Arial" w:eastAsia="Arial" w:hAnsi="Arial"/>
          <w:sz w:val="14"/>
          <w:szCs w:val="14"/>
          <w:u w:val="single" w:color="auto"/>
          <w:color w:val="auto"/>
        </w:rPr>
        <w:t>DOCPROPERTY DMVersionNumber v4 DOCPROPERTY DocNumberSuffix  5/26/2023 1:06 PM 1989.539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33"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DEFINITIONS AND CONSTRUCTION.   1</w:t>
      </w:r>
    </w:p>
    <w:p>
      <w:pPr>
        <w:spacing w:after="0" w:line="98" w:lineRule="exact"/>
        <w:rPr>
          <w:sz w:val="20"/>
          <w:szCs w:val="20"/>
          <w:color w:val="auto"/>
        </w:rPr>
      </w:pPr>
    </w:p>
    <w:tbl>
      <w:tblPr>
        <w:tblLayout w:type="fixed"/>
        <w:tblInd w:w="820" w:type="dxa"/>
        <w:tblCellMar>
          <w:top w:w="0" w:type="dxa"/>
          <w:left w:w="0" w:type="dxa"/>
          <w:bottom w:w="0" w:type="dxa"/>
          <w:right w:w="0" w:type="dxa"/>
        </w:tblCellMar>
      </w:tblPr>
      <w:tr>
        <w:trPr>
          <w:trHeight w:val="274"/>
        </w:trPr>
        <w:tc>
          <w:tcPr>
            <w:tcW w:w="260" w:type="dxa"/>
            <w:vAlign w:val="bottom"/>
          </w:tcPr>
          <w:p>
            <w:pPr>
              <w:jc w:val="right"/>
              <w:spacing w:after="0"/>
              <w:rPr>
                <w:sz w:val="20"/>
                <w:szCs w:val="20"/>
                <w:color w:val="auto"/>
              </w:rPr>
            </w:pPr>
            <w:r>
              <w:rPr>
                <w:rFonts w:ascii="Arial" w:cs="Arial" w:eastAsia="Arial" w:hAnsi="Arial"/>
                <w:sz w:val="22"/>
                <w:szCs w:val="22"/>
                <w:color w:val="auto"/>
                <w:w w:val="78"/>
              </w:rPr>
              <w:t>1.1</w:t>
            </w:r>
          </w:p>
        </w:tc>
        <w:tc>
          <w:tcPr>
            <w:tcW w:w="1720" w:type="dxa"/>
            <w:vAlign w:val="bottom"/>
            <w:gridSpan w:val="5"/>
          </w:tcPr>
          <w:p>
            <w:pPr>
              <w:ind w:left="420"/>
              <w:spacing w:after="0"/>
              <w:rPr>
                <w:sz w:val="20"/>
                <w:szCs w:val="20"/>
                <w:color w:val="auto"/>
              </w:rPr>
            </w:pPr>
            <w:r>
              <w:rPr>
                <w:rFonts w:ascii="Arial" w:cs="Arial" w:eastAsia="Arial" w:hAnsi="Arial"/>
                <w:sz w:val="22"/>
                <w:szCs w:val="22"/>
                <w:color w:val="auto"/>
              </w:rPr>
              <w:t>Definitions</w:t>
            </w:r>
          </w:p>
        </w:tc>
        <w:tc>
          <w:tcPr>
            <w:tcW w:w="160" w:type="dxa"/>
            <w:vAlign w:val="bottom"/>
          </w:tcPr>
          <w:p>
            <w:pPr>
              <w:spacing w:after="0"/>
              <w:rPr>
                <w:sz w:val="20"/>
                <w:szCs w:val="20"/>
                <w:color w:val="auto"/>
              </w:rPr>
            </w:pPr>
            <w:r>
              <w:rPr>
                <w:rFonts w:ascii="Arial" w:cs="Arial" w:eastAsia="Arial" w:hAnsi="Arial"/>
                <w:sz w:val="22"/>
                <w:szCs w:val="22"/>
                <w:color w:val="auto"/>
              </w:rPr>
              <w:t>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301"/>
        </w:trPr>
        <w:tc>
          <w:tcPr>
            <w:tcW w:w="260" w:type="dxa"/>
            <w:vAlign w:val="bottom"/>
          </w:tcPr>
          <w:p>
            <w:pPr>
              <w:jc w:val="right"/>
              <w:spacing w:after="0"/>
              <w:rPr>
                <w:sz w:val="20"/>
                <w:szCs w:val="20"/>
                <w:color w:val="auto"/>
              </w:rPr>
            </w:pPr>
            <w:r>
              <w:rPr>
                <w:rFonts w:ascii="Arial" w:cs="Arial" w:eastAsia="Arial" w:hAnsi="Arial"/>
                <w:sz w:val="22"/>
                <w:szCs w:val="22"/>
                <w:color w:val="auto"/>
                <w:w w:val="78"/>
              </w:rPr>
              <w:t>1.2</w:t>
            </w:r>
          </w:p>
        </w:tc>
        <w:tc>
          <w:tcPr>
            <w:tcW w:w="2160" w:type="dxa"/>
            <w:vAlign w:val="bottom"/>
            <w:gridSpan w:val="8"/>
          </w:tcPr>
          <w:p>
            <w:pPr>
              <w:ind w:left="420"/>
              <w:spacing w:after="0"/>
              <w:rPr>
                <w:sz w:val="20"/>
                <w:szCs w:val="20"/>
                <w:color w:val="auto"/>
              </w:rPr>
            </w:pPr>
            <w:r>
              <w:rPr>
                <w:rFonts w:ascii="Arial" w:cs="Arial" w:eastAsia="Arial" w:hAnsi="Arial"/>
                <w:sz w:val="22"/>
                <w:szCs w:val="22"/>
                <w:color w:val="auto"/>
                <w:w w:val="96"/>
              </w:rPr>
              <w:t>Accounting Terms</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34</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40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260" w:type="dxa"/>
            <w:vAlign w:val="bottom"/>
          </w:tcPr>
          <w:p>
            <w:pPr>
              <w:jc w:val="right"/>
              <w:spacing w:after="0"/>
              <w:rPr>
                <w:sz w:val="20"/>
                <w:szCs w:val="20"/>
                <w:color w:val="auto"/>
              </w:rPr>
            </w:pPr>
            <w:r>
              <w:rPr>
                <w:rFonts w:ascii="Arial" w:cs="Arial" w:eastAsia="Arial" w:hAnsi="Arial"/>
                <w:sz w:val="22"/>
                <w:szCs w:val="22"/>
                <w:color w:val="auto"/>
                <w:w w:val="78"/>
              </w:rPr>
              <w:t>1.3</w:t>
            </w:r>
          </w:p>
        </w:tc>
        <w:tc>
          <w:tcPr>
            <w:tcW w:w="1280" w:type="dxa"/>
            <w:vAlign w:val="bottom"/>
            <w:gridSpan w:val="3"/>
          </w:tcPr>
          <w:p>
            <w:pPr>
              <w:ind w:left="420"/>
              <w:spacing w:after="0"/>
              <w:rPr>
                <w:sz w:val="20"/>
                <w:szCs w:val="20"/>
                <w:color w:val="auto"/>
              </w:rPr>
            </w:pPr>
            <w:r>
              <w:rPr>
                <w:rFonts w:ascii="Arial" w:cs="Arial" w:eastAsia="Arial" w:hAnsi="Arial"/>
                <w:sz w:val="22"/>
                <w:szCs w:val="22"/>
                <w:color w:val="auto"/>
              </w:rPr>
              <w:t>Code</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34</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40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260" w:type="dxa"/>
            <w:vAlign w:val="bottom"/>
          </w:tcPr>
          <w:p>
            <w:pPr>
              <w:jc w:val="right"/>
              <w:spacing w:after="0"/>
              <w:rPr>
                <w:sz w:val="20"/>
                <w:szCs w:val="20"/>
                <w:color w:val="auto"/>
              </w:rPr>
            </w:pPr>
            <w:r>
              <w:rPr>
                <w:rFonts w:ascii="Arial" w:cs="Arial" w:eastAsia="Arial" w:hAnsi="Arial"/>
                <w:sz w:val="22"/>
                <w:szCs w:val="22"/>
                <w:color w:val="auto"/>
                <w:w w:val="78"/>
              </w:rPr>
              <w:t>1.4</w:t>
            </w:r>
          </w:p>
        </w:tc>
        <w:tc>
          <w:tcPr>
            <w:tcW w:w="1720" w:type="dxa"/>
            <w:vAlign w:val="bottom"/>
            <w:gridSpan w:val="5"/>
          </w:tcPr>
          <w:p>
            <w:pPr>
              <w:ind w:left="420"/>
              <w:spacing w:after="0"/>
              <w:rPr>
                <w:sz w:val="20"/>
                <w:szCs w:val="20"/>
                <w:color w:val="auto"/>
              </w:rPr>
            </w:pPr>
            <w:r>
              <w:rPr>
                <w:rFonts w:ascii="Arial" w:cs="Arial" w:eastAsia="Arial" w:hAnsi="Arial"/>
                <w:sz w:val="22"/>
                <w:szCs w:val="22"/>
                <w:color w:val="auto"/>
              </w:rPr>
              <w:t>Construction</w:t>
            </w:r>
          </w:p>
        </w:tc>
        <w:tc>
          <w:tcPr>
            <w:tcW w:w="220" w:type="dxa"/>
            <w:vAlign w:val="bottom"/>
            <w:gridSpan w:val="2"/>
          </w:tcPr>
          <w:p>
            <w:pPr>
              <w:spacing w:after="0"/>
              <w:rPr>
                <w:sz w:val="20"/>
                <w:szCs w:val="20"/>
                <w:color w:val="auto"/>
              </w:rPr>
            </w:pPr>
            <w:r>
              <w:rPr>
                <w:rFonts w:ascii="Arial" w:cs="Arial" w:eastAsia="Arial" w:hAnsi="Arial"/>
                <w:sz w:val="22"/>
                <w:szCs w:val="22"/>
                <w:color w:val="FF0000"/>
                <w:strike w:val="1"/>
                <w:w w:val="81"/>
              </w:rPr>
              <w:t>34</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40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260" w:type="dxa"/>
            <w:vAlign w:val="bottom"/>
          </w:tcPr>
          <w:p>
            <w:pPr>
              <w:jc w:val="right"/>
              <w:spacing w:after="0"/>
              <w:rPr>
                <w:sz w:val="20"/>
                <w:szCs w:val="20"/>
                <w:color w:val="auto"/>
              </w:rPr>
            </w:pPr>
            <w:r>
              <w:rPr>
                <w:rFonts w:ascii="Arial" w:cs="Arial" w:eastAsia="Arial" w:hAnsi="Arial"/>
                <w:sz w:val="22"/>
                <w:szCs w:val="22"/>
                <w:color w:val="auto"/>
                <w:w w:val="78"/>
              </w:rPr>
              <w:t>1.5</w:t>
            </w:r>
          </w:p>
        </w:tc>
        <w:tc>
          <w:tcPr>
            <w:tcW w:w="2580" w:type="dxa"/>
            <w:vAlign w:val="bottom"/>
            <w:gridSpan w:val="10"/>
          </w:tcPr>
          <w:p>
            <w:pPr>
              <w:ind w:left="420"/>
              <w:spacing w:after="0"/>
              <w:rPr>
                <w:sz w:val="20"/>
                <w:szCs w:val="20"/>
                <w:color w:val="auto"/>
              </w:rPr>
            </w:pPr>
            <w:r>
              <w:rPr>
                <w:rFonts w:ascii="Arial" w:cs="Arial" w:eastAsia="Arial" w:hAnsi="Arial"/>
                <w:sz w:val="22"/>
                <w:szCs w:val="22"/>
                <w:color w:val="auto"/>
                <w:w w:val="93"/>
              </w:rPr>
              <w:t>Schedules and Exhibits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35</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41</w:t>
            </w:r>
          </w:p>
        </w:tc>
      </w:tr>
      <w:tr>
        <w:trPr>
          <w:trHeight w:val="331"/>
        </w:trPr>
        <w:tc>
          <w:tcPr>
            <w:tcW w:w="260" w:type="dxa"/>
            <w:vAlign w:val="bottom"/>
          </w:tcPr>
          <w:p>
            <w:pPr>
              <w:jc w:val="right"/>
              <w:spacing w:after="0"/>
              <w:rPr>
                <w:sz w:val="20"/>
                <w:szCs w:val="20"/>
                <w:color w:val="auto"/>
              </w:rPr>
            </w:pPr>
            <w:r>
              <w:rPr>
                <w:rFonts w:ascii="Arial" w:cs="Arial" w:eastAsia="Arial" w:hAnsi="Arial"/>
                <w:sz w:val="22"/>
                <w:szCs w:val="22"/>
                <w:color w:val="0000FF"/>
                <w:w w:val="78"/>
              </w:rPr>
              <w:t>1.</w:t>
            </w:r>
            <w:r>
              <w:rPr>
                <w:rFonts w:ascii="Arial" w:cs="Arial" w:eastAsia="Arial" w:hAnsi="Arial"/>
                <w:sz w:val="22"/>
                <w:szCs w:val="22"/>
                <w:u w:val="single" w:color="auto"/>
                <w:color w:val="0000FF"/>
                <w:w w:val="78"/>
              </w:rPr>
              <w:t>6</w:t>
            </w:r>
          </w:p>
        </w:tc>
        <w:tc>
          <w:tcPr>
            <w:tcW w:w="420" w:type="dxa"/>
            <w:vAlign w:val="bottom"/>
          </w:tcPr>
          <w:p>
            <w:pPr>
              <w:spacing w:after="0"/>
              <w:rPr>
                <w:sz w:val="24"/>
                <w:szCs w:val="24"/>
                <w:color w:val="auto"/>
              </w:rPr>
            </w:pPr>
          </w:p>
        </w:tc>
        <w:tc>
          <w:tcPr>
            <w:tcW w:w="1740" w:type="dxa"/>
            <w:vAlign w:val="bottom"/>
            <w:gridSpan w:val="7"/>
          </w:tcPr>
          <w:p>
            <w:pPr>
              <w:spacing w:after="0"/>
              <w:rPr>
                <w:sz w:val="20"/>
                <w:szCs w:val="20"/>
                <w:color w:val="auto"/>
              </w:rPr>
            </w:pPr>
            <w:r>
              <w:rPr>
                <w:rFonts w:ascii="Arial" w:cs="Arial" w:eastAsia="Arial" w:hAnsi="Arial"/>
                <w:sz w:val="22"/>
                <w:szCs w:val="22"/>
                <w:color w:val="0000FF"/>
              </w:rPr>
              <w:t>Time References</w:t>
            </w:r>
          </w:p>
        </w:tc>
        <w:tc>
          <w:tcPr>
            <w:tcW w:w="200" w:type="dxa"/>
            <w:vAlign w:val="bottom"/>
          </w:tcPr>
          <w:p>
            <w:pPr>
              <w:jc w:val="right"/>
              <w:spacing w:after="0"/>
              <w:rPr>
                <w:sz w:val="20"/>
                <w:szCs w:val="20"/>
                <w:color w:val="auto"/>
              </w:rPr>
            </w:pPr>
            <w:r>
              <w:rPr>
                <w:rFonts w:ascii="Arial" w:cs="Arial" w:eastAsia="Arial" w:hAnsi="Arial"/>
                <w:sz w:val="22"/>
                <w:szCs w:val="22"/>
                <w:color w:val="0000FF"/>
                <w:w w:val="73"/>
              </w:rPr>
              <w:t>41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260" w:type="dxa"/>
            <w:vAlign w:val="bottom"/>
            <w:tcBorders>
              <w:top w:val="single" w:sz="8" w:color="0000FF"/>
            </w:tcBorders>
          </w:tcPr>
          <w:p>
            <w:pPr>
              <w:jc w:val="right"/>
              <w:spacing w:after="0"/>
              <w:rPr>
                <w:sz w:val="20"/>
                <w:szCs w:val="20"/>
                <w:color w:val="auto"/>
              </w:rPr>
            </w:pPr>
            <w:r>
              <w:rPr>
                <w:rFonts w:ascii="Arial" w:cs="Arial" w:eastAsia="Arial" w:hAnsi="Arial"/>
                <w:sz w:val="22"/>
                <w:szCs w:val="22"/>
                <w:color w:val="0000FF"/>
                <w:w w:val="78"/>
              </w:rPr>
              <w:t>1.</w:t>
            </w:r>
            <w:r>
              <w:rPr>
                <w:rFonts w:ascii="Arial" w:cs="Arial" w:eastAsia="Arial" w:hAnsi="Arial"/>
                <w:sz w:val="22"/>
                <w:szCs w:val="22"/>
                <w:u w:val="single" w:color="auto"/>
                <w:color w:val="0000FF"/>
                <w:w w:val="78"/>
              </w:rPr>
              <w:t>7</w:t>
            </w:r>
          </w:p>
        </w:tc>
        <w:tc>
          <w:tcPr>
            <w:tcW w:w="420" w:type="dxa"/>
            <w:vAlign w:val="bottom"/>
          </w:tcPr>
          <w:p>
            <w:pPr>
              <w:spacing w:after="0"/>
              <w:rPr>
                <w:sz w:val="24"/>
                <w:szCs w:val="24"/>
                <w:color w:val="auto"/>
              </w:rPr>
            </w:pPr>
          </w:p>
        </w:tc>
        <w:tc>
          <w:tcPr>
            <w:tcW w:w="860" w:type="dxa"/>
            <w:vAlign w:val="bottom"/>
            <w:tcBorders>
              <w:top w:val="single" w:sz="8" w:color="0000FF"/>
            </w:tcBorders>
            <w:gridSpan w:val="2"/>
          </w:tcPr>
          <w:p>
            <w:pPr>
              <w:spacing w:after="0"/>
              <w:rPr>
                <w:sz w:val="20"/>
                <w:szCs w:val="20"/>
                <w:color w:val="auto"/>
              </w:rPr>
            </w:pPr>
            <w:r>
              <w:rPr>
                <w:rFonts w:ascii="Arial" w:cs="Arial" w:eastAsia="Arial" w:hAnsi="Arial"/>
                <w:sz w:val="22"/>
                <w:szCs w:val="22"/>
                <w:color w:val="0000FF"/>
              </w:rPr>
              <w:t>Rates</w:t>
            </w:r>
          </w:p>
        </w:tc>
        <w:tc>
          <w:tcPr>
            <w:tcW w:w="220" w:type="dxa"/>
            <w:vAlign w:val="bottom"/>
            <w:tcBorders>
              <w:top w:val="single" w:sz="8" w:color="0000FF"/>
            </w:tcBorders>
          </w:tcPr>
          <w:p>
            <w:pPr>
              <w:jc w:val="right"/>
              <w:spacing w:after="0"/>
              <w:rPr>
                <w:sz w:val="20"/>
                <w:szCs w:val="20"/>
                <w:color w:val="auto"/>
              </w:rPr>
            </w:pPr>
            <w:r>
              <w:rPr>
                <w:rFonts w:ascii="Arial" w:cs="Arial" w:eastAsia="Arial" w:hAnsi="Arial"/>
                <w:sz w:val="22"/>
                <w:szCs w:val="22"/>
                <w:color w:val="0000FF"/>
                <w:w w:val="81"/>
              </w:rPr>
              <w:t>41</w:t>
            </w: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14"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LOAN AND TERMS OF PAYMENT.  </w:t>
      </w:r>
      <w:r>
        <w:rPr>
          <w:rFonts w:ascii="Arial" w:cs="Arial" w:eastAsia="Arial" w:hAnsi="Arial"/>
          <w:sz w:val="22"/>
          <w:szCs w:val="22"/>
          <w:color w:val="FF0000"/>
          <w:strike w:val="1"/>
        </w:rPr>
        <w:t>35</w:t>
      </w:r>
      <w:r>
        <w:rPr>
          <w:rFonts w:ascii="Arial" w:cs="Arial" w:eastAsia="Arial" w:hAnsi="Arial"/>
          <w:sz w:val="22"/>
          <w:szCs w:val="22"/>
          <w:u w:val="single" w:color="auto"/>
          <w:color w:val="0000FF"/>
        </w:rPr>
        <w:t>42</w:t>
      </w:r>
    </w:p>
    <w:p>
      <w:pPr>
        <w:spacing w:after="0" w:line="98" w:lineRule="exact"/>
        <w:rPr>
          <w:rFonts w:ascii="Arial" w:cs="Arial" w:eastAsia="Arial" w:hAnsi="Arial"/>
          <w:sz w:val="22"/>
          <w:szCs w:val="22"/>
          <w:color w:val="auto"/>
        </w:rPr>
      </w:pPr>
    </w:p>
    <w:p>
      <w:pPr>
        <w:ind w:left="820"/>
        <w:spacing w:after="0"/>
        <w:rPr>
          <w:rFonts w:ascii="Arial" w:cs="Arial" w:eastAsia="Arial" w:hAnsi="Arial"/>
          <w:sz w:val="22"/>
          <w:szCs w:val="22"/>
          <w:color w:val="auto"/>
        </w:rPr>
      </w:pPr>
      <w:r>
        <w:rPr>
          <w:rFonts w:ascii="Arial" w:cs="Arial" w:eastAsia="Arial" w:hAnsi="Arial"/>
          <w:sz w:val="22"/>
          <w:szCs w:val="22"/>
          <w:color w:val="auto"/>
        </w:rPr>
        <w:t>2.1Advances.</w:t>
      </w:r>
      <w:r>
        <w:rPr>
          <w:rFonts w:ascii="Arial" w:cs="Arial" w:eastAsia="Arial" w:hAnsi="Arial"/>
          <w:sz w:val="19"/>
          <w:szCs w:val="19"/>
          <w:color w:val="FF0000"/>
          <w:strike w:val="1"/>
        </w:rPr>
        <w:t>35</w:t>
      </w:r>
      <w:r>
        <w:rPr>
          <w:rFonts w:ascii="Arial" w:cs="Arial" w:eastAsia="Arial" w:hAnsi="Arial"/>
          <w:sz w:val="19"/>
          <w:szCs w:val="19"/>
          <w:u w:val="single" w:color="auto"/>
          <w:color w:val="0000FF"/>
          <w:strike w:val="1"/>
        </w:rPr>
        <w:t>42</w:t>
      </w:r>
    </w:p>
    <w:p>
      <w:pPr>
        <w:spacing w:after="0" w:line="69"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2.2</w:t>
            </w:r>
          </w:p>
        </w:tc>
        <w:tc>
          <w:tcPr>
            <w:tcW w:w="240" w:type="dxa"/>
            <w:vAlign w:val="bottom"/>
          </w:tcPr>
          <w:p>
            <w:pPr>
              <w:ind w:left="160"/>
              <w:spacing w:after="0"/>
              <w:rPr>
                <w:sz w:val="20"/>
                <w:szCs w:val="20"/>
                <w:color w:val="auto"/>
              </w:rPr>
            </w:pPr>
            <w:r>
              <w:rPr>
                <w:rFonts w:ascii="Arial" w:cs="Arial" w:eastAsia="Arial" w:hAnsi="Arial"/>
                <w:sz w:val="22"/>
                <w:szCs w:val="22"/>
                <w:color w:val="auto"/>
                <w:w w:val="97"/>
              </w:rPr>
              <w:t>[</w:t>
            </w:r>
          </w:p>
        </w:tc>
        <w:tc>
          <w:tcPr>
            <w:tcW w:w="1860" w:type="dxa"/>
            <w:vAlign w:val="bottom"/>
            <w:gridSpan w:val="8"/>
          </w:tcPr>
          <w:p>
            <w:pPr>
              <w:jc w:val="center"/>
              <w:spacing w:after="0"/>
              <w:rPr>
                <w:sz w:val="20"/>
                <w:szCs w:val="20"/>
                <w:color w:val="auto"/>
              </w:rPr>
            </w:pPr>
            <w:r>
              <w:rPr>
                <w:rFonts w:ascii="Arial" w:cs="Arial" w:eastAsia="Arial" w:hAnsi="Arial"/>
                <w:sz w:val="22"/>
                <w:szCs w:val="22"/>
                <w:color w:val="FF0000"/>
                <w:strike w:val="1"/>
                <w:w w:val="92"/>
              </w:rPr>
              <w:t>intentionally omitted</w:t>
            </w:r>
          </w:p>
        </w:tc>
        <w:tc>
          <w:tcPr>
            <w:tcW w:w="1950" w:type="dxa"/>
            <w:vAlign w:val="bottom"/>
            <w:gridSpan w:val="7"/>
          </w:tcPr>
          <w:p>
            <w:pPr>
              <w:spacing w:after="0"/>
              <w:rPr>
                <w:sz w:val="20"/>
                <w:szCs w:val="20"/>
                <w:color w:val="auto"/>
              </w:rPr>
            </w:pPr>
            <w:r>
              <w:rPr>
                <w:rFonts w:ascii="Arial" w:cs="Arial" w:eastAsia="Arial" w:hAnsi="Arial"/>
                <w:sz w:val="22"/>
                <w:szCs w:val="22"/>
                <w:color w:val="0000FF"/>
                <w:w w:val="91"/>
              </w:rPr>
              <w:t>Intentionally Omitted</w:t>
            </w:r>
            <w:r>
              <w:rPr>
                <w:rFonts w:ascii="Arial" w:cs="Arial" w:eastAsia="Arial" w:hAnsi="Arial"/>
                <w:sz w:val="22"/>
                <w:szCs w:val="22"/>
                <w:color w:val="000000"/>
                <w:w w:val="91"/>
              </w:rPr>
              <w:t>].</w:t>
            </w:r>
          </w:p>
        </w:tc>
        <w:tc>
          <w:tcPr>
            <w:tcW w:w="21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38</w:t>
            </w:r>
          </w:p>
        </w:tc>
        <w:tc>
          <w:tcPr>
            <w:tcW w:w="220" w:type="dxa"/>
            <w:vAlign w:val="bottom"/>
          </w:tcPr>
          <w:p>
            <w:pPr>
              <w:jc w:val="right"/>
              <w:spacing w:after="0"/>
              <w:rPr>
                <w:sz w:val="20"/>
                <w:szCs w:val="20"/>
                <w:color w:val="auto"/>
              </w:rPr>
            </w:pPr>
            <w:r>
              <w:rPr>
                <w:rFonts w:ascii="Arial" w:cs="Arial" w:eastAsia="Arial" w:hAnsi="Arial"/>
                <w:sz w:val="22"/>
                <w:szCs w:val="22"/>
                <w:color w:val="0000FF"/>
                <w:w w:val="81"/>
              </w:rPr>
              <w:t>44</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2.3</w:t>
            </w:r>
          </w:p>
        </w:tc>
        <w:tc>
          <w:tcPr>
            <w:tcW w:w="4050" w:type="dxa"/>
            <w:vAlign w:val="bottom"/>
            <w:gridSpan w:val="16"/>
          </w:tcPr>
          <w:p>
            <w:pPr>
              <w:ind w:left="160"/>
              <w:spacing w:after="0"/>
              <w:rPr>
                <w:sz w:val="20"/>
                <w:szCs w:val="20"/>
                <w:color w:val="auto"/>
              </w:rPr>
            </w:pPr>
            <w:r>
              <w:rPr>
                <w:rFonts w:ascii="Arial" w:cs="Arial" w:eastAsia="Arial" w:hAnsi="Arial"/>
                <w:sz w:val="22"/>
                <w:szCs w:val="22"/>
                <w:color w:val="auto"/>
                <w:w w:val="99"/>
              </w:rPr>
              <w:t>Borrowing Procedures and Settlements.</w:t>
            </w:r>
          </w:p>
        </w:tc>
        <w:tc>
          <w:tcPr>
            <w:tcW w:w="210" w:type="dxa"/>
            <w:vAlign w:val="bottom"/>
          </w:tcPr>
          <w:p>
            <w:pPr>
              <w:jc w:val="right"/>
              <w:spacing w:after="0"/>
              <w:rPr>
                <w:sz w:val="20"/>
                <w:szCs w:val="20"/>
                <w:color w:val="auto"/>
              </w:rPr>
            </w:pPr>
            <w:r>
              <w:rPr>
                <w:rFonts w:ascii="Arial" w:cs="Arial" w:eastAsia="Arial" w:hAnsi="Arial"/>
                <w:sz w:val="22"/>
                <w:szCs w:val="22"/>
                <w:color w:val="FF0000"/>
                <w:strike w:val="1"/>
                <w:w w:val="73"/>
              </w:rPr>
              <w:t>38</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45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2.4</w:t>
            </w:r>
          </w:p>
        </w:tc>
        <w:tc>
          <w:tcPr>
            <w:tcW w:w="1460" w:type="dxa"/>
            <w:vAlign w:val="bottom"/>
            <w:gridSpan w:val="5"/>
          </w:tcPr>
          <w:p>
            <w:pPr>
              <w:ind w:left="160"/>
              <w:spacing w:after="0"/>
              <w:rPr>
                <w:sz w:val="20"/>
                <w:szCs w:val="20"/>
                <w:color w:val="auto"/>
              </w:rPr>
            </w:pPr>
            <w:r>
              <w:rPr>
                <w:rFonts w:ascii="Arial" w:cs="Arial" w:eastAsia="Arial" w:hAnsi="Arial"/>
                <w:sz w:val="22"/>
                <w:szCs w:val="22"/>
                <w:color w:val="auto"/>
              </w:rPr>
              <w:t>Payments.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45</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52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2.5</w:t>
            </w:r>
          </w:p>
        </w:tc>
        <w:tc>
          <w:tcPr>
            <w:tcW w:w="1460" w:type="dxa"/>
            <w:vAlign w:val="bottom"/>
            <w:gridSpan w:val="5"/>
          </w:tcPr>
          <w:p>
            <w:pPr>
              <w:ind w:left="160"/>
              <w:spacing w:after="0"/>
              <w:rPr>
                <w:sz w:val="20"/>
                <w:szCs w:val="20"/>
                <w:color w:val="auto"/>
              </w:rPr>
            </w:pPr>
            <w:r>
              <w:rPr>
                <w:rFonts w:ascii="Arial" w:cs="Arial" w:eastAsia="Arial" w:hAnsi="Arial"/>
                <w:sz w:val="22"/>
                <w:szCs w:val="22"/>
                <w:color w:val="auto"/>
                <w:w w:val="90"/>
              </w:rPr>
              <w:t>Overadvances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48</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54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2.6</w:t>
            </w:r>
          </w:p>
        </w:tc>
        <w:tc>
          <w:tcPr>
            <w:tcW w:w="6980" w:type="dxa"/>
            <w:vAlign w:val="bottom"/>
            <w:gridSpan w:val="24"/>
          </w:tcPr>
          <w:p>
            <w:pPr>
              <w:ind w:left="160"/>
              <w:spacing w:after="0"/>
              <w:rPr>
                <w:sz w:val="20"/>
                <w:szCs w:val="20"/>
                <w:color w:val="auto"/>
              </w:rPr>
            </w:pPr>
            <w:r>
              <w:rPr>
                <w:rFonts w:ascii="Arial" w:cs="Arial" w:eastAsia="Arial" w:hAnsi="Arial"/>
                <w:sz w:val="22"/>
                <w:szCs w:val="22"/>
                <w:color w:val="auto"/>
                <w:w w:val="92"/>
              </w:rPr>
              <w:t>Interest Rates and Letter of Credit Fee: Rates, Payments, and Calculations.</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rPr>
              <w:t>48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73"/>
              </w:rPr>
              <w:t>54</w:t>
            </w: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2.7</w:t>
            </w:r>
          </w:p>
        </w:tc>
        <w:tc>
          <w:tcPr>
            <w:tcW w:w="1900" w:type="dxa"/>
            <w:vAlign w:val="bottom"/>
            <w:gridSpan w:val="8"/>
          </w:tcPr>
          <w:p>
            <w:pPr>
              <w:ind w:left="160"/>
              <w:spacing w:after="0"/>
              <w:rPr>
                <w:sz w:val="20"/>
                <w:szCs w:val="20"/>
                <w:color w:val="auto"/>
              </w:rPr>
            </w:pPr>
            <w:r>
              <w:rPr>
                <w:rFonts w:ascii="Arial" w:cs="Arial" w:eastAsia="Arial" w:hAnsi="Arial"/>
                <w:sz w:val="22"/>
                <w:szCs w:val="22"/>
                <w:color w:val="auto"/>
                <w:w w:val="89"/>
              </w:rPr>
              <w:t>Cash Management.</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50</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56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2.8</w:t>
            </w:r>
          </w:p>
        </w:tc>
        <w:tc>
          <w:tcPr>
            <w:tcW w:w="2320" w:type="dxa"/>
            <w:vAlign w:val="bottom"/>
            <w:gridSpan w:val="10"/>
          </w:tcPr>
          <w:p>
            <w:pPr>
              <w:ind w:left="160"/>
              <w:spacing w:after="0"/>
              <w:rPr>
                <w:sz w:val="20"/>
                <w:szCs w:val="20"/>
                <w:color w:val="auto"/>
              </w:rPr>
            </w:pPr>
            <w:r>
              <w:rPr>
                <w:rFonts w:ascii="Arial" w:cs="Arial" w:eastAsia="Arial" w:hAnsi="Arial"/>
                <w:sz w:val="22"/>
                <w:szCs w:val="22"/>
                <w:color w:val="auto"/>
              </w:rPr>
              <w:t>Crediting Payments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51</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57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2.9</w:t>
            </w:r>
          </w:p>
        </w:tc>
        <w:tc>
          <w:tcPr>
            <w:tcW w:w="2320" w:type="dxa"/>
            <w:vAlign w:val="bottom"/>
            <w:gridSpan w:val="10"/>
          </w:tcPr>
          <w:p>
            <w:pPr>
              <w:ind w:left="160"/>
              <w:spacing w:after="0"/>
              <w:rPr>
                <w:sz w:val="20"/>
                <w:szCs w:val="20"/>
                <w:color w:val="auto"/>
              </w:rPr>
            </w:pPr>
            <w:r>
              <w:rPr>
                <w:rFonts w:ascii="Arial" w:cs="Arial" w:eastAsia="Arial" w:hAnsi="Arial"/>
                <w:sz w:val="22"/>
                <w:szCs w:val="22"/>
                <w:color w:val="auto"/>
              </w:rPr>
              <w:t>Designated Account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51</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57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2.10</w:t>
            </w:r>
          </w:p>
        </w:tc>
        <w:tc>
          <w:tcPr>
            <w:tcW w:w="240" w:type="dxa"/>
            <w:vAlign w:val="bottom"/>
          </w:tcPr>
          <w:p>
            <w:pPr>
              <w:spacing w:after="0"/>
              <w:rPr>
                <w:sz w:val="24"/>
                <w:szCs w:val="24"/>
                <w:color w:val="auto"/>
              </w:rPr>
            </w:pPr>
          </w:p>
        </w:tc>
        <w:tc>
          <w:tcPr>
            <w:tcW w:w="5540" w:type="dxa"/>
            <w:vAlign w:val="bottom"/>
            <w:gridSpan w:val="20"/>
          </w:tcPr>
          <w:p>
            <w:pPr>
              <w:ind w:left="320"/>
              <w:spacing w:after="0"/>
              <w:rPr>
                <w:sz w:val="20"/>
                <w:szCs w:val="20"/>
                <w:color w:val="auto"/>
              </w:rPr>
            </w:pPr>
            <w:r>
              <w:rPr>
                <w:rFonts w:ascii="Arial" w:cs="Arial" w:eastAsia="Arial" w:hAnsi="Arial"/>
                <w:sz w:val="22"/>
                <w:szCs w:val="22"/>
                <w:color w:val="auto"/>
                <w:w w:val="93"/>
              </w:rPr>
              <w:t>Maintenance of Loan Account; Statements of Obligations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51</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58</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2.11</w:t>
            </w:r>
          </w:p>
        </w:tc>
        <w:tc>
          <w:tcPr>
            <w:tcW w:w="24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22"/>
                <w:szCs w:val="22"/>
                <w:color w:val="auto"/>
                <w:w w:val="89"/>
              </w:rPr>
              <w:t>Fees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52</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58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2.12</w:t>
            </w:r>
          </w:p>
        </w:tc>
        <w:tc>
          <w:tcPr>
            <w:tcW w:w="240" w:type="dxa"/>
            <w:vAlign w:val="bottom"/>
          </w:tcPr>
          <w:p>
            <w:pPr>
              <w:spacing w:after="0"/>
              <w:rPr>
                <w:sz w:val="24"/>
                <w:szCs w:val="24"/>
                <w:color w:val="auto"/>
              </w:rPr>
            </w:pPr>
          </w:p>
        </w:tc>
        <w:tc>
          <w:tcPr>
            <w:tcW w:w="2080" w:type="dxa"/>
            <w:vAlign w:val="bottom"/>
            <w:gridSpan w:val="9"/>
          </w:tcPr>
          <w:p>
            <w:pPr>
              <w:ind w:left="320"/>
              <w:spacing w:after="0"/>
              <w:rPr>
                <w:sz w:val="20"/>
                <w:szCs w:val="20"/>
                <w:color w:val="auto"/>
              </w:rPr>
            </w:pPr>
            <w:r>
              <w:rPr>
                <w:rFonts w:ascii="Arial" w:cs="Arial" w:eastAsia="Arial" w:hAnsi="Arial"/>
                <w:sz w:val="22"/>
                <w:szCs w:val="22"/>
                <w:color w:val="auto"/>
              </w:rPr>
              <w:t>Letters of Credit.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53</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59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2.13</w:t>
            </w:r>
          </w:p>
        </w:tc>
        <w:tc>
          <w:tcPr>
            <w:tcW w:w="240" w:type="dxa"/>
            <w:vAlign w:val="bottom"/>
          </w:tcPr>
          <w:p>
            <w:pPr>
              <w:spacing w:after="0"/>
              <w:rPr>
                <w:sz w:val="24"/>
                <w:szCs w:val="24"/>
                <w:color w:val="auto"/>
              </w:rPr>
            </w:pPr>
          </w:p>
        </w:tc>
        <w:tc>
          <w:tcPr>
            <w:tcW w:w="960" w:type="dxa"/>
            <w:vAlign w:val="bottom"/>
            <w:gridSpan w:val="2"/>
          </w:tcPr>
          <w:p>
            <w:pPr>
              <w:ind w:left="320"/>
              <w:spacing w:after="0"/>
              <w:rPr>
                <w:sz w:val="20"/>
                <w:szCs w:val="20"/>
                <w:color w:val="auto"/>
              </w:rPr>
            </w:pPr>
            <w:r>
              <w:rPr>
                <w:rFonts w:ascii="Arial" w:cs="Arial" w:eastAsia="Arial" w:hAnsi="Arial"/>
                <w:sz w:val="22"/>
                <w:szCs w:val="22"/>
                <w:color w:val="FF0000"/>
                <w:strike w:val="1"/>
                <w:w w:val="93"/>
              </w:rPr>
              <w:t>LIBOR</w:t>
            </w:r>
          </w:p>
        </w:tc>
        <w:tc>
          <w:tcPr>
            <w:tcW w:w="1560" w:type="dxa"/>
            <w:vAlign w:val="bottom"/>
            <w:gridSpan w:val="9"/>
          </w:tcPr>
          <w:p>
            <w:pPr>
              <w:jc w:val="right"/>
              <w:ind w:right="192"/>
              <w:spacing w:after="0"/>
              <w:rPr>
                <w:sz w:val="20"/>
                <w:szCs w:val="20"/>
                <w:color w:val="auto"/>
              </w:rPr>
            </w:pPr>
            <w:r>
              <w:rPr>
                <w:rFonts w:ascii="Arial" w:cs="Arial" w:eastAsia="Arial" w:hAnsi="Arial"/>
                <w:sz w:val="22"/>
                <w:szCs w:val="22"/>
                <w:color w:val="0000FF"/>
                <w:w w:val="89"/>
              </w:rPr>
              <w:t xml:space="preserve">SOFR </w:t>
            </w:r>
            <w:r>
              <w:rPr>
                <w:rFonts w:ascii="Arial" w:cs="Arial" w:eastAsia="Arial" w:hAnsi="Arial"/>
                <w:sz w:val="22"/>
                <w:szCs w:val="22"/>
                <w:color w:val="000000"/>
                <w:w w:val="89"/>
              </w:rPr>
              <w:t>Option.</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62</w:t>
            </w:r>
          </w:p>
        </w:tc>
        <w:tc>
          <w:tcPr>
            <w:tcW w:w="200" w:type="dxa"/>
            <w:vAlign w:val="bottom"/>
          </w:tcPr>
          <w:p>
            <w:pPr>
              <w:jc w:val="right"/>
              <w:spacing w:after="0"/>
              <w:rPr>
                <w:sz w:val="20"/>
                <w:szCs w:val="20"/>
                <w:color w:val="auto"/>
              </w:rPr>
            </w:pPr>
            <w:r>
              <w:rPr>
                <w:rFonts w:ascii="Arial" w:cs="Arial" w:eastAsia="Arial" w:hAnsi="Arial"/>
                <w:sz w:val="22"/>
                <w:szCs w:val="22"/>
                <w:color w:val="0000FF"/>
                <w:w w:val="73"/>
              </w:rPr>
              <w:t>68</w:t>
            </w:r>
          </w:p>
        </w:tc>
        <w:tc>
          <w:tcPr>
            <w:tcW w:w="7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2.14</w:t>
            </w:r>
          </w:p>
        </w:tc>
        <w:tc>
          <w:tcPr>
            <w:tcW w:w="240" w:type="dxa"/>
            <w:vAlign w:val="bottom"/>
          </w:tcPr>
          <w:p>
            <w:pPr>
              <w:spacing w:after="0"/>
              <w:rPr>
                <w:sz w:val="24"/>
                <w:szCs w:val="24"/>
                <w:color w:val="auto"/>
              </w:rPr>
            </w:pPr>
          </w:p>
        </w:tc>
        <w:tc>
          <w:tcPr>
            <w:tcW w:w="2520" w:type="dxa"/>
            <w:vAlign w:val="bottom"/>
            <w:gridSpan w:val="11"/>
          </w:tcPr>
          <w:p>
            <w:pPr>
              <w:ind w:left="320"/>
              <w:spacing w:after="0"/>
              <w:rPr>
                <w:sz w:val="20"/>
                <w:szCs w:val="20"/>
                <w:color w:val="auto"/>
              </w:rPr>
            </w:pPr>
            <w:r>
              <w:rPr>
                <w:rFonts w:ascii="Arial" w:cs="Arial" w:eastAsia="Arial" w:hAnsi="Arial"/>
                <w:sz w:val="22"/>
                <w:szCs w:val="22"/>
                <w:color w:val="auto"/>
              </w:rPr>
              <w:t>Capital Requirements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65</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73"/>
              </w:rPr>
              <w:t>72</w:t>
            </w:r>
          </w:p>
        </w:tc>
        <w:tc>
          <w:tcPr>
            <w:tcW w:w="7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2.15</w:t>
            </w:r>
          </w:p>
        </w:tc>
        <w:tc>
          <w:tcPr>
            <w:tcW w:w="240" w:type="dxa"/>
            <w:vAlign w:val="bottom"/>
          </w:tcPr>
          <w:p>
            <w:pPr>
              <w:spacing w:after="0"/>
              <w:rPr>
                <w:sz w:val="24"/>
                <w:szCs w:val="24"/>
                <w:color w:val="auto"/>
              </w:rPr>
            </w:pPr>
          </w:p>
        </w:tc>
        <w:tc>
          <w:tcPr>
            <w:tcW w:w="4240" w:type="dxa"/>
            <w:vAlign w:val="bottom"/>
            <w:gridSpan w:val="17"/>
          </w:tcPr>
          <w:p>
            <w:pPr>
              <w:ind w:left="320"/>
              <w:spacing w:after="0"/>
              <w:rPr>
                <w:sz w:val="20"/>
                <w:szCs w:val="20"/>
                <w:color w:val="auto"/>
              </w:rPr>
            </w:pPr>
            <w:r>
              <w:rPr>
                <w:rFonts w:ascii="Arial" w:cs="Arial" w:eastAsia="Arial" w:hAnsi="Arial"/>
                <w:sz w:val="22"/>
                <w:szCs w:val="22"/>
                <w:color w:val="auto"/>
              </w:rPr>
              <w:t>Joint and Several Liability of Borrowers.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65</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73</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14"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CONDITIONS; TERM OF AGREEMENT.  </w:t>
      </w:r>
      <w:r>
        <w:rPr>
          <w:rFonts w:ascii="Arial" w:cs="Arial" w:eastAsia="Arial" w:hAnsi="Arial"/>
          <w:sz w:val="22"/>
          <w:szCs w:val="22"/>
          <w:color w:val="FF0000"/>
          <w:strike w:val="1"/>
        </w:rPr>
        <w:t>67</w:t>
      </w:r>
      <w:r>
        <w:rPr>
          <w:rFonts w:ascii="Arial" w:cs="Arial" w:eastAsia="Arial" w:hAnsi="Arial"/>
          <w:sz w:val="22"/>
          <w:szCs w:val="22"/>
          <w:u w:val="single" w:color="auto"/>
          <w:color w:val="0000FF"/>
        </w:rPr>
        <w:t>75</w:t>
      </w:r>
    </w:p>
    <w:p>
      <w:pPr>
        <w:spacing w:after="0" w:line="69"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3.1</w:t>
            </w:r>
          </w:p>
        </w:tc>
        <w:tc>
          <w:tcPr>
            <w:tcW w:w="280" w:type="dxa"/>
            <w:vAlign w:val="bottom"/>
          </w:tcPr>
          <w:p>
            <w:pPr>
              <w:ind w:left="200"/>
              <w:spacing w:after="0"/>
              <w:rPr>
                <w:sz w:val="20"/>
                <w:szCs w:val="20"/>
                <w:color w:val="auto"/>
              </w:rPr>
            </w:pPr>
            <w:r>
              <w:rPr>
                <w:rFonts w:ascii="Arial" w:cs="Arial" w:eastAsia="Arial" w:hAnsi="Arial"/>
                <w:sz w:val="22"/>
                <w:szCs w:val="22"/>
                <w:color w:val="auto"/>
                <w:w w:val="97"/>
              </w:rPr>
              <w:t>[</w:t>
            </w:r>
          </w:p>
        </w:tc>
        <w:tc>
          <w:tcPr>
            <w:tcW w:w="1800" w:type="dxa"/>
            <w:vAlign w:val="bottom"/>
            <w:gridSpan w:val="4"/>
          </w:tcPr>
          <w:p>
            <w:pPr>
              <w:jc w:val="center"/>
              <w:spacing w:after="0"/>
              <w:rPr>
                <w:sz w:val="20"/>
                <w:szCs w:val="20"/>
                <w:color w:val="auto"/>
              </w:rPr>
            </w:pPr>
            <w:r>
              <w:rPr>
                <w:rFonts w:ascii="Arial" w:cs="Arial" w:eastAsia="Arial" w:hAnsi="Arial"/>
                <w:sz w:val="22"/>
                <w:szCs w:val="22"/>
                <w:color w:val="FF0000"/>
                <w:strike w:val="1"/>
                <w:w w:val="92"/>
              </w:rPr>
              <w:t>intentionally omitted</w:t>
            </w:r>
          </w:p>
        </w:tc>
        <w:tc>
          <w:tcPr>
            <w:tcW w:w="2410" w:type="dxa"/>
            <w:vAlign w:val="bottom"/>
            <w:gridSpan w:val="8"/>
          </w:tcPr>
          <w:p>
            <w:pPr>
              <w:spacing w:after="0"/>
              <w:rPr>
                <w:sz w:val="20"/>
                <w:szCs w:val="20"/>
                <w:color w:val="auto"/>
              </w:rPr>
            </w:pPr>
            <w:r>
              <w:rPr>
                <w:rFonts w:ascii="Arial" w:cs="Arial" w:eastAsia="Arial" w:hAnsi="Arial"/>
                <w:sz w:val="22"/>
                <w:szCs w:val="22"/>
                <w:color w:val="0000FF"/>
              </w:rPr>
              <w:t>Intentionally Omitted</w:t>
            </w:r>
            <w:r>
              <w:rPr>
                <w:rFonts w:ascii="Arial" w:cs="Arial" w:eastAsia="Arial" w:hAnsi="Arial"/>
                <w:sz w:val="22"/>
                <w:szCs w:val="22"/>
                <w:color w:val="000000"/>
              </w:rPr>
              <w:t>].</w:t>
            </w:r>
          </w:p>
        </w:tc>
        <w:tc>
          <w:tcPr>
            <w:tcW w:w="250" w:type="dxa"/>
            <w:vAlign w:val="bottom"/>
          </w:tcPr>
          <w:p>
            <w:pPr>
              <w:jc w:val="right"/>
              <w:spacing w:after="0"/>
              <w:rPr>
                <w:sz w:val="20"/>
                <w:szCs w:val="20"/>
                <w:color w:val="auto"/>
              </w:rPr>
            </w:pPr>
            <w:r>
              <w:rPr>
                <w:rFonts w:ascii="Arial" w:cs="Arial" w:eastAsia="Arial" w:hAnsi="Arial"/>
                <w:sz w:val="22"/>
                <w:szCs w:val="22"/>
                <w:color w:val="FF0000"/>
                <w:strike w:val="1"/>
                <w:w w:val="89"/>
              </w:rPr>
              <w:t>67</w:t>
            </w:r>
          </w:p>
        </w:tc>
        <w:tc>
          <w:tcPr>
            <w:tcW w:w="220" w:type="dxa"/>
            <w:vAlign w:val="bottom"/>
          </w:tcPr>
          <w:p>
            <w:pPr>
              <w:jc w:val="right"/>
              <w:spacing w:after="0"/>
              <w:rPr>
                <w:sz w:val="20"/>
                <w:szCs w:val="20"/>
                <w:color w:val="auto"/>
              </w:rPr>
            </w:pPr>
            <w:r>
              <w:rPr>
                <w:rFonts w:ascii="Arial" w:cs="Arial" w:eastAsia="Arial" w:hAnsi="Arial"/>
                <w:sz w:val="22"/>
                <w:szCs w:val="22"/>
                <w:color w:val="0000FF"/>
                <w:w w:val="81"/>
              </w:rPr>
              <w:t>75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50" w:type="dxa"/>
            <w:vAlign w:val="bottom"/>
          </w:tcPr>
          <w:p>
            <w:pPr>
              <w:spacing w:after="0" w:line="20" w:lineRule="exact"/>
              <w:rPr>
                <w:sz w:val="1"/>
                <w:szCs w:val="1"/>
                <w:color w:val="auto"/>
              </w:rPr>
            </w:pPr>
          </w:p>
        </w:tc>
        <w:tc>
          <w:tcPr>
            <w:tcW w:w="25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3.2</w:t>
            </w:r>
          </w:p>
        </w:tc>
        <w:tc>
          <w:tcPr>
            <w:tcW w:w="4960" w:type="dxa"/>
            <w:vAlign w:val="bottom"/>
            <w:gridSpan w:val="15"/>
          </w:tcPr>
          <w:p>
            <w:pPr>
              <w:ind w:left="200"/>
              <w:spacing w:after="0"/>
              <w:rPr>
                <w:sz w:val="20"/>
                <w:szCs w:val="20"/>
                <w:color w:val="auto"/>
              </w:rPr>
            </w:pPr>
            <w:r>
              <w:rPr>
                <w:rFonts w:ascii="Arial" w:cs="Arial" w:eastAsia="Arial" w:hAnsi="Arial"/>
                <w:sz w:val="22"/>
                <w:szCs w:val="22"/>
                <w:color w:val="auto"/>
                <w:w w:val="93"/>
              </w:rPr>
              <w:t>Conditions Precedent to Restatement Effective Date</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73"/>
              </w:rPr>
              <w:t>75</w:t>
            </w:r>
          </w:p>
        </w:tc>
      </w:tr>
      <w:tr>
        <w:trPr>
          <w:trHeight w:val="331"/>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3.3</w:t>
            </w:r>
          </w:p>
        </w:tc>
        <w:tc>
          <w:tcPr>
            <w:tcW w:w="4490" w:type="dxa"/>
            <w:vAlign w:val="bottom"/>
            <w:gridSpan w:val="13"/>
          </w:tcPr>
          <w:p>
            <w:pPr>
              <w:ind w:left="200"/>
              <w:spacing w:after="0"/>
              <w:rPr>
                <w:sz w:val="20"/>
                <w:szCs w:val="20"/>
                <w:color w:val="auto"/>
              </w:rPr>
            </w:pPr>
            <w:r>
              <w:rPr>
                <w:rFonts w:ascii="Arial" w:cs="Arial" w:eastAsia="Arial" w:hAnsi="Arial"/>
                <w:sz w:val="22"/>
                <w:szCs w:val="22"/>
                <w:color w:val="auto"/>
                <w:w w:val="91"/>
              </w:rPr>
              <w:t>Conditions Precedent to all Extensions of Credit</w:t>
            </w:r>
          </w:p>
        </w:tc>
        <w:tc>
          <w:tcPr>
            <w:tcW w:w="250" w:type="dxa"/>
            <w:vAlign w:val="bottom"/>
          </w:tcPr>
          <w:p>
            <w:pPr>
              <w:jc w:val="right"/>
              <w:spacing w:after="0"/>
              <w:rPr>
                <w:sz w:val="20"/>
                <w:szCs w:val="20"/>
                <w:color w:val="auto"/>
              </w:rPr>
            </w:pPr>
            <w:r>
              <w:rPr>
                <w:rFonts w:ascii="Arial" w:cs="Arial" w:eastAsia="Arial" w:hAnsi="Arial"/>
                <w:sz w:val="22"/>
                <w:szCs w:val="22"/>
                <w:color w:val="FF0000"/>
                <w:strike w:val="1"/>
                <w:w w:val="89"/>
              </w:rPr>
              <w:t>68</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76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3.4</w:t>
            </w:r>
          </w:p>
        </w:tc>
        <w:tc>
          <w:tcPr>
            <w:tcW w:w="1060" w:type="dxa"/>
            <w:vAlign w:val="bottom"/>
            <w:gridSpan w:val="2"/>
          </w:tcPr>
          <w:p>
            <w:pPr>
              <w:ind w:left="200"/>
              <w:spacing w:after="0"/>
              <w:rPr>
                <w:sz w:val="20"/>
                <w:szCs w:val="20"/>
                <w:color w:val="auto"/>
              </w:rPr>
            </w:pPr>
            <w:r>
              <w:rPr>
                <w:rFonts w:ascii="Arial" w:cs="Arial" w:eastAsia="Arial" w:hAnsi="Arial"/>
                <w:sz w:val="22"/>
                <w:szCs w:val="22"/>
                <w:color w:val="auto"/>
              </w:rPr>
              <w:t>Term</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69</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77</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25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3.5</w:t>
            </w:r>
          </w:p>
        </w:tc>
        <w:tc>
          <w:tcPr>
            <w:tcW w:w="2360" w:type="dxa"/>
            <w:vAlign w:val="bottom"/>
            <w:gridSpan w:val="6"/>
          </w:tcPr>
          <w:p>
            <w:pPr>
              <w:ind w:left="200"/>
              <w:spacing w:after="0"/>
              <w:rPr>
                <w:sz w:val="20"/>
                <w:szCs w:val="20"/>
                <w:color w:val="auto"/>
              </w:rPr>
            </w:pPr>
            <w:r>
              <w:rPr>
                <w:rFonts w:ascii="Arial" w:cs="Arial" w:eastAsia="Arial" w:hAnsi="Arial"/>
                <w:sz w:val="22"/>
                <w:szCs w:val="22"/>
                <w:color w:val="auto"/>
              </w:rPr>
              <w:t>Effect of Termination</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69</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77</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30" w:type="dxa"/>
            <w:vAlign w:val="bottom"/>
            <w:gridSpan w:val="2"/>
          </w:tcPr>
          <w:p>
            <w:pPr>
              <w:spacing w:after="0"/>
              <w:rPr>
                <w:sz w:val="24"/>
                <w:szCs w:val="24"/>
                <w:color w:val="auto"/>
              </w:rPr>
            </w:pPr>
          </w:p>
        </w:tc>
        <w:tc>
          <w:tcPr>
            <w:tcW w:w="25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3.6</w:t>
            </w:r>
          </w:p>
        </w:tc>
        <w:tc>
          <w:tcPr>
            <w:tcW w:w="3220" w:type="dxa"/>
            <w:vAlign w:val="bottom"/>
            <w:gridSpan w:val="9"/>
          </w:tcPr>
          <w:p>
            <w:pPr>
              <w:ind w:left="200"/>
              <w:spacing w:after="0"/>
              <w:rPr>
                <w:sz w:val="20"/>
                <w:szCs w:val="20"/>
                <w:color w:val="auto"/>
              </w:rPr>
            </w:pPr>
            <w:r>
              <w:rPr>
                <w:rFonts w:ascii="Arial" w:cs="Arial" w:eastAsia="Arial" w:hAnsi="Arial"/>
                <w:sz w:val="22"/>
                <w:szCs w:val="22"/>
                <w:color w:val="auto"/>
                <w:w w:val="97"/>
              </w:rPr>
              <w:t>Early Termination by Borrowers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69</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77</w:t>
            </w:r>
          </w:p>
        </w:tc>
        <w:tc>
          <w:tcPr>
            <w:tcW w:w="830" w:type="dxa"/>
            <w:vAlign w:val="bottom"/>
            <w:gridSpan w:val="2"/>
          </w:tcPr>
          <w:p>
            <w:pPr>
              <w:spacing w:after="0"/>
              <w:rPr>
                <w:sz w:val="24"/>
                <w:szCs w:val="24"/>
                <w:color w:val="auto"/>
              </w:rPr>
            </w:pPr>
          </w:p>
        </w:tc>
        <w:tc>
          <w:tcPr>
            <w:tcW w:w="25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u w:val="single" w:color="auto"/>
          <w:color w:val="auto"/>
        </w:rPr>
        <w:t>Page</w:t>
      </w:r>
    </w:p>
    <w:p>
      <w:pPr>
        <w:spacing w:after="0" w:line="206"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CREATION OF SECURITY INTEREST.   </w:t>
      </w:r>
      <w:r>
        <w:rPr>
          <w:rFonts w:ascii="Arial" w:cs="Arial" w:eastAsia="Arial" w:hAnsi="Arial"/>
          <w:sz w:val="22"/>
          <w:szCs w:val="22"/>
          <w:color w:val="FF0000"/>
          <w:strike w:val="1"/>
        </w:rPr>
        <w:t>70</w:t>
      </w:r>
      <w:r>
        <w:rPr>
          <w:rFonts w:ascii="Arial" w:cs="Arial" w:eastAsia="Arial" w:hAnsi="Arial"/>
          <w:sz w:val="22"/>
          <w:szCs w:val="22"/>
          <w:u w:val="single" w:color="auto"/>
          <w:color w:val="0000FF"/>
        </w:rPr>
        <w:t>78</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ind w:left="820"/>
              <w:spacing w:after="0"/>
              <w:rPr>
                <w:sz w:val="20"/>
                <w:szCs w:val="20"/>
                <w:color w:val="auto"/>
              </w:rPr>
            </w:pPr>
            <w:r>
              <w:rPr>
                <w:rFonts w:ascii="Arial" w:cs="Arial" w:eastAsia="Arial" w:hAnsi="Arial"/>
                <w:sz w:val="22"/>
                <w:szCs w:val="22"/>
                <w:color w:val="auto"/>
              </w:rPr>
              <w:t>4.1</w:t>
            </w:r>
          </w:p>
        </w:tc>
        <w:tc>
          <w:tcPr>
            <w:tcW w:w="2760" w:type="dxa"/>
            <w:vAlign w:val="bottom"/>
            <w:gridSpan w:val="9"/>
          </w:tcPr>
          <w:p>
            <w:pPr>
              <w:ind w:left="160"/>
              <w:spacing w:after="0"/>
              <w:rPr>
                <w:sz w:val="20"/>
                <w:szCs w:val="20"/>
                <w:color w:val="auto"/>
              </w:rPr>
            </w:pPr>
            <w:r>
              <w:rPr>
                <w:rFonts w:ascii="Arial" w:cs="Arial" w:eastAsia="Arial" w:hAnsi="Arial"/>
                <w:sz w:val="22"/>
                <w:szCs w:val="22"/>
                <w:color w:val="auto"/>
              </w:rPr>
              <w:t>Grant of Security Interest.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73"/>
              </w:rPr>
              <w:t>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4.2</w:t>
            </w:r>
          </w:p>
        </w:tc>
        <w:tc>
          <w:tcPr>
            <w:tcW w:w="2320" w:type="dxa"/>
            <w:vAlign w:val="bottom"/>
            <w:gridSpan w:val="6"/>
          </w:tcPr>
          <w:p>
            <w:pPr>
              <w:ind w:left="160"/>
              <w:spacing w:after="0"/>
              <w:rPr>
                <w:sz w:val="20"/>
                <w:szCs w:val="20"/>
                <w:color w:val="auto"/>
              </w:rPr>
            </w:pPr>
            <w:r>
              <w:rPr>
                <w:rFonts w:ascii="Arial" w:cs="Arial" w:eastAsia="Arial" w:hAnsi="Arial"/>
                <w:sz w:val="22"/>
                <w:szCs w:val="22"/>
                <w:color w:val="auto"/>
              </w:rPr>
              <w:t>Negotiable Collateral</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71</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79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4.3</w:t>
            </w:r>
          </w:p>
        </w:tc>
        <w:tc>
          <w:tcPr>
            <w:tcW w:w="6640" w:type="dxa"/>
            <w:vAlign w:val="bottom"/>
            <w:gridSpan w:val="24"/>
          </w:tcPr>
          <w:p>
            <w:pPr>
              <w:ind w:left="160"/>
              <w:spacing w:after="0"/>
              <w:rPr>
                <w:sz w:val="20"/>
                <w:szCs w:val="20"/>
                <w:color w:val="auto"/>
              </w:rPr>
            </w:pPr>
            <w:r>
              <w:rPr>
                <w:rFonts w:ascii="Arial" w:cs="Arial" w:eastAsia="Arial" w:hAnsi="Arial"/>
                <w:sz w:val="22"/>
                <w:szCs w:val="22"/>
                <w:color w:val="auto"/>
                <w:w w:val="95"/>
              </w:rPr>
              <w:t>Collection of Accounts, General Intangibles, and Negotiable Collateral</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71</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79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4.4</w:t>
            </w:r>
          </w:p>
        </w:tc>
        <w:tc>
          <w:tcPr>
            <w:tcW w:w="7500" w:type="dxa"/>
            <w:vAlign w:val="bottom"/>
            <w:gridSpan w:val="27"/>
          </w:tcPr>
          <w:p>
            <w:pPr>
              <w:ind w:left="160"/>
              <w:spacing w:after="0"/>
              <w:rPr>
                <w:sz w:val="20"/>
                <w:szCs w:val="20"/>
                <w:color w:val="auto"/>
              </w:rPr>
            </w:pPr>
            <w:r>
              <w:rPr>
                <w:rFonts w:ascii="Arial" w:cs="Arial" w:eastAsia="Arial" w:hAnsi="Arial"/>
                <w:sz w:val="22"/>
                <w:szCs w:val="22"/>
                <w:color w:val="auto"/>
                <w:w w:val="95"/>
              </w:rPr>
              <w:t>Filing of Financing Statements; Delivery of Additional Documentation Required.</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71</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79</w:t>
            </w: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4.5</w:t>
            </w:r>
          </w:p>
        </w:tc>
        <w:tc>
          <w:tcPr>
            <w:tcW w:w="1900" w:type="dxa"/>
            <w:vAlign w:val="bottom"/>
            <w:gridSpan w:val="4"/>
          </w:tcPr>
          <w:p>
            <w:pPr>
              <w:ind w:left="160"/>
              <w:spacing w:after="0"/>
              <w:rPr>
                <w:sz w:val="20"/>
                <w:szCs w:val="20"/>
                <w:color w:val="auto"/>
              </w:rPr>
            </w:pPr>
            <w:r>
              <w:rPr>
                <w:rFonts w:ascii="Arial" w:cs="Arial" w:eastAsia="Arial" w:hAnsi="Arial"/>
                <w:sz w:val="22"/>
                <w:szCs w:val="22"/>
                <w:color w:val="auto"/>
                <w:w w:val="98"/>
              </w:rPr>
              <w:t>Power of Attorney</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72</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4.6</w:t>
            </w:r>
          </w:p>
        </w:tc>
        <w:tc>
          <w:tcPr>
            <w:tcW w:w="1900" w:type="dxa"/>
            <w:vAlign w:val="bottom"/>
            <w:gridSpan w:val="4"/>
          </w:tcPr>
          <w:p>
            <w:pPr>
              <w:ind w:left="160"/>
              <w:spacing w:after="0"/>
              <w:rPr>
                <w:sz w:val="20"/>
                <w:szCs w:val="20"/>
                <w:color w:val="auto"/>
              </w:rPr>
            </w:pPr>
            <w:r>
              <w:rPr>
                <w:rFonts w:ascii="Arial" w:cs="Arial" w:eastAsia="Arial" w:hAnsi="Arial"/>
                <w:sz w:val="22"/>
                <w:szCs w:val="22"/>
                <w:color w:val="auto"/>
              </w:rPr>
              <w:t>Right to Inspect</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72</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4.7</w:t>
            </w:r>
          </w:p>
        </w:tc>
        <w:tc>
          <w:tcPr>
            <w:tcW w:w="2320" w:type="dxa"/>
            <w:vAlign w:val="bottom"/>
            <w:gridSpan w:val="6"/>
          </w:tcPr>
          <w:p>
            <w:pPr>
              <w:ind w:left="160"/>
              <w:spacing w:after="0"/>
              <w:rPr>
                <w:sz w:val="20"/>
                <w:szCs w:val="20"/>
                <w:color w:val="auto"/>
              </w:rPr>
            </w:pPr>
            <w:r>
              <w:rPr>
                <w:rFonts w:ascii="Arial" w:cs="Arial" w:eastAsia="Arial" w:hAnsi="Arial"/>
                <w:sz w:val="22"/>
                <w:szCs w:val="22"/>
                <w:color w:val="auto"/>
              </w:rPr>
              <w:t>Control Agreements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72</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4.8</w:t>
            </w:r>
          </w:p>
        </w:tc>
        <w:tc>
          <w:tcPr>
            <w:tcW w:w="1900" w:type="dxa"/>
            <w:vAlign w:val="bottom"/>
            <w:gridSpan w:val="4"/>
          </w:tcPr>
          <w:p>
            <w:pPr>
              <w:ind w:left="160"/>
              <w:spacing w:after="0"/>
              <w:rPr>
                <w:sz w:val="20"/>
                <w:szCs w:val="20"/>
                <w:color w:val="auto"/>
              </w:rPr>
            </w:pPr>
            <w:r>
              <w:rPr>
                <w:rFonts w:ascii="Arial" w:cs="Arial" w:eastAsia="Arial" w:hAnsi="Arial"/>
                <w:sz w:val="22"/>
                <w:szCs w:val="22"/>
                <w:color w:val="auto"/>
              </w:rPr>
              <w:t>Priority of Liens</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73</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4520" w:type="dxa"/>
            <w:vAlign w:val="bottom"/>
            <w:gridSpan w:val="12"/>
          </w:tcPr>
          <w:p>
            <w:pPr>
              <w:spacing w:after="0"/>
              <w:rPr>
                <w:sz w:val="20"/>
                <w:szCs w:val="20"/>
                <w:color w:val="auto"/>
              </w:rPr>
            </w:pPr>
            <w:r>
              <w:rPr>
                <w:rFonts w:ascii="Arial" w:cs="Arial" w:eastAsia="Arial" w:hAnsi="Arial"/>
                <w:sz w:val="22"/>
                <w:szCs w:val="22"/>
                <w:color w:val="auto"/>
                <w:w w:val="98"/>
              </w:rPr>
              <w:t>5.  REPRESENTATIONS AND WARRANTIES.</w:t>
            </w:r>
          </w:p>
        </w:tc>
        <w:tc>
          <w:tcPr>
            <w:tcW w:w="2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22"/>
                <w:szCs w:val="22"/>
                <w:color w:val="FF0000"/>
                <w:strike w:val="1"/>
                <w:w w:val="89"/>
              </w:rPr>
              <w:t>73</w:t>
            </w:r>
          </w:p>
        </w:tc>
        <w:tc>
          <w:tcPr>
            <w:tcW w:w="420" w:type="dxa"/>
            <w:vAlign w:val="bottom"/>
            <w:gridSpan w:val="2"/>
          </w:tcPr>
          <w:p>
            <w:pPr>
              <w:jc w:val="right"/>
              <w:ind w:right="200"/>
              <w:spacing w:after="0"/>
              <w:rPr>
                <w:sz w:val="20"/>
                <w:szCs w:val="20"/>
                <w:color w:val="auto"/>
              </w:rPr>
            </w:pPr>
            <w:r>
              <w:rPr>
                <w:rFonts w:ascii="Arial" w:cs="Arial" w:eastAsia="Arial" w:hAnsi="Arial"/>
                <w:sz w:val="22"/>
                <w:szCs w:val="22"/>
                <w:color w:val="0000FF"/>
                <w:w w:val="81"/>
              </w:rPr>
              <w:t>81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5.1</w:t>
            </w:r>
          </w:p>
        </w:tc>
        <w:tc>
          <w:tcPr>
            <w:tcW w:w="1900" w:type="dxa"/>
            <w:vAlign w:val="bottom"/>
            <w:gridSpan w:val="4"/>
          </w:tcPr>
          <w:p>
            <w:pPr>
              <w:ind w:left="160"/>
              <w:spacing w:after="0"/>
              <w:rPr>
                <w:sz w:val="20"/>
                <w:szCs w:val="20"/>
                <w:color w:val="auto"/>
              </w:rPr>
            </w:pPr>
            <w:r>
              <w:rPr>
                <w:rFonts w:ascii="Arial" w:cs="Arial" w:eastAsia="Arial" w:hAnsi="Arial"/>
                <w:sz w:val="22"/>
                <w:szCs w:val="22"/>
                <w:color w:val="auto"/>
                <w:w w:val="95"/>
              </w:rPr>
              <w:t>No Encumbrances</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73</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5.2</w:t>
            </w:r>
          </w:p>
        </w:tc>
        <w:tc>
          <w:tcPr>
            <w:tcW w:w="1900" w:type="dxa"/>
            <w:vAlign w:val="bottom"/>
            <w:gridSpan w:val="4"/>
          </w:tcPr>
          <w:p>
            <w:pPr>
              <w:ind w:left="160"/>
              <w:spacing w:after="0"/>
              <w:rPr>
                <w:sz w:val="20"/>
                <w:szCs w:val="20"/>
                <w:color w:val="auto"/>
              </w:rPr>
            </w:pPr>
            <w:r>
              <w:rPr>
                <w:rFonts w:ascii="Arial" w:cs="Arial" w:eastAsia="Arial" w:hAnsi="Arial"/>
                <w:sz w:val="22"/>
                <w:szCs w:val="22"/>
                <w:color w:val="auto"/>
              </w:rPr>
              <w:t>Eligible Accounts</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73</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5.3</w:t>
            </w:r>
          </w:p>
        </w:tc>
        <w:tc>
          <w:tcPr>
            <w:tcW w:w="4480" w:type="dxa"/>
            <w:vAlign w:val="bottom"/>
            <w:gridSpan w:val="19"/>
          </w:tcPr>
          <w:p>
            <w:pPr>
              <w:ind w:left="160"/>
              <w:spacing w:after="0"/>
              <w:rPr>
                <w:sz w:val="20"/>
                <w:szCs w:val="20"/>
                <w:color w:val="auto"/>
              </w:rPr>
            </w:pPr>
            <w:r>
              <w:rPr>
                <w:rFonts w:ascii="Arial" w:cs="Arial" w:eastAsia="Arial" w:hAnsi="Arial"/>
                <w:sz w:val="22"/>
                <w:szCs w:val="22"/>
                <w:color w:val="auto"/>
                <w:w w:val="99"/>
              </w:rPr>
              <w:t>Eligible Inventory and Eligible Raw Inventory</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74</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5.4</w:t>
            </w:r>
          </w:p>
        </w:tc>
        <w:tc>
          <w:tcPr>
            <w:tcW w:w="1460" w:type="dxa"/>
            <w:vAlign w:val="bottom"/>
            <w:gridSpan w:val="2"/>
          </w:tcPr>
          <w:p>
            <w:pPr>
              <w:ind w:left="160"/>
              <w:spacing w:after="0"/>
              <w:rPr>
                <w:sz w:val="20"/>
                <w:szCs w:val="20"/>
                <w:color w:val="auto"/>
              </w:rPr>
            </w:pPr>
            <w:r>
              <w:rPr>
                <w:rFonts w:ascii="Arial" w:cs="Arial" w:eastAsia="Arial" w:hAnsi="Arial"/>
                <w:sz w:val="22"/>
                <w:szCs w:val="22"/>
                <w:color w:val="auto"/>
              </w:rPr>
              <w:t>Equipment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74</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5.5</w:t>
            </w:r>
          </w:p>
        </w:tc>
        <w:tc>
          <w:tcPr>
            <w:tcW w:w="2320" w:type="dxa"/>
            <w:vAlign w:val="bottom"/>
            <w:gridSpan w:val="6"/>
          </w:tcPr>
          <w:p>
            <w:pPr>
              <w:ind w:left="160"/>
              <w:spacing w:after="0"/>
              <w:rPr>
                <w:sz w:val="20"/>
                <w:szCs w:val="20"/>
                <w:color w:val="auto"/>
              </w:rPr>
            </w:pPr>
            <w:r>
              <w:rPr>
                <w:rFonts w:ascii="Arial" w:cs="Arial" w:eastAsia="Arial" w:hAnsi="Arial"/>
                <w:sz w:val="22"/>
                <w:szCs w:val="22"/>
                <w:color w:val="auto"/>
              </w:rPr>
              <w:t>Location of Inventory</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74</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5.6</w:t>
            </w:r>
          </w:p>
        </w:tc>
        <w:tc>
          <w:tcPr>
            <w:tcW w:w="1900" w:type="dxa"/>
            <w:vAlign w:val="bottom"/>
            <w:gridSpan w:val="4"/>
          </w:tcPr>
          <w:p>
            <w:pPr>
              <w:ind w:left="160"/>
              <w:spacing w:after="0"/>
              <w:rPr>
                <w:sz w:val="20"/>
                <w:szCs w:val="20"/>
                <w:color w:val="auto"/>
              </w:rPr>
            </w:pPr>
            <w:r>
              <w:rPr>
                <w:rFonts w:ascii="Arial" w:cs="Arial" w:eastAsia="Arial" w:hAnsi="Arial"/>
                <w:sz w:val="22"/>
                <w:szCs w:val="22"/>
                <w:color w:val="auto"/>
                <w:w w:val="96"/>
              </w:rPr>
              <w:t>Inventory Records</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75</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5.7</w:t>
            </w:r>
          </w:p>
        </w:tc>
        <w:tc>
          <w:tcPr>
            <w:tcW w:w="4060" w:type="dxa"/>
            <w:vAlign w:val="bottom"/>
            <w:gridSpan w:val="16"/>
          </w:tcPr>
          <w:p>
            <w:pPr>
              <w:ind w:left="160"/>
              <w:spacing w:after="0"/>
              <w:rPr>
                <w:sz w:val="20"/>
                <w:szCs w:val="20"/>
                <w:color w:val="auto"/>
              </w:rPr>
            </w:pPr>
            <w:r>
              <w:rPr>
                <w:rFonts w:ascii="Arial" w:cs="Arial" w:eastAsia="Arial" w:hAnsi="Arial"/>
                <w:sz w:val="22"/>
                <w:szCs w:val="22"/>
                <w:color w:val="auto"/>
                <w:w w:val="98"/>
              </w:rPr>
              <w:t>Location of Chief Executive Office; FEIN</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75</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83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5.8</w:t>
            </w:r>
          </w:p>
        </w:tc>
        <w:tc>
          <w:tcPr>
            <w:tcW w:w="4480" w:type="dxa"/>
            <w:vAlign w:val="bottom"/>
            <w:gridSpan w:val="19"/>
          </w:tcPr>
          <w:p>
            <w:pPr>
              <w:ind w:left="160"/>
              <w:spacing w:after="0"/>
              <w:rPr>
                <w:sz w:val="20"/>
                <w:szCs w:val="20"/>
                <w:color w:val="auto"/>
              </w:rPr>
            </w:pPr>
            <w:r>
              <w:rPr>
                <w:rFonts w:ascii="Arial" w:cs="Arial" w:eastAsia="Arial" w:hAnsi="Arial"/>
                <w:sz w:val="22"/>
                <w:szCs w:val="22"/>
                <w:color w:val="auto"/>
                <w:w w:val="89"/>
              </w:rPr>
              <w:t>Due Organization and Qualification; Subsidiaries.</w:t>
            </w:r>
          </w:p>
        </w:tc>
        <w:tc>
          <w:tcPr>
            <w:tcW w:w="440" w:type="dxa"/>
            <w:vAlign w:val="bottom"/>
            <w:gridSpan w:val="2"/>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75</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73"/>
              </w:rPr>
              <w:t>83</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5.9</w:t>
            </w:r>
          </w:p>
        </w:tc>
        <w:tc>
          <w:tcPr>
            <w:tcW w:w="3180" w:type="dxa"/>
            <w:vAlign w:val="bottom"/>
            <w:gridSpan w:val="11"/>
          </w:tcPr>
          <w:p>
            <w:pPr>
              <w:ind w:left="160"/>
              <w:spacing w:after="0"/>
              <w:rPr>
                <w:sz w:val="20"/>
                <w:szCs w:val="20"/>
                <w:color w:val="auto"/>
              </w:rPr>
            </w:pPr>
            <w:r>
              <w:rPr>
                <w:rFonts w:ascii="Arial" w:cs="Arial" w:eastAsia="Arial" w:hAnsi="Arial"/>
                <w:sz w:val="22"/>
                <w:szCs w:val="22"/>
                <w:color w:val="auto"/>
                <w:w w:val="99"/>
              </w:rPr>
              <w:t>Due Authorization; No Conflict.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75</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5.10</w:t>
            </w:r>
          </w:p>
        </w:tc>
        <w:tc>
          <w:tcPr>
            <w:tcW w:w="1460" w:type="dxa"/>
            <w:vAlign w:val="bottom"/>
            <w:gridSpan w:val="2"/>
          </w:tcPr>
          <w:p>
            <w:pPr>
              <w:ind w:left="560"/>
              <w:spacing w:after="0"/>
              <w:rPr>
                <w:sz w:val="20"/>
                <w:szCs w:val="20"/>
                <w:color w:val="auto"/>
              </w:rPr>
            </w:pPr>
            <w:r>
              <w:rPr>
                <w:rFonts w:ascii="Arial" w:cs="Arial" w:eastAsia="Arial" w:hAnsi="Arial"/>
                <w:sz w:val="22"/>
                <w:szCs w:val="22"/>
                <w:color w:val="auto"/>
                <w:w w:val="99"/>
              </w:rPr>
              <w:t>Litigation</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76</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5.11</w:t>
            </w:r>
          </w:p>
        </w:tc>
        <w:tc>
          <w:tcPr>
            <w:tcW w:w="3180" w:type="dxa"/>
            <w:vAlign w:val="bottom"/>
            <w:gridSpan w:val="11"/>
          </w:tcPr>
          <w:p>
            <w:pPr>
              <w:ind w:left="560"/>
              <w:spacing w:after="0"/>
              <w:rPr>
                <w:sz w:val="20"/>
                <w:szCs w:val="20"/>
                <w:color w:val="auto"/>
              </w:rPr>
            </w:pPr>
            <w:r>
              <w:rPr>
                <w:rFonts w:ascii="Arial" w:cs="Arial" w:eastAsia="Arial" w:hAnsi="Arial"/>
                <w:sz w:val="22"/>
                <w:szCs w:val="22"/>
                <w:color w:val="auto"/>
                <w:w w:val="92"/>
              </w:rPr>
              <w:t>No Material Adverse Change</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76</w:t>
            </w:r>
          </w:p>
        </w:tc>
        <w:tc>
          <w:tcPr>
            <w:tcW w:w="660" w:type="dxa"/>
            <w:vAlign w:val="bottom"/>
            <w:gridSpan w:val="4"/>
          </w:tcPr>
          <w:p>
            <w:pPr>
              <w:jc w:val="right"/>
              <w:ind w:right="440"/>
              <w:spacing w:after="0"/>
              <w:rPr>
                <w:sz w:val="20"/>
                <w:szCs w:val="20"/>
                <w:color w:val="auto"/>
              </w:rPr>
            </w:pPr>
            <w:r>
              <w:rPr>
                <w:rFonts w:ascii="Arial" w:cs="Arial" w:eastAsia="Arial" w:hAnsi="Arial"/>
                <w:sz w:val="22"/>
                <w:szCs w:val="22"/>
                <w:color w:val="0000FF"/>
                <w:w w:val="81"/>
              </w:rPr>
              <w:t>84</w:t>
            </w:r>
          </w:p>
        </w:tc>
        <w:tc>
          <w:tcPr>
            <w:tcW w:w="2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5.12</w:t>
            </w:r>
          </w:p>
        </w:tc>
        <w:tc>
          <w:tcPr>
            <w:tcW w:w="2320" w:type="dxa"/>
            <w:vAlign w:val="bottom"/>
            <w:gridSpan w:val="6"/>
          </w:tcPr>
          <w:p>
            <w:pPr>
              <w:ind w:left="560"/>
              <w:spacing w:after="0"/>
              <w:rPr>
                <w:sz w:val="20"/>
                <w:szCs w:val="20"/>
                <w:color w:val="auto"/>
              </w:rPr>
            </w:pPr>
            <w:r>
              <w:rPr>
                <w:rFonts w:ascii="Arial" w:cs="Arial" w:eastAsia="Arial" w:hAnsi="Arial"/>
                <w:sz w:val="22"/>
                <w:szCs w:val="22"/>
                <w:color w:val="auto"/>
                <w:w w:val="87"/>
              </w:rPr>
              <w:t>Fraudulent Transfer.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73"/>
              </w:rPr>
              <w:t>84</w:t>
            </w:r>
          </w:p>
        </w:tc>
        <w:tc>
          <w:tcPr>
            <w:tcW w:w="2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5.13</w:t>
            </w:r>
          </w:p>
        </w:tc>
        <w:tc>
          <w:tcPr>
            <w:tcW w:w="2320" w:type="dxa"/>
            <w:vAlign w:val="bottom"/>
            <w:gridSpan w:val="6"/>
          </w:tcPr>
          <w:p>
            <w:pPr>
              <w:ind w:left="560"/>
              <w:spacing w:after="0"/>
              <w:rPr>
                <w:sz w:val="20"/>
                <w:szCs w:val="20"/>
                <w:color w:val="auto"/>
              </w:rPr>
            </w:pPr>
            <w:r>
              <w:rPr>
                <w:rFonts w:ascii="Arial" w:cs="Arial" w:eastAsia="Arial" w:hAnsi="Arial"/>
                <w:sz w:val="22"/>
                <w:szCs w:val="22"/>
                <w:color w:val="auto"/>
                <w:w w:val="94"/>
              </w:rPr>
              <w:t>Employee Benefits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77</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5.14</w:t>
            </w:r>
          </w:p>
        </w:tc>
        <w:tc>
          <w:tcPr>
            <w:tcW w:w="3180" w:type="dxa"/>
            <w:vAlign w:val="bottom"/>
            <w:gridSpan w:val="11"/>
          </w:tcPr>
          <w:p>
            <w:pPr>
              <w:ind w:left="560"/>
              <w:spacing w:after="0"/>
              <w:rPr>
                <w:sz w:val="20"/>
                <w:szCs w:val="20"/>
                <w:color w:val="auto"/>
              </w:rPr>
            </w:pPr>
            <w:r>
              <w:rPr>
                <w:rFonts w:ascii="Arial" w:cs="Arial" w:eastAsia="Arial" w:hAnsi="Arial"/>
                <w:sz w:val="22"/>
                <w:szCs w:val="22"/>
                <w:color w:val="auto"/>
              </w:rPr>
              <w:t>Environmental Condition</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77</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5.15</w:t>
            </w:r>
          </w:p>
        </w:tc>
        <w:tc>
          <w:tcPr>
            <w:tcW w:w="640" w:type="dxa"/>
            <w:vAlign w:val="bottom"/>
          </w:tcPr>
          <w:p>
            <w:pPr>
              <w:ind w:left="560"/>
              <w:spacing w:after="0"/>
              <w:rPr>
                <w:sz w:val="20"/>
                <w:szCs w:val="20"/>
                <w:color w:val="auto"/>
              </w:rPr>
            </w:pPr>
            <w:r>
              <w:rPr>
                <w:rFonts w:ascii="Arial" w:cs="Arial" w:eastAsia="Arial" w:hAnsi="Arial"/>
                <w:sz w:val="22"/>
                <w:szCs w:val="22"/>
                <w:color w:val="auto"/>
                <w:w w:val="97"/>
              </w:rPr>
              <w:t>[</w:t>
            </w:r>
          </w:p>
        </w:tc>
        <w:tc>
          <w:tcPr>
            <w:tcW w:w="1800" w:type="dxa"/>
            <w:vAlign w:val="bottom"/>
            <w:gridSpan w:val="6"/>
          </w:tcPr>
          <w:p>
            <w:pPr>
              <w:spacing w:after="0"/>
              <w:rPr>
                <w:sz w:val="20"/>
                <w:szCs w:val="20"/>
                <w:color w:val="auto"/>
              </w:rPr>
            </w:pPr>
            <w:r>
              <w:rPr>
                <w:rFonts w:ascii="Arial" w:cs="Arial" w:eastAsia="Arial" w:hAnsi="Arial"/>
                <w:sz w:val="22"/>
                <w:szCs w:val="22"/>
                <w:color w:val="FF0000"/>
                <w:strike w:val="1"/>
                <w:w w:val="91"/>
              </w:rPr>
              <w:t>intentionally omitted</w:t>
            </w:r>
          </w:p>
        </w:tc>
        <w:tc>
          <w:tcPr>
            <w:tcW w:w="2040" w:type="dxa"/>
            <w:vAlign w:val="bottom"/>
            <w:gridSpan w:val="12"/>
          </w:tcPr>
          <w:p>
            <w:pPr>
              <w:jc w:val="right"/>
              <w:ind w:right="40"/>
              <w:spacing w:after="0"/>
              <w:rPr>
                <w:sz w:val="20"/>
                <w:szCs w:val="20"/>
                <w:color w:val="auto"/>
              </w:rPr>
            </w:pPr>
            <w:r>
              <w:rPr>
                <w:rFonts w:ascii="Arial" w:cs="Arial" w:eastAsia="Arial" w:hAnsi="Arial"/>
                <w:sz w:val="22"/>
                <w:szCs w:val="22"/>
                <w:color w:val="0000FF"/>
                <w:w w:val="93"/>
              </w:rPr>
              <w:t>Intentionally Omitted</w:t>
            </w:r>
            <w:r>
              <w:rPr>
                <w:rFonts w:ascii="Arial" w:cs="Arial" w:eastAsia="Arial" w:hAnsi="Arial"/>
                <w:sz w:val="22"/>
                <w:szCs w:val="22"/>
                <w:color w:val="000000"/>
                <w:w w:val="93"/>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77</w:t>
            </w:r>
          </w:p>
        </w:tc>
        <w:tc>
          <w:tcPr>
            <w:tcW w:w="1940" w:type="dxa"/>
            <w:vAlign w:val="bottom"/>
            <w:gridSpan w:val="4"/>
          </w:tcPr>
          <w:p>
            <w:pPr>
              <w:jc w:val="right"/>
              <w:ind w:right="1720"/>
              <w:spacing w:after="0"/>
              <w:rPr>
                <w:sz w:val="20"/>
                <w:szCs w:val="20"/>
                <w:color w:val="auto"/>
              </w:rPr>
            </w:pPr>
            <w:r>
              <w:rPr>
                <w:rFonts w:ascii="Arial" w:cs="Arial" w:eastAsia="Arial" w:hAnsi="Arial"/>
                <w:sz w:val="22"/>
                <w:szCs w:val="22"/>
                <w:color w:val="0000FF"/>
                <w:w w:val="81"/>
              </w:rPr>
              <w:t>85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5.16</w:t>
            </w:r>
          </w:p>
        </w:tc>
        <w:tc>
          <w:tcPr>
            <w:tcW w:w="2440" w:type="dxa"/>
            <w:vAlign w:val="bottom"/>
            <w:gridSpan w:val="7"/>
          </w:tcPr>
          <w:p>
            <w:pPr>
              <w:ind w:left="560"/>
              <w:spacing w:after="0"/>
              <w:rPr>
                <w:sz w:val="20"/>
                <w:szCs w:val="20"/>
                <w:color w:val="auto"/>
              </w:rPr>
            </w:pPr>
            <w:r>
              <w:rPr>
                <w:rFonts w:ascii="Arial" w:cs="Arial" w:eastAsia="Arial" w:hAnsi="Arial"/>
                <w:sz w:val="22"/>
                <w:szCs w:val="22"/>
                <w:color w:val="auto"/>
                <w:w w:val="95"/>
              </w:rPr>
              <w:t>Intellectual Property</w:t>
            </w:r>
          </w:p>
        </w:tc>
        <w:tc>
          <w:tcPr>
            <w:tcW w:w="320" w:type="dxa"/>
            <w:vAlign w:val="bottom"/>
            <w:tcBorders>
              <w:top w:val="single" w:sz="8" w:color="0000FF"/>
            </w:tcBorders>
            <w:gridSpan w:val="2"/>
          </w:tcPr>
          <w:p>
            <w:pPr>
              <w:spacing w:after="0"/>
              <w:rPr>
                <w:sz w:val="24"/>
                <w:szCs w:val="24"/>
                <w:color w:val="auto"/>
              </w:rPr>
            </w:pPr>
          </w:p>
        </w:tc>
        <w:tc>
          <w:tcPr>
            <w:tcW w:w="220" w:type="dxa"/>
            <w:vAlign w:val="bottom"/>
            <w:tcBorders>
              <w:top w:val="single" w:sz="8" w:color="0000FF"/>
            </w:tcBorders>
          </w:tcPr>
          <w:p>
            <w:pPr>
              <w:jc w:val="right"/>
              <w:spacing w:after="0"/>
              <w:rPr>
                <w:sz w:val="20"/>
                <w:szCs w:val="20"/>
                <w:color w:val="auto"/>
              </w:rPr>
            </w:pPr>
            <w:r>
              <w:rPr>
                <w:rFonts w:ascii="Arial" w:cs="Arial" w:eastAsia="Arial" w:hAnsi="Arial"/>
                <w:sz w:val="22"/>
                <w:szCs w:val="22"/>
                <w:color w:val="FF0000"/>
                <w:strike w:val="1"/>
                <w:w w:val="81"/>
              </w:rPr>
              <w:t>77</w:t>
            </w:r>
          </w:p>
        </w:tc>
        <w:tc>
          <w:tcPr>
            <w:tcW w:w="2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22"/>
                <w:szCs w:val="22"/>
                <w:color w:val="0000FF"/>
                <w:w w:val="73"/>
              </w:rPr>
              <w:t>85</w:t>
            </w: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5.17</w:t>
            </w:r>
          </w:p>
        </w:tc>
        <w:tc>
          <w:tcPr>
            <w:tcW w:w="1460" w:type="dxa"/>
            <w:vAlign w:val="bottom"/>
            <w:gridSpan w:val="2"/>
          </w:tcPr>
          <w:p>
            <w:pPr>
              <w:ind w:left="560"/>
              <w:spacing w:after="0"/>
              <w:rPr>
                <w:sz w:val="20"/>
                <w:szCs w:val="20"/>
                <w:color w:val="auto"/>
              </w:rPr>
            </w:pPr>
            <w:r>
              <w:rPr>
                <w:rFonts w:ascii="Arial" w:cs="Arial" w:eastAsia="Arial" w:hAnsi="Arial"/>
                <w:sz w:val="22"/>
                <w:szCs w:val="22"/>
                <w:color w:val="auto"/>
              </w:rPr>
              <w:t>Leases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77</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5.18</w:t>
            </w:r>
          </w:p>
        </w:tc>
        <w:tc>
          <w:tcPr>
            <w:tcW w:w="1460" w:type="dxa"/>
            <w:vAlign w:val="bottom"/>
            <w:gridSpan w:val="2"/>
          </w:tcPr>
          <w:p>
            <w:pPr>
              <w:ind w:left="560"/>
              <w:spacing w:after="0"/>
              <w:rPr>
                <w:sz w:val="20"/>
                <w:szCs w:val="20"/>
                <w:color w:val="auto"/>
              </w:rPr>
            </w:pPr>
            <w:r>
              <w:rPr>
                <w:rFonts w:ascii="Arial" w:cs="Arial" w:eastAsia="Arial" w:hAnsi="Arial"/>
                <w:sz w:val="22"/>
                <w:szCs w:val="22"/>
                <w:color w:val="auto"/>
              </w:rPr>
              <w:t>DDAs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77</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5.19</w:t>
            </w:r>
          </w:p>
        </w:tc>
        <w:tc>
          <w:tcPr>
            <w:tcW w:w="2760" w:type="dxa"/>
            <w:vAlign w:val="bottom"/>
            <w:gridSpan w:val="9"/>
          </w:tcPr>
          <w:p>
            <w:pPr>
              <w:ind w:left="560"/>
              <w:spacing w:after="0"/>
              <w:rPr>
                <w:sz w:val="20"/>
                <w:szCs w:val="20"/>
                <w:color w:val="auto"/>
              </w:rPr>
            </w:pPr>
            <w:r>
              <w:rPr>
                <w:rFonts w:ascii="Arial" w:cs="Arial" w:eastAsia="Arial" w:hAnsi="Arial"/>
                <w:sz w:val="22"/>
                <w:szCs w:val="22"/>
                <w:color w:val="auto"/>
              </w:rPr>
              <w:t>Complete Disclosure</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73"/>
              </w:rPr>
              <w:t>85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5.20</w:t>
            </w:r>
          </w:p>
        </w:tc>
        <w:tc>
          <w:tcPr>
            <w:tcW w:w="1900" w:type="dxa"/>
            <w:vAlign w:val="bottom"/>
            <w:gridSpan w:val="4"/>
          </w:tcPr>
          <w:p>
            <w:pPr>
              <w:ind w:left="560"/>
              <w:spacing w:after="0"/>
              <w:rPr>
                <w:sz w:val="20"/>
                <w:szCs w:val="20"/>
                <w:color w:val="auto"/>
              </w:rPr>
            </w:pPr>
            <w:r>
              <w:rPr>
                <w:rFonts w:ascii="Arial" w:cs="Arial" w:eastAsia="Arial" w:hAnsi="Arial"/>
                <w:sz w:val="22"/>
                <w:szCs w:val="22"/>
                <w:color w:val="auto"/>
                <w:w w:val="99"/>
              </w:rPr>
              <w:t>Indebtedness</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78</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5.21</w:t>
            </w:r>
          </w:p>
        </w:tc>
        <w:tc>
          <w:tcPr>
            <w:tcW w:w="1900" w:type="dxa"/>
            <w:vAlign w:val="bottom"/>
            <w:gridSpan w:val="4"/>
          </w:tcPr>
          <w:p>
            <w:pPr>
              <w:ind w:left="560"/>
              <w:spacing w:after="0"/>
              <w:rPr>
                <w:sz w:val="20"/>
                <w:szCs w:val="20"/>
                <w:color w:val="auto"/>
              </w:rPr>
            </w:pPr>
            <w:r>
              <w:rPr>
                <w:rFonts w:ascii="Arial" w:cs="Arial" w:eastAsia="Arial" w:hAnsi="Arial"/>
                <w:sz w:val="22"/>
                <w:szCs w:val="22"/>
                <w:color w:val="auto"/>
              </w:rPr>
              <w:t>Patriot Act</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78</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5.22</w:t>
            </w:r>
          </w:p>
        </w:tc>
        <w:tc>
          <w:tcPr>
            <w:tcW w:w="2320" w:type="dxa"/>
            <w:vAlign w:val="bottom"/>
            <w:gridSpan w:val="6"/>
          </w:tcPr>
          <w:p>
            <w:pPr>
              <w:ind w:left="560"/>
              <w:spacing w:after="0"/>
              <w:rPr>
                <w:sz w:val="20"/>
                <w:szCs w:val="20"/>
                <w:color w:val="auto"/>
              </w:rPr>
            </w:pPr>
            <w:r>
              <w:rPr>
                <w:rFonts w:ascii="Arial" w:cs="Arial" w:eastAsia="Arial" w:hAnsi="Arial"/>
                <w:sz w:val="22"/>
                <w:szCs w:val="22"/>
                <w:color w:val="auto"/>
                <w:w w:val="91"/>
              </w:rPr>
              <w:t>Hedge Agreements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78</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81"/>
        </w:trPr>
        <w:tc>
          <w:tcPr>
            <w:tcW w:w="1340" w:type="dxa"/>
            <w:vAlign w:val="bottom"/>
          </w:tcPr>
          <w:p>
            <w:pPr>
              <w:spacing w:after="0"/>
              <w:rPr>
                <w:sz w:val="20"/>
                <w:szCs w:val="20"/>
                <w:color w:val="auto"/>
              </w:rPr>
            </w:pPr>
            <w:r>
              <w:rPr>
                <w:rFonts w:ascii="Arial" w:cs="Arial" w:eastAsia="Arial" w:hAnsi="Arial"/>
                <w:sz w:val="22"/>
                <w:szCs w:val="22"/>
                <w:color w:val="auto"/>
              </w:rPr>
              <w:t>-ii-</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05"/>
        </w:trPr>
        <w:tc>
          <w:tcPr>
            <w:tcW w:w="13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u w:val="single" w:color="auto"/>
          <w:color w:val="auto"/>
        </w:rPr>
        <w:t>Page</w:t>
      </w:r>
    </w:p>
    <w:p>
      <w:pPr>
        <w:spacing w:after="0" w:line="206" w:lineRule="exact"/>
        <w:rPr>
          <w:sz w:val="20"/>
          <w:szCs w:val="20"/>
          <w:color w:val="auto"/>
        </w:rPr>
      </w:pPr>
    </w:p>
    <w:p>
      <w:pPr>
        <w:ind w:left="820"/>
        <w:spacing w:after="0"/>
        <w:tabs>
          <w:tab w:leader="none" w:pos="1880" w:val="left"/>
          <w:tab w:leader="none" w:pos="8400" w:val="left"/>
        </w:tabs>
        <w:rPr>
          <w:sz w:val="20"/>
          <w:szCs w:val="20"/>
          <w:color w:val="auto"/>
        </w:rPr>
      </w:pPr>
      <w:r>
        <w:rPr>
          <w:rFonts w:ascii="Arial" w:cs="Arial" w:eastAsia="Arial" w:hAnsi="Arial"/>
          <w:sz w:val="22"/>
          <w:szCs w:val="22"/>
          <w:color w:val="auto"/>
        </w:rPr>
        <w:t>5.23</w:t>
      </w:r>
      <w:r>
        <w:rPr>
          <w:sz w:val="20"/>
          <w:szCs w:val="20"/>
          <w:color w:val="auto"/>
        </w:rPr>
        <w:tab/>
      </w:r>
      <w:r>
        <w:rPr>
          <w:rFonts w:ascii="Arial" w:cs="Arial" w:eastAsia="Arial" w:hAnsi="Arial"/>
          <w:sz w:val="22"/>
          <w:szCs w:val="22"/>
          <w:color w:val="auto"/>
        </w:rPr>
        <w:t>OFAC; Sanctions; Anti-Corruption Laws; Anti-Money Laundering Laws</w:t>
      </w:r>
      <w:r>
        <w:rPr>
          <w:sz w:val="20"/>
          <w:szCs w:val="20"/>
          <w:color w:val="auto"/>
        </w:rPr>
        <w:tab/>
      </w:r>
      <w:r>
        <w:rPr>
          <w:rFonts w:ascii="Arial" w:cs="Arial" w:eastAsia="Arial" w:hAnsi="Arial"/>
          <w:sz w:val="18"/>
          <w:szCs w:val="18"/>
          <w:color w:val="FF0000"/>
          <w:strike w:val="1"/>
        </w:rPr>
        <w:t>78</w:t>
      </w:r>
      <w:r>
        <w:rPr>
          <w:rFonts w:ascii="Arial" w:cs="Arial" w:eastAsia="Arial" w:hAnsi="Arial"/>
          <w:sz w:val="18"/>
          <w:szCs w:val="18"/>
          <w:u w:val="single" w:color="auto"/>
          <w:color w:val="0000FF"/>
          <w:strike w:val="1"/>
        </w:rPr>
        <w:t>86</w:t>
      </w:r>
    </w:p>
    <w:p>
      <w:pPr>
        <w:spacing w:after="0" w:line="98" w:lineRule="exact"/>
        <w:rPr>
          <w:sz w:val="20"/>
          <w:szCs w:val="20"/>
          <w:color w:val="auto"/>
        </w:rPr>
      </w:pPr>
    </w:p>
    <w:p>
      <w:pPr>
        <w:ind w:left="820"/>
        <w:spacing w:after="0"/>
        <w:tabs>
          <w:tab w:leader="none" w:pos="1880" w:val="left"/>
        </w:tabs>
        <w:rPr>
          <w:sz w:val="20"/>
          <w:szCs w:val="20"/>
          <w:color w:val="auto"/>
        </w:rPr>
      </w:pPr>
      <w:r>
        <w:rPr>
          <w:rFonts w:ascii="Arial" w:cs="Arial" w:eastAsia="Arial" w:hAnsi="Arial"/>
          <w:sz w:val="22"/>
          <w:szCs w:val="22"/>
          <w:color w:val="auto"/>
        </w:rPr>
        <w:t>5.24</w:t>
      </w:r>
      <w:r>
        <w:rPr>
          <w:sz w:val="20"/>
          <w:szCs w:val="20"/>
          <w:color w:val="auto"/>
        </w:rPr>
        <w:tab/>
      </w:r>
      <w:r>
        <w:rPr>
          <w:rFonts w:ascii="Arial" w:cs="Arial" w:eastAsia="Arial" w:hAnsi="Arial"/>
          <w:sz w:val="19"/>
          <w:szCs w:val="19"/>
          <w:color w:val="auto"/>
        </w:rPr>
        <w:t xml:space="preserve">Margin Stock  </w:t>
      </w:r>
      <w:r>
        <w:rPr>
          <w:rFonts w:ascii="Arial" w:cs="Arial" w:eastAsia="Arial" w:hAnsi="Arial"/>
          <w:sz w:val="19"/>
          <w:szCs w:val="19"/>
          <w:color w:val="FF0000"/>
          <w:strike w:val="1"/>
        </w:rPr>
        <w:t>78</w:t>
      </w:r>
      <w:r>
        <w:rPr>
          <w:rFonts w:ascii="Arial" w:cs="Arial" w:eastAsia="Arial" w:hAnsi="Arial"/>
          <w:sz w:val="19"/>
          <w:szCs w:val="19"/>
          <w:u w:val="single" w:color="auto"/>
          <w:color w:val="0000FF"/>
        </w:rPr>
        <w:t>86</w:t>
      </w:r>
    </w:p>
    <w:p>
      <w:pPr>
        <w:spacing w:after="0" w:line="98" w:lineRule="exact"/>
        <w:rPr>
          <w:sz w:val="20"/>
          <w:szCs w:val="20"/>
          <w:color w:val="auto"/>
        </w:rPr>
      </w:pPr>
    </w:p>
    <w:p>
      <w:pPr>
        <w:ind w:left="820"/>
        <w:spacing w:after="0"/>
        <w:tabs>
          <w:tab w:leader="none" w:pos="1880" w:val="left"/>
        </w:tabs>
        <w:rPr>
          <w:sz w:val="20"/>
          <w:szCs w:val="20"/>
          <w:color w:val="auto"/>
        </w:rPr>
      </w:pPr>
      <w:r>
        <w:rPr>
          <w:rFonts w:ascii="Arial" w:cs="Arial" w:eastAsia="Arial" w:hAnsi="Arial"/>
          <w:sz w:val="22"/>
          <w:szCs w:val="22"/>
          <w:color w:val="auto"/>
        </w:rPr>
        <w:t>5.25</w:t>
      </w:r>
      <w:r>
        <w:rPr>
          <w:sz w:val="20"/>
          <w:szCs w:val="20"/>
          <w:color w:val="auto"/>
        </w:rPr>
        <w:tab/>
      </w:r>
      <w:r>
        <w:rPr>
          <w:rFonts w:ascii="Arial" w:cs="Arial" w:eastAsia="Arial" w:hAnsi="Arial"/>
          <w:sz w:val="19"/>
          <w:szCs w:val="19"/>
          <w:color w:val="auto"/>
        </w:rPr>
        <w:t xml:space="preserve">CARES Debt  </w:t>
      </w:r>
      <w:r>
        <w:rPr>
          <w:rFonts w:ascii="Arial" w:cs="Arial" w:eastAsia="Arial" w:hAnsi="Arial"/>
          <w:sz w:val="19"/>
          <w:szCs w:val="19"/>
          <w:color w:val="FF0000"/>
          <w:strike w:val="1"/>
        </w:rPr>
        <w:t>79</w:t>
      </w:r>
      <w:r>
        <w:rPr>
          <w:rFonts w:ascii="Arial" w:cs="Arial" w:eastAsia="Arial" w:hAnsi="Arial"/>
          <w:sz w:val="19"/>
          <w:szCs w:val="19"/>
          <w:u w:val="single" w:color="auto"/>
          <w:color w:val="0000FF"/>
        </w:rPr>
        <w:t>87</w:t>
      </w:r>
    </w:p>
    <w:p>
      <w:pPr>
        <w:spacing w:after="0" w:line="98"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AFFIRMATIVE COVENANTS.  </w:t>
      </w:r>
      <w:r>
        <w:rPr>
          <w:rFonts w:ascii="Arial" w:cs="Arial" w:eastAsia="Arial" w:hAnsi="Arial"/>
          <w:sz w:val="22"/>
          <w:szCs w:val="22"/>
          <w:color w:val="FF0000"/>
          <w:strike w:val="1"/>
        </w:rPr>
        <w:t>79</w:t>
      </w:r>
      <w:r>
        <w:rPr>
          <w:rFonts w:ascii="Arial" w:cs="Arial" w:eastAsia="Arial" w:hAnsi="Arial"/>
          <w:sz w:val="22"/>
          <w:szCs w:val="22"/>
          <w:u w:val="single" w:color="auto"/>
          <w:color w:val="0000FF"/>
        </w:rPr>
        <w:t>87</w:t>
      </w:r>
    </w:p>
    <w:p>
      <w:pPr>
        <w:spacing w:after="0" w:line="98" w:lineRule="exact"/>
        <w:rPr>
          <w:rFonts w:ascii="Arial" w:cs="Arial" w:eastAsia="Arial" w:hAnsi="Arial"/>
          <w:sz w:val="22"/>
          <w:szCs w:val="22"/>
          <w:color w:val="auto"/>
        </w:rPr>
      </w:pPr>
    </w:p>
    <w:p>
      <w:pPr>
        <w:ind w:left="820"/>
        <w:spacing w:after="0"/>
        <w:rPr>
          <w:rFonts w:ascii="Arial" w:cs="Arial" w:eastAsia="Arial" w:hAnsi="Arial"/>
          <w:sz w:val="22"/>
          <w:szCs w:val="22"/>
          <w:color w:val="auto"/>
        </w:rPr>
      </w:pPr>
      <w:r>
        <w:rPr>
          <w:rFonts w:ascii="Arial" w:cs="Arial" w:eastAsia="Arial" w:hAnsi="Arial"/>
          <w:sz w:val="22"/>
          <w:szCs w:val="22"/>
          <w:color w:val="auto"/>
        </w:rPr>
        <w:t>6.1</w:t>
      </w:r>
      <w:r>
        <w:rPr>
          <w:rFonts w:ascii="Arial" w:cs="Arial" w:eastAsia="Arial" w:hAnsi="Arial"/>
          <w:sz w:val="19"/>
          <w:szCs w:val="19"/>
          <w:color w:val="auto"/>
        </w:rPr>
        <w:t xml:space="preserve">Accounting System </w:t>
      </w:r>
      <w:r>
        <w:rPr>
          <w:rFonts w:ascii="Arial" w:cs="Arial" w:eastAsia="Arial" w:hAnsi="Arial"/>
          <w:sz w:val="19"/>
          <w:szCs w:val="19"/>
          <w:color w:val="FF0000"/>
          <w:strike w:val="1"/>
        </w:rPr>
        <w:t>79</w:t>
      </w:r>
      <w:r>
        <w:rPr>
          <w:rFonts w:ascii="Arial" w:cs="Arial" w:eastAsia="Arial" w:hAnsi="Arial"/>
          <w:sz w:val="19"/>
          <w:szCs w:val="19"/>
          <w:u w:val="single" w:color="auto"/>
          <w:color w:val="0000FF"/>
        </w:rPr>
        <w:t>87</w:t>
      </w:r>
    </w:p>
    <w:p>
      <w:pPr>
        <w:spacing w:after="0" w:line="69"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6.2</w:t>
            </w:r>
          </w:p>
        </w:tc>
        <w:tc>
          <w:tcPr>
            <w:tcW w:w="2320" w:type="dxa"/>
            <w:vAlign w:val="bottom"/>
            <w:gridSpan w:val="9"/>
          </w:tcPr>
          <w:p>
            <w:pPr>
              <w:ind w:left="160"/>
              <w:spacing w:after="0"/>
              <w:rPr>
                <w:sz w:val="20"/>
                <w:szCs w:val="20"/>
                <w:color w:val="auto"/>
              </w:rPr>
            </w:pPr>
            <w:r>
              <w:rPr>
                <w:rFonts w:ascii="Arial" w:cs="Arial" w:eastAsia="Arial" w:hAnsi="Arial"/>
                <w:sz w:val="22"/>
                <w:szCs w:val="22"/>
                <w:color w:val="auto"/>
              </w:rPr>
              <w:t>Collateral Reporting</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79</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6.3</w:t>
            </w:r>
          </w:p>
        </w:tc>
        <w:tc>
          <w:tcPr>
            <w:tcW w:w="4060" w:type="dxa"/>
            <w:vAlign w:val="bottom"/>
            <w:gridSpan w:val="17"/>
          </w:tcPr>
          <w:p>
            <w:pPr>
              <w:ind w:left="160"/>
              <w:spacing w:after="0"/>
              <w:rPr>
                <w:sz w:val="20"/>
                <w:szCs w:val="20"/>
                <w:color w:val="auto"/>
              </w:rPr>
            </w:pPr>
            <w:r>
              <w:rPr>
                <w:rFonts w:ascii="Arial" w:cs="Arial" w:eastAsia="Arial" w:hAnsi="Arial"/>
                <w:sz w:val="22"/>
                <w:szCs w:val="22"/>
                <w:color w:val="auto"/>
                <w:w w:val="93"/>
              </w:rPr>
              <w:t>Financial Statements, Reports, Certificates</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80</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88</w:t>
            </w: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6.4</w:t>
            </w:r>
          </w:p>
        </w:tc>
        <w:tc>
          <w:tcPr>
            <w:tcW w:w="1400" w:type="dxa"/>
            <w:vAlign w:val="bottom"/>
            <w:gridSpan w:val="3"/>
          </w:tcPr>
          <w:p>
            <w:pPr>
              <w:ind w:left="160"/>
              <w:spacing w:after="0"/>
              <w:rPr>
                <w:sz w:val="20"/>
                <w:szCs w:val="20"/>
                <w:color w:val="auto"/>
              </w:rPr>
            </w:pPr>
            <w:r>
              <w:rPr>
                <w:rFonts w:ascii="Arial" w:cs="Arial" w:eastAsia="Arial" w:hAnsi="Arial"/>
                <w:sz w:val="22"/>
                <w:szCs w:val="22"/>
                <w:color w:val="auto"/>
                <w:w w:val="98"/>
              </w:rPr>
              <w:t>[Intentionally</w:t>
            </w:r>
          </w:p>
        </w:tc>
        <w:tc>
          <w:tcPr>
            <w:tcW w:w="660" w:type="dxa"/>
            <w:vAlign w:val="bottom"/>
            <w:gridSpan w:val="4"/>
          </w:tcPr>
          <w:p>
            <w:pPr>
              <w:spacing w:after="0"/>
              <w:rPr>
                <w:sz w:val="20"/>
                <w:szCs w:val="20"/>
                <w:color w:val="auto"/>
              </w:rPr>
            </w:pPr>
            <w:r>
              <w:rPr>
                <w:rFonts w:ascii="Arial" w:cs="Arial" w:eastAsia="Arial" w:hAnsi="Arial"/>
                <w:sz w:val="22"/>
                <w:szCs w:val="22"/>
                <w:color w:val="FF0000"/>
                <w:strike w:val="1"/>
                <w:w w:val="88"/>
              </w:rPr>
              <w:t>omitted</w:t>
            </w:r>
          </w:p>
        </w:tc>
        <w:tc>
          <w:tcPr>
            <w:tcW w:w="1120" w:type="dxa"/>
            <w:vAlign w:val="bottom"/>
            <w:gridSpan w:val="7"/>
          </w:tcPr>
          <w:p>
            <w:pPr>
              <w:spacing w:after="0"/>
              <w:rPr>
                <w:sz w:val="20"/>
                <w:szCs w:val="20"/>
                <w:color w:val="auto"/>
              </w:rPr>
            </w:pPr>
            <w:r>
              <w:rPr>
                <w:rFonts w:ascii="Arial" w:cs="Arial" w:eastAsia="Arial" w:hAnsi="Arial"/>
                <w:sz w:val="22"/>
                <w:szCs w:val="22"/>
                <w:color w:val="0000FF"/>
              </w:rPr>
              <w:t>Omitted</w:t>
            </w:r>
            <w:r>
              <w:rPr>
                <w:rFonts w:ascii="Arial" w:cs="Arial" w:eastAsia="Arial" w:hAnsi="Arial"/>
                <w:sz w:val="22"/>
                <w:szCs w:val="22"/>
                <w:color w:val="000000"/>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82</w:t>
            </w:r>
          </w:p>
        </w:tc>
        <w:tc>
          <w:tcPr>
            <w:tcW w:w="220" w:type="dxa"/>
            <w:vAlign w:val="bottom"/>
          </w:tcPr>
          <w:p>
            <w:pPr>
              <w:jc w:val="right"/>
              <w:spacing w:after="0"/>
              <w:rPr>
                <w:sz w:val="20"/>
                <w:szCs w:val="20"/>
                <w:color w:val="auto"/>
              </w:rPr>
            </w:pPr>
            <w:r>
              <w:rPr>
                <w:rFonts w:ascii="Arial" w:cs="Arial" w:eastAsia="Arial" w:hAnsi="Arial"/>
                <w:sz w:val="22"/>
                <w:szCs w:val="22"/>
                <w:color w:val="0000FF"/>
                <w:w w:val="81"/>
              </w:rPr>
              <w:t>90</w:t>
            </w:r>
          </w:p>
        </w:tc>
        <w:tc>
          <w:tcPr>
            <w:tcW w:w="346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6.5</w:t>
            </w:r>
          </w:p>
        </w:tc>
        <w:tc>
          <w:tcPr>
            <w:tcW w:w="1020" w:type="dxa"/>
            <w:vAlign w:val="bottom"/>
          </w:tcPr>
          <w:p>
            <w:pPr>
              <w:ind w:left="160"/>
              <w:spacing w:after="0"/>
              <w:rPr>
                <w:sz w:val="20"/>
                <w:szCs w:val="20"/>
                <w:color w:val="auto"/>
              </w:rPr>
            </w:pPr>
            <w:r>
              <w:rPr>
                <w:rFonts w:ascii="Arial" w:cs="Arial" w:eastAsia="Arial" w:hAnsi="Arial"/>
                <w:sz w:val="22"/>
                <w:szCs w:val="22"/>
                <w:color w:val="auto"/>
              </w:rPr>
              <w:t>Return</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82</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90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6.6</w:t>
            </w:r>
          </w:p>
        </w:tc>
        <w:tc>
          <w:tcPr>
            <w:tcW w:w="2760" w:type="dxa"/>
            <w:vAlign w:val="bottom"/>
            <w:gridSpan w:val="11"/>
          </w:tcPr>
          <w:p>
            <w:pPr>
              <w:ind w:left="160"/>
              <w:spacing w:after="0"/>
              <w:rPr>
                <w:sz w:val="20"/>
                <w:szCs w:val="20"/>
                <w:color w:val="auto"/>
              </w:rPr>
            </w:pPr>
            <w:r>
              <w:rPr>
                <w:rFonts w:ascii="Arial" w:cs="Arial" w:eastAsia="Arial" w:hAnsi="Arial"/>
                <w:sz w:val="22"/>
                <w:szCs w:val="22"/>
                <w:color w:val="auto"/>
              </w:rPr>
              <w:t>Maintenance of Properties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82</w:t>
            </w:r>
          </w:p>
        </w:tc>
        <w:tc>
          <w:tcPr>
            <w:tcW w:w="20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73"/>
              </w:rPr>
              <w:t>90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6.7</w:t>
            </w:r>
          </w:p>
        </w:tc>
        <w:tc>
          <w:tcPr>
            <w:tcW w:w="1020" w:type="dxa"/>
            <w:vAlign w:val="bottom"/>
          </w:tcPr>
          <w:p>
            <w:pPr>
              <w:ind w:left="160"/>
              <w:spacing w:after="0"/>
              <w:rPr>
                <w:sz w:val="20"/>
                <w:szCs w:val="20"/>
                <w:color w:val="auto"/>
              </w:rPr>
            </w:pPr>
            <w:r>
              <w:rPr>
                <w:rFonts w:ascii="Arial" w:cs="Arial" w:eastAsia="Arial" w:hAnsi="Arial"/>
                <w:sz w:val="22"/>
                <w:szCs w:val="22"/>
                <w:color w:val="auto"/>
              </w:rPr>
              <w:t>Taxes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82</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90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6.8</w:t>
            </w:r>
          </w:p>
        </w:tc>
        <w:tc>
          <w:tcPr>
            <w:tcW w:w="1460" w:type="dxa"/>
            <w:vAlign w:val="bottom"/>
            <w:gridSpan w:val="4"/>
          </w:tcPr>
          <w:p>
            <w:pPr>
              <w:ind w:left="160"/>
              <w:spacing w:after="0"/>
              <w:rPr>
                <w:sz w:val="20"/>
                <w:szCs w:val="20"/>
                <w:color w:val="auto"/>
              </w:rPr>
            </w:pPr>
            <w:r>
              <w:rPr>
                <w:rFonts w:ascii="Arial" w:cs="Arial" w:eastAsia="Arial" w:hAnsi="Arial"/>
                <w:sz w:val="22"/>
                <w:szCs w:val="22"/>
                <w:color w:val="auto"/>
              </w:rPr>
              <w:t>Insurance.</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83</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6.9</w:t>
            </w:r>
          </w:p>
        </w:tc>
        <w:tc>
          <w:tcPr>
            <w:tcW w:w="2320" w:type="dxa"/>
            <w:vAlign w:val="bottom"/>
            <w:gridSpan w:val="9"/>
          </w:tcPr>
          <w:p>
            <w:pPr>
              <w:ind w:left="160"/>
              <w:spacing w:after="0"/>
              <w:rPr>
                <w:sz w:val="20"/>
                <w:szCs w:val="20"/>
                <w:color w:val="auto"/>
              </w:rPr>
            </w:pPr>
            <w:r>
              <w:rPr>
                <w:rFonts w:ascii="Arial" w:cs="Arial" w:eastAsia="Arial" w:hAnsi="Arial"/>
                <w:sz w:val="22"/>
                <w:szCs w:val="22"/>
                <w:color w:val="auto"/>
              </w:rPr>
              <w:t>Location of Inventory</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83</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6.10</w:t>
            </w:r>
          </w:p>
        </w:tc>
        <w:tc>
          <w:tcPr>
            <w:tcW w:w="2760" w:type="dxa"/>
            <w:vAlign w:val="bottom"/>
            <w:gridSpan w:val="11"/>
          </w:tcPr>
          <w:p>
            <w:pPr>
              <w:ind w:left="560"/>
              <w:spacing w:after="0"/>
              <w:rPr>
                <w:sz w:val="20"/>
                <w:szCs w:val="20"/>
                <w:color w:val="auto"/>
              </w:rPr>
            </w:pPr>
            <w:r>
              <w:rPr>
                <w:rFonts w:ascii="Arial" w:cs="Arial" w:eastAsia="Arial" w:hAnsi="Arial"/>
                <w:sz w:val="22"/>
                <w:szCs w:val="22"/>
                <w:color w:val="auto"/>
                <w:w w:val="99"/>
              </w:rPr>
              <w:t>Compliance with Laws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84</w:t>
            </w:r>
          </w:p>
        </w:tc>
        <w:tc>
          <w:tcPr>
            <w:tcW w:w="20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73"/>
              </w:rPr>
              <w:t>92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6.11</w:t>
            </w:r>
          </w:p>
        </w:tc>
        <w:tc>
          <w:tcPr>
            <w:tcW w:w="1460" w:type="dxa"/>
            <w:vAlign w:val="bottom"/>
            <w:gridSpan w:val="4"/>
          </w:tcPr>
          <w:p>
            <w:pPr>
              <w:ind w:left="560"/>
              <w:spacing w:after="0"/>
              <w:rPr>
                <w:sz w:val="20"/>
                <w:szCs w:val="20"/>
                <w:color w:val="auto"/>
              </w:rPr>
            </w:pPr>
            <w:r>
              <w:rPr>
                <w:rFonts w:ascii="Arial" w:cs="Arial" w:eastAsia="Arial" w:hAnsi="Arial"/>
                <w:sz w:val="22"/>
                <w:szCs w:val="22"/>
                <w:color w:val="auto"/>
              </w:rPr>
              <w:t>Leases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84</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6.12</w:t>
            </w:r>
          </w:p>
        </w:tc>
        <w:tc>
          <w:tcPr>
            <w:tcW w:w="2760" w:type="dxa"/>
            <w:vAlign w:val="bottom"/>
            <w:gridSpan w:val="11"/>
          </w:tcPr>
          <w:p>
            <w:pPr>
              <w:ind w:left="560"/>
              <w:spacing w:after="0"/>
              <w:rPr>
                <w:sz w:val="20"/>
                <w:szCs w:val="20"/>
                <w:color w:val="auto"/>
              </w:rPr>
            </w:pPr>
            <w:r>
              <w:rPr>
                <w:rFonts w:ascii="Arial" w:cs="Arial" w:eastAsia="Arial" w:hAnsi="Arial"/>
                <w:sz w:val="22"/>
                <w:szCs w:val="22"/>
                <w:color w:val="auto"/>
                <w:w w:val="90"/>
              </w:rPr>
              <w:t>Brokerage Commissions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84</w:t>
            </w:r>
          </w:p>
        </w:tc>
        <w:tc>
          <w:tcPr>
            <w:tcW w:w="4100" w:type="dxa"/>
            <w:vAlign w:val="bottom"/>
            <w:gridSpan w:val="7"/>
          </w:tcPr>
          <w:p>
            <w:pPr>
              <w:spacing w:after="0"/>
              <w:rPr>
                <w:sz w:val="20"/>
                <w:szCs w:val="20"/>
                <w:color w:val="auto"/>
              </w:rPr>
            </w:pPr>
            <w:r>
              <w:rPr>
                <w:rFonts w:ascii="Arial" w:cs="Arial" w:eastAsia="Arial" w:hAnsi="Arial"/>
                <w:sz w:val="22"/>
                <w:szCs w:val="22"/>
                <w:color w:val="0000FF"/>
              </w:rPr>
              <w:t>92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6.13</w:t>
            </w:r>
          </w:p>
        </w:tc>
        <w:tc>
          <w:tcPr>
            <w:tcW w:w="1460" w:type="dxa"/>
            <w:vAlign w:val="bottom"/>
            <w:gridSpan w:val="4"/>
          </w:tcPr>
          <w:p>
            <w:pPr>
              <w:ind w:left="560"/>
              <w:spacing w:after="0"/>
              <w:rPr>
                <w:sz w:val="20"/>
                <w:szCs w:val="20"/>
                <w:color w:val="auto"/>
              </w:rPr>
            </w:pPr>
            <w:r>
              <w:rPr>
                <w:rFonts w:ascii="Arial" w:cs="Arial" w:eastAsia="Arial" w:hAnsi="Arial"/>
                <w:sz w:val="22"/>
                <w:szCs w:val="22"/>
                <w:color w:val="auto"/>
                <w:w w:val="92"/>
              </w:rPr>
              <w:t>Existence</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84</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92</w:t>
            </w:r>
          </w:p>
        </w:tc>
        <w:tc>
          <w:tcPr>
            <w:tcW w:w="2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6.14</w:t>
            </w:r>
          </w:p>
        </w:tc>
        <w:tc>
          <w:tcPr>
            <w:tcW w:w="1900" w:type="dxa"/>
            <w:vAlign w:val="bottom"/>
            <w:gridSpan w:val="6"/>
          </w:tcPr>
          <w:p>
            <w:pPr>
              <w:ind w:left="560"/>
              <w:spacing w:after="0"/>
              <w:rPr>
                <w:sz w:val="20"/>
                <w:szCs w:val="20"/>
                <w:color w:val="auto"/>
              </w:rPr>
            </w:pPr>
            <w:r>
              <w:rPr>
                <w:rFonts w:ascii="Arial" w:cs="Arial" w:eastAsia="Arial" w:hAnsi="Arial"/>
                <w:sz w:val="22"/>
                <w:szCs w:val="22"/>
                <w:color w:val="auto"/>
                <w:w w:val="93"/>
              </w:rPr>
              <w:t>Environmental</w:t>
            </w:r>
          </w:p>
        </w:tc>
        <w:tc>
          <w:tcPr>
            <w:tcW w:w="200" w:type="dxa"/>
            <w:vAlign w:val="bottom"/>
            <w:gridSpan w:val="2"/>
          </w:tcPr>
          <w:p>
            <w:pPr>
              <w:jc w:val="right"/>
              <w:spacing w:after="0"/>
              <w:rPr>
                <w:sz w:val="20"/>
                <w:szCs w:val="20"/>
                <w:color w:val="auto"/>
              </w:rPr>
            </w:pPr>
            <w:r>
              <w:rPr>
                <w:rFonts w:ascii="Arial" w:cs="Arial" w:eastAsia="Arial" w:hAnsi="Arial"/>
                <w:sz w:val="22"/>
                <w:szCs w:val="22"/>
                <w:color w:val="FF0000"/>
                <w:strike w:val="1"/>
                <w:w w:val="73"/>
              </w:rPr>
              <w:t>84</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6.15</w:t>
            </w:r>
          </w:p>
        </w:tc>
        <w:tc>
          <w:tcPr>
            <w:tcW w:w="2320" w:type="dxa"/>
            <w:vAlign w:val="bottom"/>
            <w:gridSpan w:val="9"/>
          </w:tcPr>
          <w:p>
            <w:pPr>
              <w:ind w:left="560"/>
              <w:spacing w:after="0"/>
              <w:rPr>
                <w:sz w:val="20"/>
                <w:szCs w:val="20"/>
                <w:color w:val="auto"/>
              </w:rPr>
            </w:pPr>
            <w:r>
              <w:rPr>
                <w:rFonts w:ascii="Arial" w:cs="Arial" w:eastAsia="Arial" w:hAnsi="Arial"/>
                <w:sz w:val="22"/>
                <w:szCs w:val="22"/>
                <w:color w:val="auto"/>
                <w:w w:val="91"/>
              </w:rPr>
              <w:t>Disclosure Updates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84</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6.16</w:t>
            </w:r>
          </w:p>
        </w:tc>
        <w:tc>
          <w:tcPr>
            <w:tcW w:w="7080" w:type="dxa"/>
            <w:vAlign w:val="bottom"/>
            <w:gridSpan w:val="20"/>
          </w:tcPr>
          <w:p>
            <w:pPr>
              <w:ind w:left="560"/>
              <w:spacing w:after="0"/>
              <w:rPr>
                <w:sz w:val="20"/>
                <w:szCs w:val="20"/>
                <w:color w:val="auto"/>
              </w:rPr>
            </w:pPr>
            <w:r>
              <w:rPr>
                <w:rFonts w:ascii="Arial" w:cs="Arial" w:eastAsia="Arial" w:hAnsi="Arial"/>
                <w:sz w:val="22"/>
                <w:szCs w:val="22"/>
                <w:color w:val="auto"/>
                <w:w w:val="94"/>
              </w:rPr>
              <w:t>OFAC; Sanctions; Anti-Corruption Laws; Anti-Money Laundering Laws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85</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73"/>
              </w:rPr>
              <w:t>93</w:t>
            </w: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6.17</w:t>
            </w:r>
          </w:p>
        </w:tc>
        <w:tc>
          <w:tcPr>
            <w:tcW w:w="1900" w:type="dxa"/>
            <w:vAlign w:val="bottom"/>
            <w:gridSpan w:val="6"/>
          </w:tcPr>
          <w:p>
            <w:pPr>
              <w:ind w:left="560"/>
              <w:spacing w:after="0"/>
              <w:rPr>
                <w:sz w:val="20"/>
                <w:szCs w:val="20"/>
                <w:color w:val="auto"/>
              </w:rPr>
            </w:pPr>
            <w:r>
              <w:rPr>
                <w:rFonts w:ascii="Arial" w:cs="Arial" w:eastAsia="Arial" w:hAnsi="Arial"/>
                <w:sz w:val="22"/>
                <w:szCs w:val="22"/>
                <w:color w:val="auto"/>
              </w:rPr>
              <w:t>Margin Stock</w:t>
            </w:r>
          </w:p>
        </w:tc>
        <w:tc>
          <w:tcPr>
            <w:tcW w:w="200" w:type="dxa"/>
            <w:vAlign w:val="bottom"/>
            <w:gridSpan w:val="2"/>
          </w:tcPr>
          <w:p>
            <w:pPr>
              <w:jc w:val="right"/>
              <w:spacing w:after="0"/>
              <w:rPr>
                <w:sz w:val="20"/>
                <w:szCs w:val="20"/>
                <w:color w:val="auto"/>
              </w:rPr>
            </w:pPr>
            <w:r>
              <w:rPr>
                <w:rFonts w:ascii="Arial" w:cs="Arial" w:eastAsia="Arial" w:hAnsi="Arial"/>
                <w:sz w:val="22"/>
                <w:szCs w:val="22"/>
                <w:color w:val="FF0000"/>
                <w:strike w:val="1"/>
                <w:w w:val="73"/>
              </w:rPr>
              <w:t>85</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6.18</w:t>
            </w:r>
          </w:p>
        </w:tc>
        <w:tc>
          <w:tcPr>
            <w:tcW w:w="1900" w:type="dxa"/>
            <w:vAlign w:val="bottom"/>
            <w:gridSpan w:val="6"/>
          </w:tcPr>
          <w:p>
            <w:pPr>
              <w:ind w:left="560"/>
              <w:spacing w:after="0"/>
              <w:rPr>
                <w:sz w:val="20"/>
                <w:szCs w:val="20"/>
                <w:color w:val="auto"/>
              </w:rPr>
            </w:pPr>
            <w:r>
              <w:rPr>
                <w:rFonts w:ascii="Arial" w:cs="Arial" w:eastAsia="Arial" w:hAnsi="Arial"/>
                <w:sz w:val="22"/>
                <w:szCs w:val="22"/>
                <w:color w:val="auto"/>
                <w:w w:val="98"/>
              </w:rPr>
              <w:t>CARES Debt.</w:t>
            </w:r>
          </w:p>
        </w:tc>
        <w:tc>
          <w:tcPr>
            <w:tcW w:w="200" w:type="dxa"/>
            <w:vAlign w:val="bottom"/>
            <w:gridSpan w:val="2"/>
          </w:tcPr>
          <w:p>
            <w:pPr>
              <w:jc w:val="right"/>
              <w:spacing w:after="0"/>
              <w:rPr>
                <w:sz w:val="20"/>
                <w:szCs w:val="20"/>
                <w:color w:val="auto"/>
              </w:rPr>
            </w:pPr>
            <w:r>
              <w:rPr>
                <w:rFonts w:ascii="Arial" w:cs="Arial" w:eastAsia="Arial" w:hAnsi="Arial"/>
                <w:sz w:val="22"/>
                <w:szCs w:val="22"/>
                <w:color w:val="FF0000"/>
                <w:strike w:val="1"/>
                <w:w w:val="73"/>
              </w:rPr>
              <w:t>85</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14"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NEGATIVE COVENANTS.  </w:t>
      </w:r>
      <w:r>
        <w:rPr>
          <w:rFonts w:ascii="Arial" w:cs="Arial" w:eastAsia="Arial" w:hAnsi="Arial"/>
          <w:sz w:val="22"/>
          <w:szCs w:val="22"/>
          <w:color w:val="FF0000"/>
          <w:strike w:val="1"/>
        </w:rPr>
        <w:t>86</w:t>
      </w:r>
      <w:r>
        <w:rPr>
          <w:rFonts w:ascii="Arial" w:cs="Arial" w:eastAsia="Arial" w:hAnsi="Arial"/>
          <w:sz w:val="22"/>
          <w:szCs w:val="22"/>
          <w:u w:val="single" w:color="auto"/>
          <w:color w:val="0000FF"/>
        </w:rPr>
        <w:t>94</w:t>
      </w:r>
    </w:p>
    <w:p>
      <w:pPr>
        <w:spacing w:after="0" w:line="98" w:lineRule="exact"/>
        <w:rPr>
          <w:rFonts w:ascii="Arial" w:cs="Arial" w:eastAsia="Arial" w:hAnsi="Arial"/>
          <w:sz w:val="22"/>
          <w:szCs w:val="22"/>
          <w:color w:val="auto"/>
        </w:rPr>
      </w:pPr>
    </w:p>
    <w:p>
      <w:pPr>
        <w:ind w:left="820"/>
        <w:spacing w:after="0"/>
        <w:rPr>
          <w:rFonts w:ascii="Arial" w:cs="Arial" w:eastAsia="Arial" w:hAnsi="Arial"/>
          <w:sz w:val="22"/>
          <w:szCs w:val="22"/>
          <w:color w:val="auto"/>
        </w:rPr>
      </w:pPr>
      <w:r>
        <w:rPr>
          <w:rFonts w:ascii="Arial" w:cs="Arial" w:eastAsia="Arial" w:hAnsi="Arial"/>
          <w:sz w:val="22"/>
          <w:szCs w:val="22"/>
          <w:color w:val="auto"/>
        </w:rPr>
        <w:t>7.1</w:t>
      </w:r>
      <w:r>
        <w:rPr>
          <w:rFonts w:ascii="Arial" w:cs="Arial" w:eastAsia="Arial" w:hAnsi="Arial"/>
          <w:sz w:val="19"/>
          <w:szCs w:val="19"/>
          <w:color w:val="auto"/>
        </w:rPr>
        <w:t xml:space="preserve">Indebtedness  </w:t>
      </w:r>
      <w:r>
        <w:rPr>
          <w:rFonts w:ascii="Arial" w:cs="Arial" w:eastAsia="Arial" w:hAnsi="Arial"/>
          <w:sz w:val="19"/>
          <w:szCs w:val="19"/>
          <w:color w:val="FF0000"/>
          <w:strike w:val="1"/>
        </w:rPr>
        <w:t>86</w:t>
      </w:r>
      <w:r>
        <w:rPr>
          <w:rFonts w:ascii="Arial" w:cs="Arial" w:eastAsia="Arial" w:hAnsi="Arial"/>
          <w:sz w:val="19"/>
          <w:szCs w:val="19"/>
          <w:u w:val="single" w:color="auto"/>
          <w:color w:val="0000FF"/>
        </w:rPr>
        <w:t>94</w:t>
      </w:r>
    </w:p>
    <w:p>
      <w:pPr>
        <w:spacing w:after="0" w:line="69"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7.2</w:t>
            </w:r>
          </w:p>
        </w:tc>
        <w:tc>
          <w:tcPr>
            <w:tcW w:w="1060" w:type="dxa"/>
            <w:vAlign w:val="bottom"/>
          </w:tcPr>
          <w:p>
            <w:pPr>
              <w:ind w:left="200"/>
              <w:spacing w:after="0"/>
              <w:rPr>
                <w:sz w:val="20"/>
                <w:szCs w:val="20"/>
                <w:color w:val="auto"/>
              </w:rPr>
            </w:pPr>
            <w:r>
              <w:rPr>
                <w:rFonts w:ascii="Arial" w:cs="Arial" w:eastAsia="Arial" w:hAnsi="Arial"/>
                <w:sz w:val="22"/>
                <w:szCs w:val="22"/>
                <w:color w:val="auto"/>
              </w:rPr>
              <w:t>Liens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87</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31"/>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7.3</w:t>
            </w:r>
          </w:p>
        </w:tc>
        <w:tc>
          <w:tcPr>
            <w:tcW w:w="3660" w:type="dxa"/>
            <w:vAlign w:val="bottom"/>
            <w:gridSpan w:val="10"/>
          </w:tcPr>
          <w:p>
            <w:pPr>
              <w:ind w:left="200"/>
              <w:spacing w:after="0"/>
              <w:rPr>
                <w:sz w:val="20"/>
                <w:szCs w:val="20"/>
                <w:color w:val="auto"/>
              </w:rPr>
            </w:pPr>
            <w:r>
              <w:rPr>
                <w:rFonts w:ascii="Arial" w:cs="Arial" w:eastAsia="Arial" w:hAnsi="Arial"/>
                <w:sz w:val="22"/>
                <w:szCs w:val="22"/>
                <w:color w:val="auto"/>
                <w:w w:val="90"/>
              </w:rPr>
              <w:t>Restrictions on Fundamental Changes.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88</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96</w:t>
            </w:r>
          </w:p>
        </w:tc>
      </w:tr>
      <w:tr>
        <w:trPr>
          <w:trHeight w:val="331"/>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7.4</w:t>
            </w:r>
          </w:p>
        </w:tc>
        <w:tc>
          <w:tcPr>
            <w:tcW w:w="1940" w:type="dxa"/>
            <w:vAlign w:val="bottom"/>
            <w:gridSpan w:val="5"/>
          </w:tcPr>
          <w:p>
            <w:pPr>
              <w:ind w:left="200"/>
              <w:spacing w:after="0"/>
              <w:rPr>
                <w:sz w:val="20"/>
                <w:szCs w:val="20"/>
                <w:color w:val="auto"/>
              </w:rPr>
            </w:pPr>
            <w:r>
              <w:rPr>
                <w:rFonts w:ascii="Arial" w:cs="Arial" w:eastAsia="Arial" w:hAnsi="Arial"/>
                <w:sz w:val="22"/>
                <w:szCs w:val="22"/>
                <w:color w:val="auto"/>
                <w:w w:val="95"/>
              </w:rPr>
              <w:t>Disposal of Assets</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88</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96</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3"/>
          </w:tcPr>
          <w:p>
            <w:pPr>
              <w:spacing w:after="0"/>
              <w:rPr>
                <w:sz w:val="24"/>
                <w:szCs w:val="24"/>
                <w:color w:val="auto"/>
              </w:rPr>
            </w:pPr>
          </w:p>
        </w:tc>
      </w:tr>
      <w:tr>
        <w:trPr>
          <w:trHeight w:val="331"/>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7.5</w:t>
            </w:r>
          </w:p>
        </w:tc>
        <w:tc>
          <w:tcPr>
            <w:tcW w:w="1500" w:type="dxa"/>
            <w:vAlign w:val="bottom"/>
            <w:gridSpan w:val="3"/>
          </w:tcPr>
          <w:p>
            <w:pPr>
              <w:ind w:left="200"/>
              <w:spacing w:after="0"/>
              <w:rPr>
                <w:sz w:val="20"/>
                <w:szCs w:val="20"/>
                <w:color w:val="auto"/>
              </w:rPr>
            </w:pPr>
            <w:r>
              <w:rPr>
                <w:rFonts w:ascii="Arial" w:cs="Arial" w:eastAsia="Arial" w:hAnsi="Arial"/>
                <w:sz w:val="22"/>
                <w:szCs w:val="22"/>
                <w:color w:val="auto"/>
                <w:w w:val="90"/>
              </w:rPr>
              <w:t>Change Name</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89</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97</w:t>
            </w:r>
          </w:p>
        </w:tc>
        <w:tc>
          <w:tcPr>
            <w:tcW w:w="20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3"/>
          </w:tcPr>
          <w:p>
            <w:pPr>
              <w:spacing w:after="0"/>
              <w:rPr>
                <w:sz w:val="24"/>
                <w:szCs w:val="24"/>
                <w:color w:val="auto"/>
              </w:rPr>
            </w:pPr>
          </w:p>
        </w:tc>
      </w:tr>
      <w:tr>
        <w:trPr>
          <w:trHeight w:val="331"/>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7.6</w:t>
            </w:r>
          </w:p>
        </w:tc>
        <w:tc>
          <w:tcPr>
            <w:tcW w:w="1500" w:type="dxa"/>
            <w:vAlign w:val="bottom"/>
            <w:gridSpan w:val="3"/>
          </w:tcPr>
          <w:p>
            <w:pPr>
              <w:ind w:left="200"/>
              <w:spacing w:after="0"/>
              <w:rPr>
                <w:sz w:val="20"/>
                <w:szCs w:val="20"/>
                <w:color w:val="auto"/>
              </w:rPr>
            </w:pPr>
            <w:r>
              <w:rPr>
                <w:rFonts w:ascii="Arial" w:cs="Arial" w:eastAsia="Arial" w:hAnsi="Arial"/>
                <w:sz w:val="22"/>
                <w:szCs w:val="22"/>
                <w:color w:val="auto"/>
              </w:rPr>
              <w:t>Guarantee</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89</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7.7</w:t>
            </w:r>
          </w:p>
        </w:tc>
        <w:tc>
          <w:tcPr>
            <w:tcW w:w="1940" w:type="dxa"/>
            <w:vAlign w:val="bottom"/>
            <w:gridSpan w:val="5"/>
          </w:tcPr>
          <w:p>
            <w:pPr>
              <w:ind w:left="200"/>
              <w:spacing w:after="0"/>
              <w:rPr>
                <w:sz w:val="20"/>
                <w:szCs w:val="20"/>
                <w:color w:val="auto"/>
              </w:rPr>
            </w:pPr>
            <w:r>
              <w:rPr>
                <w:rFonts w:ascii="Arial" w:cs="Arial" w:eastAsia="Arial" w:hAnsi="Arial"/>
                <w:sz w:val="22"/>
                <w:szCs w:val="22"/>
                <w:color w:val="auto"/>
                <w:w w:val="92"/>
              </w:rPr>
              <w:t>Nature of Business</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89</w:t>
            </w:r>
          </w:p>
        </w:tc>
        <w:tc>
          <w:tcPr>
            <w:tcW w:w="1080" w:type="dxa"/>
            <w:vAlign w:val="bottom"/>
            <w:gridSpan w:val="2"/>
          </w:tcPr>
          <w:p>
            <w:pPr>
              <w:jc w:val="right"/>
              <w:ind w:right="860"/>
              <w:spacing w:after="0"/>
              <w:rPr>
                <w:sz w:val="20"/>
                <w:szCs w:val="20"/>
                <w:color w:val="auto"/>
              </w:rPr>
            </w:pPr>
            <w:r>
              <w:rPr>
                <w:rFonts w:ascii="Arial" w:cs="Arial" w:eastAsia="Arial" w:hAnsi="Arial"/>
                <w:sz w:val="22"/>
                <w:szCs w:val="22"/>
                <w:color w:val="0000FF"/>
                <w:w w:val="81"/>
              </w:rPr>
              <w:t>97</w:t>
            </w:r>
          </w:p>
        </w:tc>
        <w:tc>
          <w:tcPr>
            <w:tcW w:w="220" w:type="dxa"/>
            <w:vAlign w:val="bottom"/>
          </w:tcPr>
          <w:p>
            <w:pPr>
              <w:spacing w:after="0"/>
              <w:rPr>
                <w:sz w:val="24"/>
                <w:szCs w:val="24"/>
                <w:color w:val="auto"/>
              </w:rPr>
            </w:pPr>
          </w:p>
        </w:tc>
        <w:tc>
          <w:tcPr>
            <w:tcW w:w="660" w:type="dxa"/>
            <w:vAlign w:val="bottom"/>
            <w:gridSpan w:val="3"/>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331"/>
        </w:trPr>
        <w:tc>
          <w:tcPr>
            <w:tcW w:w="480" w:type="dxa"/>
            <w:vAlign w:val="bottom"/>
          </w:tcPr>
          <w:p>
            <w:pPr>
              <w:jc w:val="right"/>
              <w:ind w:right="112"/>
              <w:spacing w:after="0"/>
              <w:rPr>
                <w:sz w:val="20"/>
                <w:szCs w:val="20"/>
                <w:color w:val="auto"/>
              </w:rPr>
            </w:pPr>
            <w:r>
              <w:rPr>
                <w:rFonts w:ascii="Arial" w:cs="Arial" w:eastAsia="Arial" w:hAnsi="Arial"/>
                <w:sz w:val="22"/>
                <w:szCs w:val="22"/>
                <w:color w:val="auto"/>
                <w:w w:val="78"/>
              </w:rPr>
              <w:t>7.8</w:t>
            </w:r>
          </w:p>
        </w:tc>
        <w:tc>
          <w:tcPr>
            <w:tcW w:w="3220" w:type="dxa"/>
            <w:vAlign w:val="bottom"/>
            <w:gridSpan w:val="8"/>
          </w:tcPr>
          <w:p>
            <w:pPr>
              <w:ind w:left="200"/>
              <w:spacing w:after="0"/>
              <w:rPr>
                <w:sz w:val="20"/>
                <w:szCs w:val="20"/>
                <w:color w:val="auto"/>
              </w:rPr>
            </w:pPr>
            <w:r>
              <w:rPr>
                <w:rFonts w:ascii="Arial" w:cs="Arial" w:eastAsia="Arial" w:hAnsi="Arial"/>
                <w:sz w:val="22"/>
                <w:szCs w:val="22"/>
                <w:color w:val="auto"/>
                <w:w w:val="95"/>
              </w:rPr>
              <w:t>Prepayments and Amendments.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89</w:t>
            </w:r>
          </w:p>
        </w:tc>
        <w:tc>
          <w:tcPr>
            <w:tcW w:w="660" w:type="dxa"/>
            <w:vAlign w:val="bottom"/>
            <w:gridSpan w:val="3"/>
          </w:tcPr>
          <w:p>
            <w:pPr>
              <w:jc w:val="right"/>
              <w:ind w:right="332"/>
              <w:spacing w:after="0"/>
              <w:rPr>
                <w:sz w:val="20"/>
                <w:szCs w:val="20"/>
                <w:color w:val="auto"/>
              </w:rPr>
            </w:pPr>
            <w:r>
              <w:rPr>
                <w:rFonts w:ascii="Arial" w:cs="Arial" w:eastAsia="Arial" w:hAnsi="Arial"/>
                <w:sz w:val="22"/>
                <w:szCs w:val="22"/>
                <w:color w:val="0000FF"/>
                <w:w w:val="81"/>
              </w:rPr>
              <w:t>97</w:t>
            </w:r>
          </w:p>
        </w:tc>
      </w:tr>
      <w:tr>
        <w:trPr>
          <w:trHeight w:val="20"/>
        </w:trPr>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u w:val="single" w:color="auto"/>
          <w:color w:val="auto"/>
        </w:rPr>
        <w:t>Page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ind w:left="820"/>
              <w:spacing w:after="0"/>
              <w:rPr>
                <w:sz w:val="20"/>
                <w:szCs w:val="20"/>
                <w:color w:val="auto"/>
              </w:rPr>
            </w:pPr>
            <w:r>
              <w:rPr>
                <w:rFonts w:ascii="Arial" w:cs="Arial" w:eastAsia="Arial" w:hAnsi="Arial"/>
                <w:sz w:val="22"/>
                <w:szCs w:val="22"/>
                <w:color w:val="auto"/>
              </w:rPr>
              <w:t>7.9</w:t>
            </w:r>
          </w:p>
        </w:tc>
        <w:tc>
          <w:tcPr>
            <w:tcW w:w="1900" w:type="dxa"/>
            <w:vAlign w:val="bottom"/>
            <w:gridSpan w:val="3"/>
          </w:tcPr>
          <w:p>
            <w:pPr>
              <w:ind w:left="160"/>
              <w:spacing w:after="0"/>
              <w:rPr>
                <w:sz w:val="20"/>
                <w:szCs w:val="20"/>
                <w:color w:val="auto"/>
              </w:rPr>
            </w:pPr>
            <w:r>
              <w:rPr>
                <w:rFonts w:ascii="Arial" w:cs="Arial" w:eastAsia="Arial" w:hAnsi="Arial"/>
                <w:sz w:val="22"/>
                <w:szCs w:val="22"/>
                <w:color w:val="auto"/>
                <w:w w:val="96"/>
              </w:rPr>
              <w:t>Change of Control</w:t>
            </w:r>
          </w:p>
        </w:tc>
        <w:tc>
          <w:tcPr>
            <w:tcW w:w="200" w:type="dxa"/>
            <w:vAlign w:val="bottom"/>
          </w:tcPr>
          <w:p>
            <w:pPr>
              <w:spacing w:after="0"/>
              <w:rPr>
                <w:sz w:val="20"/>
                <w:szCs w:val="20"/>
                <w:color w:val="auto"/>
              </w:rPr>
            </w:pPr>
            <w:r>
              <w:rPr>
                <w:rFonts w:ascii="Arial" w:cs="Arial" w:eastAsia="Arial" w:hAnsi="Arial"/>
                <w:sz w:val="22"/>
                <w:szCs w:val="22"/>
                <w:color w:val="FF0000"/>
                <w:strike w:val="1"/>
                <w:w w:val="73"/>
              </w:rPr>
              <w:t>90</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7.10</w:t>
            </w:r>
          </w:p>
        </w:tc>
        <w:tc>
          <w:tcPr>
            <w:tcW w:w="1900" w:type="dxa"/>
            <w:vAlign w:val="bottom"/>
            <w:gridSpan w:val="3"/>
          </w:tcPr>
          <w:p>
            <w:pPr>
              <w:ind w:left="560"/>
              <w:spacing w:after="0"/>
              <w:rPr>
                <w:sz w:val="20"/>
                <w:szCs w:val="20"/>
                <w:color w:val="auto"/>
              </w:rPr>
            </w:pPr>
            <w:r>
              <w:rPr>
                <w:rFonts w:ascii="Arial" w:cs="Arial" w:eastAsia="Arial" w:hAnsi="Arial"/>
                <w:sz w:val="22"/>
                <w:szCs w:val="22"/>
                <w:color w:val="auto"/>
                <w:w w:val="93"/>
              </w:rPr>
              <w:t>Consignments</w:t>
            </w:r>
          </w:p>
        </w:tc>
        <w:tc>
          <w:tcPr>
            <w:tcW w:w="200" w:type="dxa"/>
            <w:vAlign w:val="bottom"/>
          </w:tcPr>
          <w:p>
            <w:pPr>
              <w:spacing w:after="0"/>
              <w:rPr>
                <w:sz w:val="20"/>
                <w:szCs w:val="20"/>
                <w:color w:val="auto"/>
              </w:rPr>
            </w:pPr>
            <w:r>
              <w:rPr>
                <w:rFonts w:ascii="Arial" w:cs="Arial" w:eastAsia="Arial" w:hAnsi="Arial"/>
                <w:sz w:val="22"/>
                <w:szCs w:val="22"/>
                <w:color w:val="FF0000"/>
                <w:strike w:val="1"/>
                <w:w w:val="73"/>
              </w:rPr>
              <w:t>90</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7.11</w:t>
            </w:r>
          </w:p>
        </w:tc>
        <w:tc>
          <w:tcPr>
            <w:tcW w:w="1700" w:type="dxa"/>
            <w:vAlign w:val="bottom"/>
            <w:gridSpan w:val="2"/>
          </w:tcPr>
          <w:p>
            <w:pPr>
              <w:ind w:left="560"/>
              <w:spacing w:after="0"/>
              <w:rPr>
                <w:sz w:val="20"/>
                <w:szCs w:val="20"/>
                <w:color w:val="auto"/>
              </w:rPr>
            </w:pPr>
            <w:r>
              <w:rPr>
                <w:rFonts w:ascii="Arial" w:cs="Arial" w:eastAsia="Arial" w:hAnsi="Arial"/>
                <w:sz w:val="22"/>
                <w:szCs w:val="22"/>
                <w:color w:val="auto"/>
                <w:w w:val="92"/>
              </w:rPr>
              <w:t>Distributions</w:t>
            </w:r>
          </w:p>
        </w:tc>
        <w:tc>
          <w:tcPr>
            <w:tcW w:w="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22"/>
                <w:szCs w:val="22"/>
                <w:color w:val="FF0000"/>
                <w:strike w:val="1"/>
                <w:w w:val="73"/>
              </w:rPr>
              <w:t>90</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7.12</w:t>
            </w:r>
          </w:p>
        </w:tc>
        <w:tc>
          <w:tcPr>
            <w:tcW w:w="2760" w:type="dxa"/>
            <w:vAlign w:val="bottom"/>
            <w:gridSpan w:val="9"/>
          </w:tcPr>
          <w:p>
            <w:pPr>
              <w:ind w:left="560"/>
              <w:spacing w:after="0"/>
              <w:rPr>
                <w:sz w:val="20"/>
                <w:szCs w:val="20"/>
                <w:color w:val="auto"/>
              </w:rPr>
            </w:pPr>
            <w:r>
              <w:rPr>
                <w:rFonts w:ascii="Arial" w:cs="Arial" w:eastAsia="Arial" w:hAnsi="Arial"/>
                <w:sz w:val="22"/>
                <w:szCs w:val="22"/>
                <w:color w:val="auto"/>
              </w:rPr>
              <w:t>Accounting Methods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73"/>
              </w:rPr>
              <w:t>98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7.13</w:t>
            </w:r>
          </w:p>
        </w:tc>
        <w:tc>
          <w:tcPr>
            <w:tcW w:w="1700" w:type="dxa"/>
            <w:vAlign w:val="bottom"/>
            <w:gridSpan w:val="2"/>
          </w:tcPr>
          <w:p>
            <w:pPr>
              <w:ind w:left="560"/>
              <w:spacing w:after="0"/>
              <w:rPr>
                <w:sz w:val="20"/>
                <w:szCs w:val="20"/>
                <w:color w:val="auto"/>
              </w:rPr>
            </w:pPr>
            <w:r>
              <w:rPr>
                <w:rFonts w:ascii="Arial" w:cs="Arial" w:eastAsia="Arial" w:hAnsi="Arial"/>
                <w:sz w:val="22"/>
                <w:szCs w:val="22"/>
                <w:color w:val="auto"/>
                <w:w w:val="94"/>
              </w:rPr>
              <w:t>Investments</w:t>
            </w:r>
          </w:p>
        </w:tc>
        <w:tc>
          <w:tcPr>
            <w:tcW w:w="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22"/>
                <w:szCs w:val="22"/>
                <w:color w:val="FF0000"/>
                <w:strike w:val="1"/>
                <w:w w:val="73"/>
              </w:rPr>
              <w:t>90</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7.14</w:t>
            </w:r>
          </w:p>
        </w:tc>
        <w:tc>
          <w:tcPr>
            <w:tcW w:w="3180" w:type="dxa"/>
            <w:vAlign w:val="bottom"/>
            <w:gridSpan w:val="12"/>
          </w:tcPr>
          <w:p>
            <w:pPr>
              <w:ind w:left="560"/>
              <w:spacing w:after="0"/>
              <w:rPr>
                <w:sz w:val="20"/>
                <w:szCs w:val="20"/>
                <w:color w:val="auto"/>
              </w:rPr>
            </w:pPr>
            <w:r>
              <w:rPr>
                <w:rFonts w:ascii="Arial" w:cs="Arial" w:eastAsia="Arial" w:hAnsi="Arial"/>
                <w:sz w:val="22"/>
                <w:szCs w:val="22"/>
                <w:color w:val="auto"/>
                <w:w w:val="99"/>
              </w:rPr>
              <w:t>Transactions with Affiliates</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90</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98</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7.15</w:t>
            </w:r>
          </w:p>
        </w:tc>
        <w:tc>
          <w:tcPr>
            <w:tcW w:w="1700" w:type="dxa"/>
            <w:vAlign w:val="bottom"/>
            <w:gridSpan w:val="2"/>
          </w:tcPr>
          <w:p>
            <w:pPr>
              <w:ind w:left="560"/>
              <w:spacing w:after="0"/>
              <w:rPr>
                <w:sz w:val="20"/>
                <w:szCs w:val="20"/>
                <w:color w:val="auto"/>
              </w:rPr>
            </w:pPr>
            <w:r>
              <w:rPr>
                <w:rFonts w:ascii="Arial" w:cs="Arial" w:eastAsia="Arial" w:hAnsi="Arial"/>
                <w:sz w:val="22"/>
                <w:szCs w:val="22"/>
                <w:color w:val="auto"/>
                <w:w w:val="97"/>
              </w:rPr>
              <w:t>Suspension</w:t>
            </w:r>
          </w:p>
        </w:tc>
        <w:tc>
          <w:tcPr>
            <w:tcW w:w="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22"/>
                <w:szCs w:val="22"/>
                <w:color w:val="FF0000"/>
                <w:strike w:val="1"/>
                <w:w w:val="73"/>
              </w:rPr>
              <w:t>91</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99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7.16</w:t>
            </w:r>
          </w:p>
        </w:tc>
        <w:tc>
          <w:tcPr>
            <w:tcW w:w="1900" w:type="dxa"/>
            <w:vAlign w:val="bottom"/>
            <w:gridSpan w:val="3"/>
          </w:tcPr>
          <w:p>
            <w:pPr>
              <w:ind w:left="560"/>
              <w:spacing w:after="0"/>
              <w:rPr>
                <w:sz w:val="20"/>
                <w:szCs w:val="20"/>
                <w:color w:val="auto"/>
              </w:rPr>
            </w:pPr>
            <w:r>
              <w:rPr>
                <w:rFonts w:ascii="Arial" w:cs="Arial" w:eastAsia="Arial" w:hAnsi="Arial"/>
                <w:sz w:val="22"/>
                <w:szCs w:val="22"/>
                <w:color w:val="auto"/>
                <w:w w:val="93"/>
              </w:rPr>
              <w:t>Compensation</w:t>
            </w:r>
          </w:p>
        </w:tc>
        <w:tc>
          <w:tcPr>
            <w:tcW w:w="200" w:type="dxa"/>
            <w:vAlign w:val="bottom"/>
          </w:tcPr>
          <w:p>
            <w:pPr>
              <w:spacing w:after="0"/>
              <w:rPr>
                <w:sz w:val="20"/>
                <w:szCs w:val="20"/>
                <w:color w:val="auto"/>
              </w:rPr>
            </w:pPr>
            <w:r>
              <w:rPr>
                <w:rFonts w:ascii="Arial" w:cs="Arial" w:eastAsia="Arial" w:hAnsi="Arial"/>
                <w:sz w:val="22"/>
                <w:szCs w:val="22"/>
                <w:color w:val="FF0000"/>
                <w:strike w:val="1"/>
                <w:w w:val="73"/>
              </w:rPr>
              <w:t>91</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99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7.17</w:t>
            </w:r>
          </w:p>
        </w:tc>
        <w:tc>
          <w:tcPr>
            <w:tcW w:w="2320" w:type="dxa"/>
            <w:vAlign w:val="bottom"/>
            <w:gridSpan w:val="6"/>
          </w:tcPr>
          <w:p>
            <w:pPr>
              <w:ind w:left="560"/>
              <w:spacing w:after="0"/>
              <w:rPr>
                <w:sz w:val="20"/>
                <w:szCs w:val="20"/>
                <w:color w:val="auto"/>
              </w:rPr>
            </w:pPr>
            <w:r>
              <w:rPr>
                <w:rFonts w:ascii="Arial" w:cs="Arial" w:eastAsia="Arial" w:hAnsi="Arial"/>
                <w:sz w:val="22"/>
                <w:szCs w:val="22"/>
                <w:color w:val="auto"/>
              </w:rPr>
              <w:t>Use of Proceeds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91</w:t>
            </w:r>
          </w:p>
        </w:tc>
        <w:tc>
          <w:tcPr>
            <w:tcW w:w="22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1"/>
              </w:rPr>
              <w:t>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7.18</w:t>
            </w:r>
          </w:p>
        </w:tc>
        <w:tc>
          <w:tcPr>
            <w:tcW w:w="8180" w:type="dxa"/>
            <w:vAlign w:val="bottom"/>
            <w:gridSpan w:val="22"/>
          </w:tcPr>
          <w:p>
            <w:pPr>
              <w:ind w:left="560"/>
              <w:spacing w:after="0"/>
              <w:rPr>
                <w:sz w:val="20"/>
                <w:szCs w:val="20"/>
                <w:color w:val="auto"/>
              </w:rPr>
            </w:pPr>
            <w:r>
              <w:rPr>
                <w:rFonts w:ascii="Arial" w:cs="Arial" w:eastAsia="Arial" w:hAnsi="Arial"/>
                <w:sz w:val="22"/>
                <w:szCs w:val="22"/>
                <w:color w:val="auto"/>
                <w:w w:val="93"/>
              </w:rPr>
              <w:t>Change in Location of Chief Executive Office; Inventory and Equipment with Bailees</w:t>
            </w:r>
          </w:p>
        </w:tc>
        <w:tc>
          <w:tcPr>
            <w:tcW w:w="400" w:type="dxa"/>
            <w:vAlign w:val="bottom"/>
          </w:tcPr>
          <w:p>
            <w:pPr>
              <w:jc w:val="right"/>
              <w:spacing w:after="0"/>
              <w:rPr>
                <w:sz w:val="20"/>
                <w:szCs w:val="20"/>
                <w:color w:val="auto"/>
              </w:rPr>
            </w:pPr>
            <w:r>
              <w:rPr>
                <w:rFonts w:ascii="Arial" w:cs="Arial" w:eastAsia="Arial" w:hAnsi="Arial"/>
                <w:sz w:val="22"/>
                <w:szCs w:val="22"/>
                <w:color w:val="FF0000"/>
                <w:strike w:val="1"/>
              </w:rPr>
              <w:t>91</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99</w:t>
            </w: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7.19</w:t>
            </w:r>
          </w:p>
        </w:tc>
        <w:tc>
          <w:tcPr>
            <w:tcW w:w="640" w:type="dxa"/>
            <w:vAlign w:val="bottom"/>
          </w:tcPr>
          <w:p>
            <w:pPr>
              <w:ind w:left="560"/>
              <w:spacing w:after="0"/>
              <w:rPr>
                <w:sz w:val="20"/>
                <w:szCs w:val="20"/>
                <w:color w:val="auto"/>
              </w:rPr>
            </w:pPr>
            <w:r>
              <w:rPr>
                <w:rFonts w:ascii="Arial" w:cs="Arial" w:eastAsia="Arial" w:hAnsi="Arial"/>
                <w:sz w:val="22"/>
                <w:szCs w:val="22"/>
                <w:color w:val="auto"/>
                <w:w w:val="97"/>
              </w:rPr>
              <w:t>[</w:t>
            </w:r>
          </w:p>
        </w:tc>
        <w:tc>
          <w:tcPr>
            <w:tcW w:w="1800" w:type="dxa"/>
            <w:vAlign w:val="bottom"/>
            <w:gridSpan w:val="6"/>
          </w:tcPr>
          <w:p>
            <w:pPr>
              <w:spacing w:after="0"/>
              <w:rPr>
                <w:sz w:val="20"/>
                <w:szCs w:val="20"/>
                <w:color w:val="auto"/>
              </w:rPr>
            </w:pPr>
            <w:r>
              <w:rPr>
                <w:rFonts w:ascii="Arial" w:cs="Arial" w:eastAsia="Arial" w:hAnsi="Arial"/>
                <w:sz w:val="22"/>
                <w:szCs w:val="22"/>
                <w:color w:val="FF0000"/>
                <w:strike w:val="1"/>
                <w:w w:val="91"/>
              </w:rPr>
              <w:t>intentionally omitted</w:t>
            </w:r>
          </w:p>
        </w:tc>
        <w:tc>
          <w:tcPr>
            <w:tcW w:w="2040" w:type="dxa"/>
            <w:vAlign w:val="bottom"/>
            <w:gridSpan w:val="10"/>
          </w:tcPr>
          <w:p>
            <w:pPr>
              <w:spacing w:after="0"/>
              <w:rPr>
                <w:sz w:val="20"/>
                <w:szCs w:val="20"/>
                <w:color w:val="auto"/>
              </w:rPr>
            </w:pPr>
            <w:r>
              <w:rPr>
                <w:rFonts w:ascii="Arial" w:cs="Arial" w:eastAsia="Arial" w:hAnsi="Arial"/>
                <w:sz w:val="22"/>
                <w:szCs w:val="22"/>
                <w:color w:val="0000FF"/>
                <w:w w:val="94"/>
              </w:rPr>
              <w:t>Intentionally Omitted</w:t>
            </w:r>
            <w:r>
              <w:rPr>
                <w:rFonts w:ascii="Arial" w:cs="Arial" w:eastAsia="Arial" w:hAnsi="Arial"/>
                <w:sz w:val="22"/>
                <w:szCs w:val="22"/>
                <w:color w:val="000000"/>
                <w:w w:val="94"/>
              </w:rPr>
              <w:t>].</w:t>
            </w:r>
          </w:p>
        </w:tc>
        <w:tc>
          <w:tcPr>
            <w:tcW w:w="220" w:type="dxa"/>
            <w:vAlign w:val="bottom"/>
            <w:gridSpan w:val="2"/>
          </w:tcPr>
          <w:p>
            <w:pPr>
              <w:spacing w:after="0"/>
              <w:rPr>
                <w:sz w:val="20"/>
                <w:szCs w:val="20"/>
                <w:color w:val="auto"/>
              </w:rPr>
            </w:pPr>
            <w:r>
              <w:rPr>
                <w:rFonts w:ascii="Arial" w:cs="Arial" w:eastAsia="Arial" w:hAnsi="Arial"/>
                <w:sz w:val="22"/>
                <w:szCs w:val="22"/>
                <w:color w:val="FF0000"/>
                <w:strike w:val="1"/>
                <w:w w:val="81"/>
              </w:rPr>
              <w:t>91</w:t>
            </w:r>
          </w:p>
        </w:tc>
        <w:tc>
          <w:tcPr>
            <w:tcW w:w="220" w:type="dxa"/>
            <w:vAlign w:val="bottom"/>
            <w:gridSpan w:val="2"/>
          </w:tcPr>
          <w:p>
            <w:pPr>
              <w:jc w:val="right"/>
              <w:spacing w:after="0"/>
              <w:rPr>
                <w:sz w:val="20"/>
                <w:szCs w:val="20"/>
                <w:color w:val="auto"/>
              </w:rPr>
            </w:pPr>
            <w:r>
              <w:rPr>
                <w:rFonts w:ascii="Arial" w:cs="Arial" w:eastAsia="Arial" w:hAnsi="Arial"/>
                <w:sz w:val="22"/>
                <w:szCs w:val="22"/>
                <w:color w:val="0000FF"/>
                <w:w w:val="81"/>
              </w:rPr>
              <w:t>99</w:t>
            </w: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7.20</w:t>
            </w:r>
          </w:p>
        </w:tc>
        <w:tc>
          <w:tcPr>
            <w:tcW w:w="2440" w:type="dxa"/>
            <w:vAlign w:val="bottom"/>
            <w:gridSpan w:val="7"/>
          </w:tcPr>
          <w:p>
            <w:pPr>
              <w:ind w:left="560"/>
              <w:spacing w:after="0"/>
              <w:rPr>
                <w:sz w:val="20"/>
                <w:szCs w:val="20"/>
                <w:color w:val="auto"/>
              </w:rPr>
            </w:pPr>
            <w:r>
              <w:rPr>
                <w:rFonts w:ascii="Arial" w:cs="Arial" w:eastAsia="Arial" w:hAnsi="Arial"/>
                <w:sz w:val="22"/>
                <w:szCs w:val="22"/>
                <w:color w:val="auto"/>
                <w:w w:val="90"/>
              </w:rPr>
              <w:t>Financial Covenants.</w:t>
            </w:r>
          </w:p>
        </w:tc>
        <w:tc>
          <w:tcPr>
            <w:tcW w:w="320" w:type="dxa"/>
            <w:vAlign w:val="bottom"/>
            <w:tcBorders>
              <w:top w:val="single" w:sz="8" w:color="0000FF"/>
            </w:tcBorders>
            <w:gridSpan w:val="2"/>
          </w:tcPr>
          <w:p>
            <w:pPr>
              <w:spacing w:after="0"/>
              <w:rPr>
                <w:sz w:val="24"/>
                <w:szCs w:val="24"/>
                <w:color w:val="auto"/>
              </w:rPr>
            </w:pPr>
          </w:p>
        </w:tc>
        <w:tc>
          <w:tcPr>
            <w:tcW w:w="220" w:type="dxa"/>
            <w:vAlign w:val="bottom"/>
            <w:tcBorders>
              <w:top w:val="single" w:sz="8" w:color="0000FF"/>
            </w:tcBorders>
            <w:gridSpan w:val="2"/>
          </w:tcPr>
          <w:p>
            <w:pPr>
              <w:jc w:val="right"/>
              <w:spacing w:after="0"/>
              <w:rPr>
                <w:sz w:val="20"/>
                <w:szCs w:val="20"/>
                <w:color w:val="auto"/>
              </w:rPr>
            </w:pPr>
            <w:r>
              <w:rPr>
                <w:rFonts w:ascii="Arial" w:cs="Arial" w:eastAsia="Arial" w:hAnsi="Arial"/>
                <w:sz w:val="22"/>
                <w:szCs w:val="22"/>
                <w:color w:val="FF0000"/>
                <w:strike w:val="1"/>
                <w:w w:val="81"/>
              </w:rPr>
              <w:t>91</w:t>
            </w:r>
          </w:p>
        </w:tc>
        <w:tc>
          <w:tcPr>
            <w:tcW w:w="2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22"/>
                <w:szCs w:val="22"/>
                <w:color w:val="0000FF"/>
                <w:w w:val="73"/>
              </w:rPr>
              <w:t>99</w:t>
            </w: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3040" w:type="dxa"/>
            <w:vAlign w:val="bottom"/>
            <w:gridSpan w:val="3"/>
          </w:tcPr>
          <w:p>
            <w:pPr>
              <w:spacing w:after="0"/>
              <w:rPr>
                <w:sz w:val="20"/>
                <w:szCs w:val="20"/>
                <w:color w:val="auto"/>
              </w:rPr>
            </w:pPr>
            <w:r>
              <w:rPr>
                <w:rFonts w:ascii="Arial" w:cs="Arial" w:eastAsia="Arial" w:hAnsi="Arial"/>
                <w:sz w:val="22"/>
                <w:szCs w:val="22"/>
                <w:color w:val="auto"/>
              </w:rPr>
              <w:t>8.  EVENTS OF DEFAULT.</w:t>
            </w:r>
          </w:p>
        </w:tc>
        <w:tc>
          <w:tcPr>
            <w:tcW w:w="200" w:type="dxa"/>
            <w:vAlign w:val="bottom"/>
          </w:tcPr>
          <w:p>
            <w:pPr>
              <w:jc w:val="right"/>
              <w:spacing w:after="0"/>
              <w:rPr>
                <w:sz w:val="20"/>
                <w:szCs w:val="20"/>
                <w:color w:val="auto"/>
              </w:rPr>
            </w:pPr>
            <w:r>
              <w:rPr>
                <w:rFonts w:ascii="Arial" w:cs="Arial" w:eastAsia="Arial" w:hAnsi="Arial"/>
                <w:sz w:val="22"/>
                <w:szCs w:val="22"/>
                <w:color w:val="FF0000"/>
                <w:strike w:val="1"/>
                <w:w w:val="73"/>
              </w:rPr>
              <w:t>92</w:t>
            </w:r>
          </w:p>
        </w:tc>
        <w:tc>
          <w:tcPr>
            <w:tcW w:w="34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7"/>
              </w:rPr>
              <w:t>100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5620" w:type="dxa"/>
            <w:vAlign w:val="bottom"/>
            <w:gridSpan w:val="16"/>
          </w:tcPr>
          <w:p>
            <w:pPr>
              <w:spacing w:after="0"/>
              <w:rPr>
                <w:sz w:val="20"/>
                <w:szCs w:val="20"/>
                <w:color w:val="auto"/>
              </w:rPr>
            </w:pPr>
            <w:r>
              <w:rPr>
                <w:rFonts w:ascii="Arial" w:cs="Arial" w:eastAsia="Arial" w:hAnsi="Arial"/>
                <w:sz w:val="22"/>
                <w:szCs w:val="22"/>
                <w:color w:val="auto"/>
              </w:rPr>
              <w:t>9.  THE LENDER GROUP'S RIGHTS AND REMEDIES.</w:t>
            </w:r>
          </w:p>
        </w:tc>
        <w:tc>
          <w:tcPr>
            <w:tcW w:w="2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94</w:t>
            </w:r>
          </w:p>
        </w:tc>
        <w:tc>
          <w:tcPr>
            <w:tcW w:w="420" w:type="dxa"/>
            <w:vAlign w:val="bottom"/>
            <w:gridSpan w:val="3"/>
          </w:tcPr>
          <w:p>
            <w:pPr>
              <w:spacing w:after="0"/>
              <w:rPr>
                <w:sz w:val="20"/>
                <w:szCs w:val="20"/>
                <w:color w:val="auto"/>
              </w:rPr>
            </w:pPr>
            <w:r>
              <w:rPr>
                <w:rFonts w:ascii="Arial" w:cs="Arial" w:eastAsia="Arial" w:hAnsi="Arial"/>
                <w:sz w:val="22"/>
                <w:szCs w:val="22"/>
                <w:color w:val="0000FF"/>
              </w:rPr>
              <w:t>102</w:t>
            </w: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9.1</w:t>
            </w:r>
          </w:p>
        </w:tc>
        <w:tc>
          <w:tcPr>
            <w:tcW w:w="2320" w:type="dxa"/>
            <w:vAlign w:val="bottom"/>
            <w:gridSpan w:val="6"/>
          </w:tcPr>
          <w:p>
            <w:pPr>
              <w:ind w:left="160"/>
              <w:spacing w:after="0"/>
              <w:rPr>
                <w:sz w:val="20"/>
                <w:szCs w:val="20"/>
                <w:color w:val="auto"/>
              </w:rPr>
            </w:pPr>
            <w:r>
              <w:rPr>
                <w:rFonts w:ascii="Arial" w:cs="Arial" w:eastAsia="Arial" w:hAnsi="Arial"/>
                <w:sz w:val="22"/>
                <w:szCs w:val="22"/>
                <w:color w:val="auto"/>
              </w:rPr>
              <w:t>Rights and Remedies</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94</w:t>
            </w:r>
          </w:p>
        </w:tc>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1"/>
              </w:rPr>
              <w:t>102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1"/>
        </w:trPr>
        <w:tc>
          <w:tcPr>
            <w:tcW w:w="1340" w:type="dxa"/>
            <w:vAlign w:val="bottom"/>
          </w:tcPr>
          <w:p>
            <w:pPr>
              <w:ind w:left="820"/>
              <w:spacing w:after="0"/>
              <w:rPr>
                <w:sz w:val="20"/>
                <w:szCs w:val="20"/>
                <w:color w:val="auto"/>
              </w:rPr>
            </w:pPr>
            <w:r>
              <w:rPr>
                <w:rFonts w:ascii="Arial" w:cs="Arial" w:eastAsia="Arial" w:hAnsi="Arial"/>
                <w:sz w:val="22"/>
                <w:szCs w:val="22"/>
                <w:color w:val="auto"/>
              </w:rPr>
              <w:t>9.2</w:t>
            </w:r>
          </w:p>
        </w:tc>
        <w:tc>
          <w:tcPr>
            <w:tcW w:w="2320" w:type="dxa"/>
            <w:vAlign w:val="bottom"/>
            <w:gridSpan w:val="6"/>
          </w:tcPr>
          <w:p>
            <w:pPr>
              <w:ind w:left="160"/>
              <w:spacing w:after="0"/>
              <w:rPr>
                <w:sz w:val="20"/>
                <w:szCs w:val="20"/>
                <w:color w:val="auto"/>
              </w:rPr>
            </w:pPr>
            <w:r>
              <w:rPr>
                <w:rFonts w:ascii="Arial" w:cs="Arial" w:eastAsia="Arial" w:hAnsi="Arial"/>
                <w:sz w:val="22"/>
                <w:szCs w:val="22"/>
                <w:color w:val="auto"/>
                <w:w w:val="99"/>
              </w:rPr>
              <w:t>Remedies Cumulative</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96</w:t>
            </w:r>
          </w:p>
        </w:tc>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1"/>
              </w:rPr>
              <w:t>104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14"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TAXES AND EXPENSES.   </w:t>
      </w:r>
      <w:r>
        <w:rPr>
          <w:rFonts w:ascii="Arial" w:cs="Arial" w:eastAsia="Arial" w:hAnsi="Arial"/>
          <w:sz w:val="22"/>
          <w:szCs w:val="22"/>
          <w:color w:val="FF0000"/>
          <w:strike w:val="1"/>
        </w:rPr>
        <w:t>96</w:t>
      </w:r>
      <w:r>
        <w:rPr>
          <w:rFonts w:ascii="Arial" w:cs="Arial" w:eastAsia="Arial" w:hAnsi="Arial"/>
          <w:sz w:val="22"/>
          <w:szCs w:val="22"/>
          <w:u w:val="single" w:color="auto"/>
          <w:color w:val="0000FF"/>
        </w:rPr>
        <w:t>104</w:t>
      </w:r>
    </w:p>
    <w:p>
      <w:pPr>
        <w:spacing w:after="0" w:line="98" w:lineRule="exact"/>
        <w:rPr>
          <w:rFonts w:ascii="Arial" w:cs="Arial" w:eastAsia="Arial" w:hAnsi="Arial"/>
          <w:sz w:val="22"/>
          <w:szCs w:val="22"/>
          <w:color w:val="auto"/>
        </w:rPr>
      </w:pPr>
    </w:p>
    <w:p>
      <w:pPr>
        <w:ind w:left="400" w:hanging="392"/>
        <w:spacing w:after="0"/>
        <w:tabs>
          <w:tab w:leader="none" w:pos="4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WAIVERS; INDEMNIFICATION.</w:t>
      </w:r>
      <w:r>
        <w:rPr>
          <w:rFonts w:ascii="Arial" w:cs="Arial" w:eastAsia="Arial" w:hAnsi="Arial"/>
          <w:sz w:val="19"/>
          <w:szCs w:val="19"/>
          <w:color w:val="FF0000"/>
          <w:strike w:val="1"/>
        </w:rPr>
        <w:t>97</w:t>
      </w:r>
      <w:r>
        <w:rPr>
          <w:rFonts w:ascii="Arial" w:cs="Arial" w:eastAsia="Arial" w:hAnsi="Arial"/>
          <w:sz w:val="19"/>
          <w:szCs w:val="19"/>
          <w:u w:val="single" w:color="auto"/>
          <w:color w:val="0000FF"/>
          <w:strike w:val="1"/>
        </w:rPr>
        <w:t>105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 w:type="dxa"/>
            <w:vAlign w:val="bottom"/>
          </w:tcPr>
          <w:p>
            <w:pPr>
              <w:spacing w:after="0"/>
              <w:rPr>
                <w:sz w:val="21"/>
                <w:szCs w:val="21"/>
                <w:color w:val="auto"/>
              </w:rPr>
            </w:pPr>
          </w:p>
        </w:tc>
        <w:tc>
          <w:tcPr>
            <w:tcW w:w="1380" w:type="dxa"/>
            <w:vAlign w:val="bottom"/>
          </w:tcPr>
          <w:p>
            <w:pPr>
              <w:ind w:left="460"/>
              <w:spacing w:after="0"/>
              <w:rPr>
                <w:sz w:val="20"/>
                <w:szCs w:val="20"/>
                <w:color w:val="auto"/>
              </w:rPr>
            </w:pPr>
            <w:r>
              <w:rPr>
                <w:rFonts w:ascii="Arial" w:cs="Arial" w:eastAsia="Arial" w:hAnsi="Arial"/>
                <w:sz w:val="22"/>
                <w:szCs w:val="22"/>
                <w:color w:val="auto"/>
              </w:rPr>
              <w:t>11.1</w:t>
            </w:r>
          </w:p>
        </w:tc>
        <w:tc>
          <w:tcPr>
            <w:tcW w:w="2360" w:type="dxa"/>
            <w:vAlign w:val="bottom"/>
            <w:gridSpan w:val="9"/>
          </w:tcPr>
          <w:p>
            <w:pPr>
              <w:ind w:left="160"/>
              <w:spacing w:after="0"/>
              <w:rPr>
                <w:sz w:val="20"/>
                <w:szCs w:val="20"/>
                <w:color w:val="auto"/>
              </w:rPr>
            </w:pPr>
            <w:r>
              <w:rPr>
                <w:rFonts w:ascii="Arial" w:cs="Arial" w:eastAsia="Arial" w:hAnsi="Arial"/>
                <w:sz w:val="22"/>
                <w:szCs w:val="22"/>
                <w:color w:val="auto"/>
              </w:rPr>
              <w:t>Demand; Protest; etc</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97</w:t>
            </w: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105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Arial" w:cs="Arial" w:eastAsia="Arial" w:hAnsi="Arial"/>
                <w:sz w:val="22"/>
                <w:szCs w:val="22"/>
                <w:color w:val="auto"/>
              </w:rPr>
              <w:t>11.2</w:t>
            </w:r>
          </w:p>
        </w:tc>
        <w:tc>
          <w:tcPr>
            <w:tcW w:w="3980" w:type="dxa"/>
            <w:vAlign w:val="bottom"/>
            <w:gridSpan w:val="20"/>
          </w:tcPr>
          <w:p>
            <w:pPr>
              <w:ind w:left="160"/>
              <w:spacing w:after="0"/>
              <w:rPr>
                <w:sz w:val="20"/>
                <w:szCs w:val="20"/>
                <w:color w:val="auto"/>
              </w:rPr>
            </w:pPr>
            <w:r>
              <w:rPr>
                <w:rFonts w:ascii="Arial" w:cs="Arial" w:eastAsia="Arial" w:hAnsi="Arial"/>
                <w:sz w:val="22"/>
                <w:szCs w:val="22"/>
                <w:color w:val="auto"/>
                <w:w w:val="93"/>
              </w:rPr>
              <w:t>The Lender Group's Liability for Collateral</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rPr>
              <w:t>97</w:t>
            </w: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1"/>
              </w:rPr>
              <w:t>105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Arial" w:cs="Arial" w:eastAsia="Arial" w:hAnsi="Arial"/>
                <w:sz w:val="22"/>
                <w:szCs w:val="22"/>
                <w:color w:val="auto"/>
              </w:rPr>
              <w:t>11.3</w:t>
            </w:r>
          </w:p>
        </w:tc>
        <w:tc>
          <w:tcPr>
            <w:tcW w:w="1720" w:type="dxa"/>
            <w:vAlign w:val="bottom"/>
            <w:gridSpan w:val="4"/>
          </w:tcPr>
          <w:p>
            <w:pPr>
              <w:ind w:left="160"/>
              <w:spacing w:after="0"/>
              <w:rPr>
                <w:sz w:val="20"/>
                <w:szCs w:val="20"/>
                <w:color w:val="auto"/>
              </w:rPr>
            </w:pPr>
            <w:r>
              <w:rPr>
                <w:rFonts w:ascii="Arial" w:cs="Arial" w:eastAsia="Arial" w:hAnsi="Arial"/>
                <w:sz w:val="22"/>
                <w:szCs w:val="22"/>
                <w:color w:val="auto"/>
              </w:rPr>
              <w:t>Indemnification</w:t>
            </w: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22"/>
                <w:szCs w:val="22"/>
                <w:color w:val="FF0000"/>
                <w:strike w:val="1"/>
              </w:rPr>
              <w:t>97</w:t>
            </w: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105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0"/>
                <w:szCs w:val="20"/>
                <w:color w:val="auto"/>
              </w:rPr>
            </w:pPr>
            <w:r>
              <w:rPr>
                <w:rFonts w:ascii="Arial" w:cs="Arial" w:eastAsia="Arial" w:hAnsi="Arial"/>
                <w:sz w:val="22"/>
                <w:szCs w:val="22"/>
                <w:color w:val="auto"/>
              </w:rPr>
              <w:t>12.</w:t>
            </w:r>
          </w:p>
        </w:tc>
        <w:tc>
          <w:tcPr>
            <w:tcW w:w="1380" w:type="dxa"/>
            <w:vAlign w:val="bottom"/>
          </w:tcPr>
          <w:p>
            <w:pPr>
              <w:ind w:left="40"/>
              <w:spacing w:after="0"/>
              <w:rPr>
                <w:sz w:val="20"/>
                <w:szCs w:val="20"/>
                <w:color w:val="auto"/>
              </w:rPr>
            </w:pPr>
            <w:r>
              <w:rPr>
                <w:rFonts w:ascii="Arial" w:cs="Arial" w:eastAsia="Arial" w:hAnsi="Arial"/>
                <w:sz w:val="22"/>
                <w:szCs w:val="22"/>
                <w:color w:val="auto"/>
              </w:rPr>
              <w:t>NOTICES.</w:t>
            </w:r>
          </w:p>
        </w:tc>
        <w:tc>
          <w:tcPr>
            <w:tcW w:w="220" w:type="dxa"/>
            <w:vAlign w:val="bottom"/>
          </w:tcPr>
          <w:p>
            <w:pPr>
              <w:spacing w:after="0"/>
              <w:rPr>
                <w:sz w:val="20"/>
                <w:szCs w:val="20"/>
                <w:color w:val="auto"/>
              </w:rPr>
            </w:pPr>
            <w:r>
              <w:rPr>
                <w:rFonts w:ascii="Arial" w:cs="Arial" w:eastAsia="Arial" w:hAnsi="Arial"/>
                <w:sz w:val="22"/>
                <w:szCs w:val="22"/>
                <w:color w:val="FF0000"/>
                <w:strike w:val="1"/>
                <w:w w:val="81"/>
              </w:rPr>
              <w:t>98</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106</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0"/>
                <w:szCs w:val="20"/>
                <w:color w:val="auto"/>
              </w:rPr>
            </w:pPr>
            <w:r>
              <w:rPr>
                <w:rFonts w:ascii="Arial" w:cs="Arial" w:eastAsia="Arial" w:hAnsi="Arial"/>
                <w:sz w:val="22"/>
                <w:szCs w:val="22"/>
                <w:color w:val="auto"/>
              </w:rPr>
              <w:t>13.</w:t>
            </w:r>
          </w:p>
        </w:tc>
        <w:tc>
          <w:tcPr>
            <w:tcW w:w="5360" w:type="dxa"/>
            <w:vAlign w:val="bottom"/>
            <w:gridSpan w:val="21"/>
          </w:tcPr>
          <w:p>
            <w:pPr>
              <w:ind w:left="40"/>
              <w:spacing w:after="0"/>
              <w:rPr>
                <w:sz w:val="20"/>
                <w:szCs w:val="20"/>
                <w:color w:val="auto"/>
              </w:rPr>
            </w:pPr>
            <w:r>
              <w:rPr>
                <w:rFonts w:ascii="Arial" w:cs="Arial" w:eastAsia="Arial" w:hAnsi="Arial"/>
                <w:sz w:val="22"/>
                <w:szCs w:val="22"/>
                <w:color w:val="auto"/>
                <w:w w:val="96"/>
              </w:rPr>
              <w:t>CHOICE OF LAW AND VENUE; JURY TRIAL WAIVER.</w:t>
            </w:r>
          </w:p>
        </w:tc>
        <w:tc>
          <w:tcPr>
            <w:tcW w:w="320" w:type="dxa"/>
            <w:vAlign w:val="bottom"/>
          </w:tcPr>
          <w:p>
            <w:pPr>
              <w:spacing w:after="0"/>
              <w:rPr>
                <w:sz w:val="24"/>
                <w:szCs w:val="24"/>
                <w:color w:val="auto"/>
              </w:rPr>
            </w:pPr>
          </w:p>
        </w:tc>
        <w:tc>
          <w:tcPr>
            <w:tcW w:w="240" w:type="dxa"/>
            <w:vAlign w:val="bottom"/>
            <w:gridSpan w:val="2"/>
          </w:tcPr>
          <w:p>
            <w:pPr>
              <w:ind w:left="20"/>
              <w:spacing w:after="0"/>
              <w:rPr>
                <w:sz w:val="20"/>
                <w:szCs w:val="20"/>
                <w:color w:val="auto"/>
              </w:rPr>
            </w:pPr>
            <w:r>
              <w:rPr>
                <w:rFonts w:ascii="Arial" w:cs="Arial" w:eastAsia="Arial" w:hAnsi="Arial"/>
                <w:sz w:val="22"/>
                <w:szCs w:val="22"/>
                <w:color w:val="FF0000"/>
                <w:strike w:val="1"/>
                <w:w w:val="81"/>
              </w:rPr>
              <w:t>99</w:t>
            </w:r>
          </w:p>
        </w:tc>
        <w:tc>
          <w:tcPr>
            <w:tcW w:w="3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color w:val="0000FF"/>
                <w:w w:val="81"/>
              </w:rPr>
              <w:t>107</w:t>
            </w: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0"/>
                <w:szCs w:val="20"/>
                <w:color w:val="auto"/>
              </w:rPr>
            </w:pPr>
            <w:r>
              <w:rPr>
                <w:rFonts w:ascii="Arial" w:cs="Arial" w:eastAsia="Arial" w:hAnsi="Arial"/>
                <w:sz w:val="22"/>
                <w:szCs w:val="22"/>
                <w:color w:val="auto"/>
              </w:rPr>
              <w:t>14.</w:t>
            </w:r>
          </w:p>
        </w:tc>
        <w:tc>
          <w:tcPr>
            <w:tcW w:w="5360" w:type="dxa"/>
            <w:vAlign w:val="bottom"/>
            <w:gridSpan w:val="21"/>
          </w:tcPr>
          <w:p>
            <w:pPr>
              <w:ind w:left="40"/>
              <w:spacing w:after="0"/>
              <w:rPr>
                <w:sz w:val="20"/>
                <w:szCs w:val="20"/>
                <w:color w:val="auto"/>
              </w:rPr>
            </w:pPr>
            <w:r>
              <w:rPr>
                <w:rFonts w:ascii="Arial" w:cs="Arial" w:eastAsia="Arial" w:hAnsi="Arial"/>
                <w:sz w:val="22"/>
                <w:szCs w:val="22"/>
                <w:color w:val="auto"/>
                <w:w w:val="92"/>
              </w:rPr>
              <w:t>ASSIGNMENTS AND PARTICIPATIONS; SUCCESSORS.</w:t>
            </w:r>
          </w:p>
        </w:tc>
        <w:tc>
          <w:tcPr>
            <w:tcW w:w="320" w:type="dxa"/>
            <w:vAlign w:val="bottom"/>
          </w:tcPr>
          <w:p>
            <w:pPr>
              <w:spacing w:after="0"/>
              <w:rPr>
                <w:sz w:val="24"/>
                <w:szCs w:val="24"/>
                <w:color w:val="auto"/>
              </w:rPr>
            </w:pPr>
          </w:p>
        </w:tc>
        <w:tc>
          <w:tcPr>
            <w:tcW w:w="340" w:type="dxa"/>
            <w:vAlign w:val="bottom"/>
            <w:gridSpan w:val="4"/>
          </w:tcPr>
          <w:p>
            <w:pPr>
              <w:ind w:left="20"/>
              <w:spacing w:after="0"/>
              <w:rPr>
                <w:sz w:val="20"/>
                <w:szCs w:val="20"/>
                <w:color w:val="auto"/>
              </w:rPr>
            </w:pPr>
            <w:r>
              <w:rPr>
                <w:rFonts w:ascii="Arial" w:cs="Arial" w:eastAsia="Arial" w:hAnsi="Arial"/>
                <w:sz w:val="22"/>
                <w:szCs w:val="22"/>
                <w:color w:val="FF0000"/>
                <w:strike w:val="1"/>
                <w:w w:val="81"/>
              </w:rPr>
              <w:t>100</w:t>
            </w:r>
          </w:p>
        </w:tc>
        <w:tc>
          <w:tcPr>
            <w:tcW w:w="4860" w:type="dxa"/>
            <w:vAlign w:val="bottom"/>
            <w:gridSpan w:val="4"/>
          </w:tcPr>
          <w:p>
            <w:pPr>
              <w:jc w:val="right"/>
              <w:ind w:right="4540"/>
              <w:spacing w:after="0"/>
              <w:rPr>
                <w:sz w:val="20"/>
                <w:szCs w:val="20"/>
                <w:color w:val="auto"/>
              </w:rPr>
            </w:pPr>
            <w:r>
              <w:rPr>
                <w:rFonts w:ascii="Arial" w:cs="Arial" w:eastAsia="Arial" w:hAnsi="Arial"/>
                <w:sz w:val="22"/>
                <w:szCs w:val="22"/>
                <w:color w:val="0000FF"/>
                <w:w w:val="81"/>
              </w:rPr>
              <w:t>108</w:t>
            </w:r>
          </w:p>
        </w:tc>
        <w:tc>
          <w:tcPr>
            <w:tcW w:w="0" w:type="dxa"/>
            <w:vAlign w:val="bottom"/>
          </w:tcPr>
          <w:p>
            <w:pPr>
              <w:spacing w:after="0"/>
              <w:rPr>
                <w:sz w:val="1"/>
                <w:szCs w:val="1"/>
                <w:color w:val="auto"/>
              </w:rPr>
            </w:pPr>
          </w:p>
        </w:tc>
      </w:tr>
      <w:tr>
        <w:trPr>
          <w:trHeight w:val="331"/>
        </w:trPr>
        <w:tc>
          <w:tcPr>
            <w:tcW w:w="36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Arial" w:cs="Arial" w:eastAsia="Arial" w:hAnsi="Arial"/>
                <w:sz w:val="22"/>
                <w:szCs w:val="22"/>
                <w:color w:val="auto"/>
              </w:rPr>
              <w:t>14.1</w:t>
            </w:r>
          </w:p>
        </w:tc>
        <w:tc>
          <w:tcPr>
            <w:tcW w:w="3220" w:type="dxa"/>
            <w:vAlign w:val="bottom"/>
            <w:gridSpan w:val="15"/>
          </w:tcPr>
          <w:p>
            <w:pPr>
              <w:ind w:left="160"/>
              <w:spacing w:after="0"/>
              <w:rPr>
                <w:sz w:val="20"/>
                <w:szCs w:val="20"/>
                <w:color w:val="auto"/>
              </w:rPr>
            </w:pPr>
            <w:r>
              <w:rPr>
                <w:rFonts w:ascii="Arial" w:cs="Arial" w:eastAsia="Arial" w:hAnsi="Arial"/>
                <w:sz w:val="22"/>
                <w:szCs w:val="22"/>
                <w:color w:val="auto"/>
                <w:w w:val="97"/>
              </w:rPr>
              <w:t>Assignments and Participations.</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100</w:t>
            </w:r>
          </w:p>
        </w:tc>
        <w:tc>
          <w:tcPr>
            <w:tcW w:w="340" w:type="dxa"/>
            <w:vAlign w:val="bottom"/>
            <w:tcBorders>
              <w:bottom w:val="single" w:sz="8" w:color="0000FF"/>
            </w:tcBorders>
            <w:gridSpan w:val="2"/>
          </w:tcPr>
          <w:p>
            <w:pPr>
              <w:jc w:val="right"/>
              <w:ind w:right="20"/>
              <w:spacing w:after="0"/>
              <w:rPr>
                <w:sz w:val="20"/>
                <w:szCs w:val="20"/>
                <w:color w:val="auto"/>
              </w:rPr>
            </w:pPr>
            <w:r>
              <w:rPr>
                <w:rFonts w:ascii="Arial" w:cs="Arial" w:eastAsia="Arial" w:hAnsi="Arial"/>
                <w:sz w:val="22"/>
                <w:szCs w:val="22"/>
                <w:color w:val="0000FF"/>
                <w:w w:val="81"/>
              </w:rPr>
              <w:t>108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Arial" w:cs="Arial" w:eastAsia="Arial" w:hAnsi="Arial"/>
                <w:sz w:val="22"/>
                <w:szCs w:val="22"/>
                <w:color w:val="auto"/>
              </w:rPr>
              <w:t>14.2</w:t>
            </w:r>
          </w:p>
        </w:tc>
        <w:tc>
          <w:tcPr>
            <w:tcW w:w="1500" w:type="dxa"/>
            <w:vAlign w:val="bottom"/>
            <w:gridSpan w:val="3"/>
          </w:tcPr>
          <w:p>
            <w:pPr>
              <w:ind w:left="160"/>
              <w:spacing w:after="0"/>
              <w:rPr>
                <w:sz w:val="20"/>
                <w:szCs w:val="20"/>
                <w:color w:val="auto"/>
              </w:rPr>
            </w:pPr>
            <w:r>
              <w:rPr>
                <w:rFonts w:ascii="Arial" w:cs="Arial" w:eastAsia="Arial" w:hAnsi="Arial"/>
                <w:sz w:val="22"/>
                <w:szCs w:val="22"/>
                <w:color w:val="auto"/>
              </w:rPr>
              <w:t>Successors</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103</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76"/>
              </w:rPr>
              <w:t>111</w:t>
            </w:r>
          </w:p>
        </w:tc>
        <w:tc>
          <w:tcPr>
            <w:tcW w:w="240" w:type="dxa"/>
            <w:vAlign w:val="bottom"/>
            <w:gridSpan w:val="2"/>
          </w:tcPr>
          <w:p>
            <w:pPr>
              <w:spacing w:after="0"/>
              <w:rPr>
                <w:sz w:val="24"/>
                <w:szCs w:val="24"/>
                <w:color w:val="auto"/>
              </w:rPr>
            </w:pPr>
          </w:p>
        </w:tc>
        <w:tc>
          <w:tcPr>
            <w:tcW w:w="420" w:type="dxa"/>
            <w:vAlign w:val="bottom"/>
            <w:gridSpan w:val="3"/>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0"/>
                <w:szCs w:val="20"/>
                <w:color w:val="auto"/>
              </w:rPr>
            </w:pPr>
            <w:r>
              <w:rPr>
                <w:rFonts w:ascii="Arial" w:cs="Arial" w:eastAsia="Arial" w:hAnsi="Arial"/>
                <w:sz w:val="22"/>
                <w:szCs w:val="22"/>
                <w:color w:val="auto"/>
              </w:rPr>
              <w:t>15.</w:t>
            </w:r>
          </w:p>
        </w:tc>
        <w:tc>
          <w:tcPr>
            <w:tcW w:w="3100" w:type="dxa"/>
            <w:vAlign w:val="bottom"/>
            <w:gridSpan w:val="5"/>
          </w:tcPr>
          <w:p>
            <w:pPr>
              <w:ind w:left="40"/>
              <w:spacing w:after="0"/>
              <w:rPr>
                <w:sz w:val="20"/>
                <w:szCs w:val="20"/>
                <w:color w:val="auto"/>
              </w:rPr>
            </w:pPr>
            <w:r>
              <w:rPr>
                <w:rFonts w:ascii="Arial" w:cs="Arial" w:eastAsia="Arial" w:hAnsi="Arial"/>
                <w:sz w:val="22"/>
                <w:szCs w:val="22"/>
                <w:color w:val="auto"/>
              </w:rPr>
              <w:t>AMENDMENTS; WAIVERS.</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103</w:t>
            </w:r>
          </w:p>
        </w:tc>
        <w:tc>
          <w:tcPr>
            <w:tcW w:w="320" w:type="dxa"/>
            <w:vAlign w:val="bottom"/>
            <w:tcBorders>
              <w:bottom w:val="single" w:sz="8" w:color="0000FF"/>
            </w:tcBorders>
            <w:gridSpan w:val="3"/>
          </w:tcPr>
          <w:p>
            <w:pPr>
              <w:spacing w:after="0"/>
              <w:rPr>
                <w:sz w:val="20"/>
                <w:szCs w:val="20"/>
                <w:color w:val="auto"/>
              </w:rPr>
            </w:pPr>
            <w:r>
              <w:rPr>
                <w:rFonts w:ascii="Arial" w:cs="Arial" w:eastAsia="Arial" w:hAnsi="Arial"/>
                <w:sz w:val="22"/>
                <w:szCs w:val="22"/>
                <w:color w:val="0000FF"/>
                <w:w w:val="81"/>
              </w:rPr>
              <w:t>111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Arial" w:cs="Arial" w:eastAsia="Arial" w:hAnsi="Arial"/>
                <w:sz w:val="22"/>
                <w:szCs w:val="22"/>
                <w:color w:val="auto"/>
              </w:rPr>
              <w:t>15.1</w:t>
            </w:r>
          </w:p>
        </w:tc>
        <w:tc>
          <w:tcPr>
            <w:tcW w:w="2780" w:type="dxa"/>
            <w:vAlign w:val="bottom"/>
            <w:gridSpan w:val="12"/>
          </w:tcPr>
          <w:p>
            <w:pPr>
              <w:ind w:left="160"/>
              <w:spacing w:after="0"/>
              <w:rPr>
                <w:sz w:val="20"/>
                <w:szCs w:val="20"/>
                <w:color w:val="auto"/>
              </w:rPr>
            </w:pPr>
            <w:r>
              <w:rPr>
                <w:rFonts w:ascii="Arial" w:cs="Arial" w:eastAsia="Arial" w:hAnsi="Arial"/>
                <w:sz w:val="22"/>
                <w:szCs w:val="22"/>
                <w:color w:val="auto"/>
              </w:rPr>
              <w:t>Amendments and Waivers</w:t>
            </w:r>
          </w:p>
        </w:tc>
        <w:tc>
          <w:tcPr>
            <w:tcW w:w="340" w:type="dxa"/>
            <w:vAlign w:val="bottom"/>
            <w:gridSpan w:val="2"/>
          </w:tcPr>
          <w:p>
            <w:pPr>
              <w:jc w:val="right"/>
              <w:spacing w:after="0"/>
              <w:rPr>
                <w:sz w:val="20"/>
                <w:szCs w:val="20"/>
                <w:color w:val="auto"/>
              </w:rPr>
            </w:pPr>
            <w:r>
              <w:rPr>
                <w:rFonts w:ascii="Arial" w:cs="Arial" w:eastAsia="Arial" w:hAnsi="Arial"/>
                <w:sz w:val="22"/>
                <w:szCs w:val="22"/>
                <w:color w:val="FF0000"/>
                <w:strike w:val="1"/>
                <w:w w:val="87"/>
              </w:rPr>
              <w:t>103</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76"/>
              </w:rPr>
              <w:t>111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Arial" w:cs="Arial" w:eastAsia="Arial" w:hAnsi="Arial"/>
                <w:sz w:val="22"/>
                <w:szCs w:val="22"/>
                <w:color w:val="auto"/>
              </w:rPr>
              <w:t>15.2</w:t>
            </w:r>
          </w:p>
        </w:tc>
        <w:tc>
          <w:tcPr>
            <w:tcW w:w="3220" w:type="dxa"/>
            <w:vAlign w:val="bottom"/>
            <w:gridSpan w:val="15"/>
          </w:tcPr>
          <w:p>
            <w:pPr>
              <w:ind w:left="160"/>
              <w:spacing w:after="0"/>
              <w:rPr>
                <w:sz w:val="20"/>
                <w:szCs w:val="20"/>
                <w:color w:val="auto"/>
              </w:rPr>
            </w:pPr>
            <w:r>
              <w:rPr>
                <w:rFonts w:ascii="Arial" w:cs="Arial" w:eastAsia="Arial" w:hAnsi="Arial"/>
                <w:sz w:val="22"/>
                <w:szCs w:val="22"/>
                <w:color w:val="auto"/>
                <w:w w:val="97"/>
              </w:rPr>
              <w:t>Replacement of Holdout Lender</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104</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Arial" w:cs="Arial" w:eastAsia="Arial" w:hAnsi="Arial"/>
                <w:sz w:val="22"/>
                <w:szCs w:val="22"/>
                <w:color w:val="auto"/>
              </w:rPr>
              <w:t>15.3</w:t>
            </w:r>
          </w:p>
        </w:tc>
        <w:tc>
          <w:tcPr>
            <w:tcW w:w="3220" w:type="dxa"/>
            <w:vAlign w:val="bottom"/>
            <w:gridSpan w:val="15"/>
          </w:tcPr>
          <w:p>
            <w:pPr>
              <w:ind w:left="160"/>
              <w:spacing w:after="0"/>
              <w:rPr>
                <w:sz w:val="20"/>
                <w:szCs w:val="20"/>
                <w:color w:val="auto"/>
              </w:rPr>
            </w:pPr>
            <w:r>
              <w:rPr>
                <w:rFonts w:ascii="Arial" w:cs="Arial" w:eastAsia="Arial" w:hAnsi="Arial"/>
                <w:sz w:val="22"/>
                <w:szCs w:val="22"/>
                <w:color w:val="auto"/>
                <w:w w:val="89"/>
              </w:rPr>
              <w:t>No Waivers; Cumulative Remedies</w:t>
            </w:r>
          </w:p>
        </w:tc>
        <w:tc>
          <w:tcPr>
            <w:tcW w:w="320" w:type="dxa"/>
            <w:vAlign w:val="bottom"/>
            <w:gridSpan w:val="2"/>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22"/>
                <w:szCs w:val="22"/>
                <w:color w:val="FF0000"/>
                <w:strike w:val="1"/>
              </w:rPr>
              <w:t>104</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0"/>
                <w:szCs w:val="20"/>
                <w:color w:val="auto"/>
              </w:rPr>
            </w:pPr>
            <w:r>
              <w:rPr>
                <w:rFonts w:ascii="Arial" w:cs="Arial" w:eastAsia="Arial" w:hAnsi="Arial"/>
                <w:sz w:val="22"/>
                <w:szCs w:val="22"/>
                <w:color w:val="auto"/>
              </w:rPr>
              <w:t>16.</w:t>
            </w:r>
          </w:p>
        </w:tc>
        <w:tc>
          <w:tcPr>
            <w:tcW w:w="3100" w:type="dxa"/>
            <w:vAlign w:val="bottom"/>
            <w:gridSpan w:val="5"/>
          </w:tcPr>
          <w:p>
            <w:pPr>
              <w:ind w:left="40"/>
              <w:spacing w:after="0"/>
              <w:rPr>
                <w:sz w:val="20"/>
                <w:szCs w:val="20"/>
                <w:color w:val="auto"/>
              </w:rPr>
            </w:pPr>
            <w:r>
              <w:rPr>
                <w:rFonts w:ascii="Arial" w:cs="Arial" w:eastAsia="Arial" w:hAnsi="Arial"/>
                <w:sz w:val="22"/>
                <w:szCs w:val="22"/>
                <w:color w:val="auto"/>
                <w:w w:val="94"/>
              </w:rPr>
              <w:t>AGENT; THE LENDER GROUP.</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105</w:t>
            </w:r>
          </w:p>
        </w:tc>
        <w:tc>
          <w:tcPr>
            <w:tcW w:w="740" w:type="dxa"/>
            <w:vAlign w:val="bottom"/>
            <w:gridSpan w:val="6"/>
          </w:tcPr>
          <w:p>
            <w:pPr>
              <w:spacing w:after="0"/>
              <w:rPr>
                <w:sz w:val="20"/>
                <w:szCs w:val="20"/>
                <w:color w:val="auto"/>
              </w:rPr>
            </w:pPr>
            <w:r>
              <w:rPr>
                <w:rFonts w:ascii="Arial" w:cs="Arial" w:eastAsia="Arial" w:hAnsi="Arial"/>
                <w:sz w:val="22"/>
                <w:szCs w:val="22"/>
                <w:color w:val="0000FF"/>
              </w:rPr>
              <w:t>113</w:t>
            </w:r>
          </w:p>
        </w:tc>
        <w:tc>
          <w:tcPr>
            <w:tcW w:w="44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60" w:type="dxa"/>
            <w:vAlign w:val="bottom"/>
            <w:vMerge w:val="restart"/>
          </w:tcPr>
          <w:p>
            <w:pPr>
              <w:spacing w:after="0"/>
              <w:rPr>
                <w:sz w:val="20"/>
                <w:szCs w:val="20"/>
                <w:color w:val="auto"/>
              </w:rPr>
            </w:pPr>
            <w:r>
              <w:rPr>
                <w:rFonts w:ascii="Arial" w:cs="Arial" w:eastAsia="Arial" w:hAnsi="Arial"/>
                <w:sz w:val="22"/>
                <w:szCs w:val="22"/>
                <w:color w:val="auto"/>
              </w:rPr>
              <w:t>-iv-</w:t>
            </w:r>
          </w:p>
        </w:tc>
        <w:tc>
          <w:tcPr>
            <w:tcW w:w="1380" w:type="dxa"/>
            <w:vAlign w:val="bottom"/>
          </w:tcPr>
          <w:p>
            <w:pPr>
              <w:ind w:left="460"/>
              <w:spacing w:after="0"/>
              <w:rPr>
                <w:sz w:val="20"/>
                <w:szCs w:val="20"/>
                <w:color w:val="auto"/>
              </w:rPr>
            </w:pPr>
            <w:r>
              <w:rPr>
                <w:rFonts w:ascii="Arial" w:cs="Arial" w:eastAsia="Arial" w:hAnsi="Arial"/>
                <w:sz w:val="22"/>
                <w:szCs w:val="22"/>
                <w:color w:val="auto"/>
              </w:rPr>
              <w:t>16.1</w:t>
            </w:r>
          </w:p>
        </w:tc>
        <w:tc>
          <w:tcPr>
            <w:tcW w:w="3980" w:type="dxa"/>
            <w:vAlign w:val="bottom"/>
            <w:gridSpan w:val="20"/>
          </w:tcPr>
          <w:p>
            <w:pPr>
              <w:ind w:left="160"/>
              <w:spacing w:after="0"/>
              <w:rPr>
                <w:sz w:val="20"/>
                <w:szCs w:val="20"/>
                <w:color w:val="auto"/>
              </w:rPr>
            </w:pPr>
            <w:r>
              <w:rPr>
                <w:rFonts w:ascii="Arial" w:cs="Arial" w:eastAsia="Arial" w:hAnsi="Arial"/>
                <w:sz w:val="22"/>
                <w:szCs w:val="22"/>
                <w:color w:val="auto"/>
                <w:w w:val="97"/>
              </w:rPr>
              <w:t>Appointment and Authorization of Agent</w:t>
            </w:r>
          </w:p>
        </w:tc>
        <w:tc>
          <w:tcPr>
            <w:tcW w:w="420" w:type="dxa"/>
            <w:vAlign w:val="bottom"/>
            <w:gridSpan w:val="2"/>
          </w:tcPr>
          <w:p>
            <w:pPr>
              <w:jc w:val="right"/>
              <w:spacing w:after="0"/>
              <w:rPr>
                <w:sz w:val="20"/>
                <w:szCs w:val="20"/>
                <w:color w:val="auto"/>
              </w:rPr>
            </w:pPr>
            <w:r>
              <w:rPr>
                <w:rFonts w:ascii="Arial" w:cs="Arial" w:eastAsia="Arial" w:hAnsi="Arial"/>
                <w:sz w:val="22"/>
                <w:szCs w:val="22"/>
                <w:color w:val="FF0000"/>
                <w:strike w:val="1"/>
              </w:rPr>
              <w:t>105</w:t>
            </w:r>
          </w:p>
        </w:tc>
        <w:tc>
          <w:tcPr>
            <w:tcW w:w="32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color w:val="0000FF"/>
                <w:w w:val="81"/>
              </w:rPr>
              <w:t>113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3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u w:val="single" w:color="auto"/>
          <w:color w:val="auto"/>
        </w:rPr>
        <w:t>Page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0" w:type="dxa"/>
            <w:vAlign w:val="bottom"/>
            <w:gridSpan w:val="10"/>
          </w:tcPr>
          <w:p>
            <w:pPr>
              <w:spacing w:after="0"/>
              <w:rPr>
                <w:sz w:val="20"/>
                <w:szCs w:val="20"/>
                <w:color w:val="auto"/>
              </w:rPr>
            </w:pPr>
            <w:r>
              <w:rPr>
                <w:rFonts w:ascii="Arial" w:cs="Arial" w:eastAsia="Arial" w:hAnsi="Arial"/>
                <w:sz w:val="22"/>
                <w:szCs w:val="22"/>
                <w:color w:val="auto"/>
              </w:rPr>
              <w:t>Delegation of Duties</w:t>
            </w:r>
          </w:p>
        </w:tc>
        <w:tc>
          <w:tcPr>
            <w:tcW w:w="34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105</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76"/>
              </w:rPr>
              <w:t>113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16.3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6"/>
          </w:tcPr>
          <w:p>
            <w:pPr>
              <w:spacing w:after="0"/>
              <w:rPr>
                <w:sz w:val="20"/>
                <w:szCs w:val="20"/>
                <w:color w:val="auto"/>
              </w:rPr>
            </w:pPr>
            <w:r>
              <w:rPr>
                <w:rFonts w:ascii="Arial" w:cs="Arial" w:eastAsia="Arial" w:hAnsi="Arial"/>
                <w:sz w:val="22"/>
                <w:szCs w:val="22"/>
                <w:color w:val="auto"/>
              </w:rPr>
              <w:t>Liability of Agent</w:t>
            </w:r>
          </w:p>
        </w:tc>
        <w:tc>
          <w:tcPr>
            <w:tcW w:w="320" w:type="dxa"/>
            <w:vAlign w:val="bottom"/>
            <w:gridSpan w:val="3"/>
          </w:tcPr>
          <w:p>
            <w:pPr>
              <w:spacing w:after="0"/>
              <w:rPr>
                <w:sz w:val="20"/>
                <w:szCs w:val="20"/>
                <w:color w:val="auto"/>
              </w:rPr>
            </w:pPr>
            <w:r>
              <w:rPr>
                <w:rFonts w:ascii="Arial" w:cs="Arial" w:eastAsia="Arial" w:hAnsi="Arial"/>
                <w:sz w:val="22"/>
                <w:szCs w:val="22"/>
                <w:color w:val="FF0000"/>
                <w:strike w:val="1"/>
                <w:w w:val="76"/>
              </w:rPr>
              <w:t>106</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114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16.4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6"/>
          </w:tcPr>
          <w:p>
            <w:pPr>
              <w:spacing w:after="0"/>
              <w:rPr>
                <w:sz w:val="20"/>
                <w:szCs w:val="20"/>
                <w:color w:val="auto"/>
              </w:rPr>
            </w:pPr>
            <w:r>
              <w:rPr>
                <w:rFonts w:ascii="Arial" w:cs="Arial" w:eastAsia="Arial" w:hAnsi="Arial"/>
                <w:sz w:val="22"/>
                <w:szCs w:val="22"/>
                <w:color w:val="auto"/>
                <w:w w:val="97"/>
              </w:rPr>
              <w:t>Reliance by Agent</w:t>
            </w:r>
          </w:p>
        </w:tc>
        <w:tc>
          <w:tcPr>
            <w:tcW w:w="320" w:type="dxa"/>
            <w:vAlign w:val="bottom"/>
            <w:gridSpan w:val="3"/>
          </w:tcPr>
          <w:p>
            <w:pPr>
              <w:spacing w:after="0"/>
              <w:rPr>
                <w:sz w:val="20"/>
                <w:szCs w:val="20"/>
                <w:color w:val="auto"/>
              </w:rPr>
            </w:pPr>
            <w:r>
              <w:rPr>
                <w:rFonts w:ascii="Arial" w:cs="Arial" w:eastAsia="Arial" w:hAnsi="Arial"/>
                <w:sz w:val="22"/>
                <w:szCs w:val="22"/>
                <w:color w:val="FF0000"/>
                <w:strike w:val="1"/>
                <w:w w:val="76"/>
              </w:rPr>
              <w:t>106</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114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16.5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gridSpan w:val="20"/>
          </w:tcPr>
          <w:p>
            <w:pPr>
              <w:spacing w:after="0"/>
              <w:rPr>
                <w:sz w:val="20"/>
                <w:szCs w:val="20"/>
                <w:color w:val="auto"/>
              </w:rPr>
            </w:pPr>
            <w:r>
              <w:rPr>
                <w:rFonts w:ascii="Arial" w:cs="Arial" w:eastAsia="Arial" w:hAnsi="Arial"/>
                <w:sz w:val="22"/>
                <w:szCs w:val="22"/>
                <w:color w:val="auto"/>
                <w:w w:val="95"/>
              </w:rPr>
              <w:t>Notice of Default or Event of Default</w:t>
            </w:r>
          </w:p>
        </w:tc>
        <w:tc>
          <w:tcPr>
            <w:tcW w:w="440" w:type="dxa"/>
            <w:vAlign w:val="bottom"/>
            <w:gridSpan w:val="3"/>
          </w:tcPr>
          <w:p>
            <w:pPr>
              <w:ind w:left="120"/>
              <w:spacing w:after="0"/>
              <w:rPr>
                <w:sz w:val="20"/>
                <w:szCs w:val="20"/>
                <w:color w:val="auto"/>
              </w:rPr>
            </w:pPr>
            <w:r>
              <w:rPr>
                <w:rFonts w:ascii="Arial" w:cs="Arial" w:eastAsia="Arial" w:hAnsi="Arial"/>
                <w:sz w:val="22"/>
                <w:szCs w:val="22"/>
                <w:color w:val="FF0000"/>
                <w:strike w:val="1"/>
                <w:w w:val="81"/>
              </w:rPr>
              <w:t>106</w:t>
            </w: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114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16.6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6"/>
          </w:tcPr>
          <w:p>
            <w:pPr>
              <w:spacing w:after="0"/>
              <w:rPr>
                <w:sz w:val="20"/>
                <w:szCs w:val="20"/>
                <w:color w:val="auto"/>
              </w:rPr>
            </w:pPr>
            <w:r>
              <w:rPr>
                <w:rFonts w:ascii="Arial" w:cs="Arial" w:eastAsia="Arial" w:hAnsi="Arial"/>
                <w:sz w:val="22"/>
                <w:szCs w:val="22"/>
                <w:color w:val="auto"/>
              </w:rPr>
              <w:t>Credit Decision</w:t>
            </w:r>
          </w:p>
        </w:tc>
        <w:tc>
          <w:tcPr>
            <w:tcW w:w="320" w:type="dxa"/>
            <w:vAlign w:val="bottom"/>
            <w:gridSpan w:val="3"/>
          </w:tcPr>
          <w:p>
            <w:pPr>
              <w:spacing w:after="0"/>
              <w:rPr>
                <w:sz w:val="20"/>
                <w:szCs w:val="20"/>
                <w:color w:val="auto"/>
              </w:rPr>
            </w:pPr>
            <w:r>
              <w:rPr>
                <w:rFonts w:ascii="Arial" w:cs="Arial" w:eastAsia="Arial" w:hAnsi="Arial"/>
                <w:sz w:val="22"/>
                <w:szCs w:val="22"/>
                <w:color w:val="FF0000"/>
                <w:strike w:val="1"/>
                <w:w w:val="76"/>
              </w:rPr>
              <w:t>107</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115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16.7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gridSpan w:val="20"/>
          </w:tcPr>
          <w:p>
            <w:pPr>
              <w:spacing w:after="0"/>
              <w:rPr>
                <w:sz w:val="20"/>
                <w:szCs w:val="20"/>
                <w:color w:val="auto"/>
              </w:rPr>
            </w:pPr>
            <w:r>
              <w:rPr>
                <w:rFonts w:ascii="Arial" w:cs="Arial" w:eastAsia="Arial" w:hAnsi="Arial"/>
                <w:sz w:val="22"/>
                <w:szCs w:val="22"/>
                <w:color w:val="auto"/>
                <w:w w:val="92"/>
              </w:rPr>
              <w:t>Costs and Expenses; Indemnification</w:t>
            </w:r>
          </w:p>
        </w:tc>
        <w:tc>
          <w:tcPr>
            <w:tcW w:w="440" w:type="dxa"/>
            <w:vAlign w:val="bottom"/>
            <w:gridSpan w:val="3"/>
          </w:tcPr>
          <w:p>
            <w:pPr>
              <w:ind w:left="120"/>
              <w:spacing w:after="0"/>
              <w:rPr>
                <w:sz w:val="20"/>
                <w:szCs w:val="20"/>
                <w:color w:val="auto"/>
              </w:rPr>
            </w:pPr>
            <w:r>
              <w:rPr>
                <w:rFonts w:ascii="Arial" w:cs="Arial" w:eastAsia="Arial" w:hAnsi="Arial"/>
                <w:sz w:val="22"/>
                <w:szCs w:val="22"/>
                <w:color w:val="FF0000"/>
                <w:strike w:val="1"/>
                <w:w w:val="81"/>
              </w:rPr>
              <w:t>107</w:t>
            </w: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115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16.8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40" w:type="dxa"/>
            <w:vAlign w:val="bottom"/>
            <w:gridSpan w:val="13"/>
          </w:tcPr>
          <w:p>
            <w:pPr>
              <w:spacing w:after="0"/>
              <w:rPr>
                <w:sz w:val="20"/>
                <w:szCs w:val="20"/>
                <w:color w:val="auto"/>
              </w:rPr>
            </w:pPr>
            <w:r>
              <w:rPr>
                <w:rFonts w:ascii="Arial" w:cs="Arial" w:eastAsia="Arial" w:hAnsi="Arial"/>
                <w:sz w:val="22"/>
                <w:szCs w:val="22"/>
                <w:color w:val="auto"/>
                <w:w w:val="92"/>
              </w:rPr>
              <w:t>Agent in Individual Capacity</w:t>
            </w:r>
          </w:p>
        </w:tc>
        <w:tc>
          <w:tcPr>
            <w:tcW w:w="80" w:type="dxa"/>
            <w:vAlign w:val="bottom"/>
          </w:tcPr>
          <w:p>
            <w:pPr>
              <w:spacing w:after="0"/>
              <w:rPr>
                <w:sz w:val="24"/>
                <w:szCs w:val="24"/>
                <w:color w:val="auto"/>
              </w:rPr>
            </w:pPr>
          </w:p>
        </w:tc>
        <w:tc>
          <w:tcPr>
            <w:tcW w:w="340" w:type="dxa"/>
            <w:vAlign w:val="bottom"/>
            <w:gridSpan w:val="3"/>
          </w:tcPr>
          <w:p>
            <w:pPr>
              <w:spacing w:after="0"/>
              <w:rPr>
                <w:sz w:val="20"/>
                <w:szCs w:val="20"/>
                <w:color w:val="auto"/>
              </w:rPr>
            </w:pPr>
            <w:r>
              <w:rPr>
                <w:rFonts w:ascii="Arial" w:cs="Arial" w:eastAsia="Arial" w:hAnsi="Arial"/>
                <w:sz w:val="22"/>
                <w:szCs w:val="22"/>
                <w:color w:val="FF0000"/>
                <w:strike w:val="1"/>
                <w:w w:val="87"/>
              </w:rPr>
              <w:t>108</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76"/>
              </w:rPr>
              <w:t>116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16.9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6"/>
          </w:tcPr>
          <w:p>
            <w:pPr>
              <w:spacing w:after="0"/>
              <w:rPr>
                <w:sz w:val="20"/>
                <w:szCs w:val="20"/>
                <w:color w:val="auto"/>
              </w:rPr>
            </w:pPr>
            <w:r>
              <w:rPr>
                <w:rFonts w:ascii="Arial" w:cs="Arial" w:eastAsia="Arial" w:hAnsi="Arial"/>
                <w:sz w:val="22"/>
                <w:szCs w:val="22"/>
                <w:color w:val="auto"/>
              </w:rPr>
              <w:t>Successor Agent</w:t>
            </w:r>
          </w:p>
        </w:tc>
        <w:tc>
          <w:tcPr>
            <w:tcW w:w="320" w:type="dxa"/>
            <w:vAlign w:val="bottom"/>
            <w:gridSpan w:val="3"/>
          </w:tcPr>
          <w:p>
            <w:pPr>
              <w:spacing w:after="0"/>
              <w:rPr>
                <w:sz w:val="20"/>
                <w:szCs w:val="20"/>
                <w:color w:val="auto"/>
              </w:rPr>
            </w:pPr>
            <w:r>
              <w:rPr>
                <w:rFonts w:ascii="Arial" w:cs="Arial" w:eastAsia="Arial" w:hAnsi="Arial"/>
                <w:sz w:val="22"/>
                <w:szCs w:val="22"/>
                <w:color w:val="FF0000"/>
                <w:strike w:val="1"/>
                <w:w w:val="76"/>
              </w:rPr>
              <w:t>108</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116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400" w:type="dxa"/>
            <w:vAlign w:val="bottom"/>
            <w:gridSpan w:val="3"/>
          </w:tcPr>
          <w:p>
            <w:pPr>
              <w:ind w:left="820"/>
              <w:spacing w:after="0"/>
              <w:rPr>
                <w:sz w:val="20"/>
                <w:szCs w:val="20"/>
                <w:color w:val="auto"/>
              </w:rPr>
            </w:pPr>
            <w:r>
              <w:rPr>
                <w:rFonts w:ascii="Arial" w:cs="Arial" w:eastAsia="Arial" w:hAnsi="Arial"/>
                <w:sz w:val="22"/>
                <w:szCs w:val="22"/>
                <w:color w:val="auto"/>
              </w:rPr>
              <w:t>16.10</w:t>
            </w:r>
          </w:p>
        </w:tc>
        <w:tc>
          <w:tcPr>
            <w:tcW w:w="500" w:type="dxa"/>
            <w:vAlign w:val="bottom"/>
          </w:tcPr>
          <w:p>
            <w:pPr>
              <w:spacing w:after="0"/>
              <w:rPr>
                <w:sz w:val="24"/>
                <w:szCs w:val="24"/>
                <w:color w:val="auto"/>
              </w:rPr>
            </w:pPr>
          </w:p>
        </w:tc>
        <w:tc>
          <w:tcPr>
            <w:tcW w:w="2620" w:type="dxa"/>
            <w:vAlign w:val="bottom"/>
            <w:gridSpan w:val="14"/>
          </w:tcPr>
          <w:p>
            <w:pPr>
              <w:spacing w:after="0"/>
              <w:rPr>
                <w:sz w:val="20"/>
                <w:szCs w:val="20"/>
                <w:color w:val="auto"/>
              </w:rPr>
            </w:pPr>
            <w:r>
              <w:rPr>
                <w:rFonts w:ascii="Arial" w:cs="Arial" w:eastAsia="Arial" w:hAnsi="Arial"/>
                <w:sz w:val="22"/>
                <w:szCs w:val="22"/>
                <w:color w:val="auto"/>
                <w:w w:val="92"/>
              </w:rPr>
              <w:t>Lender in Individual Capacity</w:t>
            </w:r>
          </w:p>
        </w:tc>
        <w:tc>
          <w:tcPr>
            <w:tcW w:w="340" w:type="dxa"/>
            <w:vAlign w:val="bottom"/>
            <w:gridSpan w:val="3"/>
          </w:tcPr>
          <w:p>
            <w:pPr>
              <w:spacing w:after="0"/>
              <w:rPr>
                <w:sz w:val="20"/>
                <w:szCs w:val="20"/>
                <w:color w:val="auto"/>
              </w:rPr>
            </w:pPr>
            <w:r>
              <w:rPr>
                <w:rFonts w:ascii="Arial" w:cs="Arial" w:eastAsia="Arial" w:hAnsi="Arial"/>
                <w:sz w:val="22"/>
                <w:szCs w:val="22"/>
                <w:color w:val="FF0000"/>
                <w:strike w:val="1"/>
                <w:w w:val="87"/>
              </w:rPr>
              <w:t>108</w:t>
            </w:r>
          </w:p>
        </w:tc>
        <w:tc>
          <w:tcPr>
            <w:tcW w:w="420" w:type="dxa"/>
            <w:vAlign w:val="bottom"/>
            <w:gridSpan w:val="3"/>
          </w:tcPr>
          <w:p>
            <w:pPr>
              <w:jc w:val="right"/>
              <w:ind w:right="120"/>
              <w:spacing w:after="0"/>
              <w:rPr>
                <w:sz w:val="20"/>
                <w:szCs w:val="20"/>
                <w:color w:val="auto"/>
              </w:rPr>
            </w:pPr>
            <w:r>
              <w:rPr>
                <w:rFonts w:ascii="Arial" w:cs="Arial" w:eastAsia="Arial" w:hAnsi="Arial"/>
                <w:sz w:val="22"/>
                <w:szCs w:val="22"/>
                <w:color w:val="0000FF"/>
                <w:w w:val="76"/>
              </w:rPr>
              <w:t>116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w w:val="83"/>
              </w:rPr>
              <w:t>16.11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6"/>
          </w:tcPr>
          <w:p>
            <w:pPr>
              <w:spacing w:after="0"/>
              <w:rPr>
                <w:sz w:val="20"/>
                <w:szCs w:val="20"/>
                <w:color w:val="auto"/>
              </w:rPr>
            </w:pPr>
            <w:r>
              <w:rPr>
                <w:rFonts w:ascii="Arial" w:cs="Arial" w:eastAsia="Arial" w:hAnsi="Arial"/>
                <w:sz w:val="22"/>
                <w:szCs w:val="22"/>
                <w:color w:val="auto"/>
                <w:w w:val="92"/>
              </w:rPr>
              <w:t>Withholding Taxes.</w:t>
            </w:r>
          </w:p>
        </w:tc>
        <w:tc>
          <w:tcPr>
            <w:tcW w:w="320" w:type="dxa"/>
            <w:vAlign w:val="bottom"/>
            <w:gridSpan w:val="3"/>
          </w:tcPr>
          <w:p>
            <w:pPr>
              <w:spacing w:after="0"/>
              <w:rPr>
                <w:sz w:val="20"/>
                <w:szCs w:val="20"/>
                <w:color w:val="auto"/>
              </w:rPr>
            </w:pPr>
            <w:r>
              <w:rPr>
                <w:rFonts w:ascii="Arial" w:cs="Arial" w:eastAsia="Arial" w:hAnsi="Arial"/>
                <w:sz w:val="22"/>
                <w:szCs w:val="22"/>
                <w:color w:val="FF0000"/>
                <w:strike w:val="1"/>
                <w:w w:val="76"/>
              </w:rPr>
              <w:t>109</w:t>
            </w:r>
          </w:p>
        </w:tc>
        <w:tc>
          <w:tcPr>
            <w:tcW w:w="440" w:type="dxa"/>
            <w:vAlign w:val="bottom"/>
            <w:gridSpan w:val="3"/>
          </w:tcPr>
          <w:p>
            <w:pPr>
              <w:jc w:val="right"/>
              <w:ind w:right="120"/>
              <w:spacing w:after="0"/>
              <w:rPr>
                <w:sz w:val="20"/>
                <w:szCs w:val="20"/>
                <w:color w:val="auto"/>
              </w:rPr>
            </w:pPr>
            <w:r>
              <w:rPr>
                <w:rFonts w:ascii="Arial" w:cs="Arial" w:eastAsia="Arial" w:hAnsi="Arial"/>
                <w:sz w:val="22"/>
                <w:szCs w:val="22"/>
                <w:color w:val="0000FF"/>
                <w:w w:val="81"/>
              </w:rPr>
              <w:t>117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31"/>
        </w:trPr>
        <w:tc>
          <w:tcPr>
            <w:tcW w:w="1400" w:type="dxa"/>
            <w:vAlign w:val="bottom"/>
            <w:gridSpan w:val="3"/>
          </w:tcPr>
          <w:p>
            <w:pPr>
              <w:ind w:left="820"/>
              <w:spacing w:after="0"/>
              <w:rPr>
                <w:sz w:val="20"/>
                <w:szCs w:val="20"/>
                <w:color w:val="auto"/>
              </w:rPr>
            </w:pPr>
            <w:r>
              <w:rPr>
                <w:rFonts w:ascii="Arial" w:cs="Arial" w:eastAsia="Arial" w:hAnsi="Arial"/>
                <w:sz w:val="22"/>
                <w:szCs w:val="22"/>
                <w:color w:val="auto"/>
              </w:rPr>
              <w:t>16.12</w:t>
            </w:r>
          </w:p>
        </w:tc>
        <w:tc>
          <w:tcPr>
            <w:tcW w:w="500" w:type="dxa"/>
            <w:vAlign w:val="bottom"/>
          </w:tcPr>
          <w:p>
            <w:pPr>
              <w:spacing w:after="0"/>
              <w:rPr>
                <w:sz w:val="24"/>
                <w:szCs w:val="24"/>
                <w:color w:val="auto"/>
              </w:rPr>
            </w:pPr>
          </w:p>
        </w:tc>
        <w:tc>
          <w:tcPr>
            <w:tcW w:w="1760" w:type="dxa"/>
            <w:vAlign w:val="bottom"/>
            <w:gridSpan w:val="6"/>
          </w:tcPr>
          <w:p>
            <w:pPr>
              <w:spacing w:after="0"/>
              <w:rPr>
                <w:sz w:val="20"/>
                <w:szCs w:val="20"/>
                <w:color w:val="auto"/>
              </w:rPr>
            </w:pPr>
            <w:r>
              <w:rPr>
                <w:rFonts w:ascii="Arial" w:cs="Arial" w:eastAsia="Arial" w:hAnsi="Arial"/>
                <w:sz w:val="22"/>
                <w:szCs w:val="22"/>
                <w:color w:val="auto"/>
                <w:w w:val="97"/>
              </w:rPr>
              <w:t>Collateral Matters.</w:t>
            </w:r>
          </w:p>
        </w:tc>
        <w:tc>
          <w:tcPr>
            <w:tcW w:w="320" w:type="dxa"/>
            <w:vAlign w:val="bottom"/>
            <w:gridSpan w:val="3"/>
          </w:tcPr>
          <w:p>
            <w:pPr>
              <w:spacing w:after="0"/>
              <w:rPr>
                <w:sz w:val="20"/>
                <w:szCs w:val="20"/>
                <w:color w:val="auto"/>
              </w:rPr>
            </w:pPr>
            <w:r>
              <w:rPr>
                <w:rFonts w:ascii="Arial" w:cs="Arial" w:eastAsia="Arial" w:hAnsi="Arial"/>
                <w:sz w:val="22"/>
                <w:szCs w:val="22"/>
                <w:color w:val="FF0000"/>
                <w:strike w:val="1"/>
                <w:w w:val="76"/>
              </w:rPr>
              <w:t>111</w:t>
            </w:r>
          </w:p>
        </w:tc>
        <w:tc>
          <w:tcPr>
            <w:tcW w:w="300" w:type="dxa"/>
            <w:vAlign w:val="bottom"/>
            <w:gridSpan w:val="2"/>
          </w:tcPr>
          <w:p>
            <w:pPr>
              <w:jc w:val="right"/>
              <w:spacing w:after="0"/>
              <w:rPr>
                <w:sz w:val="20"/>
                <w:szCs w:val="20"/>
                <w:color w:val="auto"/>
              </w:rPr>
            </w:pPr>
            <w:r>
              <w:rPr>
                <w:rFonts w:ascii="Arial" w:cs="Arial" w:eastAsia="Arial" w:hAnsi="Arial"/>
                <w:sz w:val="22"/>
                <w:szCs w:val="22"/>
                <w:color w:val="0000FF"/>
                <w:w w:val="76"/>
              </w:rPr>
              <w:t>119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31"/>
        </w:trPr>
        <w:tc>
          <w:tcPr>
            <w:tcW w:w="1400" w:type="dxa"/>
            <w:vAlign w:val="bottom"/>
            <w:gridSpan w:val="3"/>
          </w:tcPr>
          <w:p>
            <w:pPr>
              <w:ind w:left="820"/>
              <w:spacing w:after="0"/>
              <w:rPr>
                <w:sz w:val="20"/>
                <w:szCs w:val="20"/>
                <w:color w:val="auto"/>
              </w:rPr>
            </w:pPr>
            <w:r>
              <w:rPr>
                <w:rFonts w:ascii="Arial" w:cs="Arial" w:eastAsia="Arial" w:hAnsi="Arial"/>
                <w:sz w:val="22"/>
                <w:szCs w:val="22"/>
                <w:color w:val="auto"/>
              </w:rPr>
              <w:t>16.13</w:t>
            </w:r>
          </w:p>
        </w:tc>
        <w:tc>
          <w:tcPr>
            <w:tcW w:w="500" w:type="dxa"/>
            <w:vAlign w:val="bottom"/>
          </w:tcPr>
          <w:p>
            <w:pPr>
              <w:spacing w:after="0"/>
              <w:rPr>
                <w:sz w:val="24"/>
                <w:szCs w:val="24"/>
                <w:color w:val="auto"/>
              </w:rPr>
            </w:pPr>
          </w:p>
        </w:tc>
        <w:tc>
          <w:tcPr>
            <w:tcW w:w="5220" w:type="dxa"/>
            <w:vAlign w:val="bottom"/>
            <w:gridSpan w:val="28"/>
          </w:tcPr>
          <w:p>
            <w:pPr>
              <w:spacing w:after="0"/>
              <w:rPr>
                <w:sz w:val="20"/>
                <w:szCs w:val="20"/>
                <w:color w:val="auto"/>
              </w:rPr>
            </w:pPr>
            <w:r>
              <w:rPr>
                <w:rFonts w:ascii="Arial" w:cs="Arial" w:eastAsia="Arial" w:hAnsi="Arial"/>
                <w:sz w:val="22"/>
                <w:szCs w:val="22"/>
                <w:color w:val="auto"/>
                <w:w w:val="92"/>
              </w:rPr>
              <w:t>Restrictions on Actions by Lenders; Sharing of Payments.</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w w:val="81"/>
              </w:rPr>
              <w:t>112</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120</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400" w:type="dxa"/>
            <w:vAlign w:val="bottom"/>
            <w:gridSpan w:val="3"/>
          </w:tcPr>
          <w:p>
            <w:pPr>
              <w:ind w:left="820"/>
              <w:spacing w:after="0"/>
              <w:rPr>
                <w:sz w:val="20"/>
                <w:szCs w:val="20"/>
                <w:color w:val="auto"/>
              </w:rPr>
            </w:pPr>
            <w:r>
              <w:rPr>
                <w:rFonts w:ascii="Arial" w:cs="Arial" w:eastAsia="Arial" w:hAnsi="Arial"/>
                <w:sz w:val="22"/>
                <w:szCs w:val="22"/>
                <w:color w:val="auto"/>
              </w:rPr>
              <w:t>16.14</w:t>
            </w:r>
          </w:p>
        </w:tc>
        <w:tc>
          <w:tcPr>
            <w:tcW w:w="500" w:type="dxa"/>
            <w:vAlign w:val="bottom"/>
          </w:tcPr>
          <w:p>
            <w:pPr>
              <w:spacing w:after="0"/>
              <w:rPr>
                <w:sz w:val="24"/>
                <w:szCs w:val="24"/>
                <w:color w:val="auto"/>
              </w:rPr>
            </w:pPr>
          </w:p>
        </w:tc>
        <w:tc>
          <w:tcPr>
            <w:tcW w:w="2200" w:type="dxa"/>
            <w:vAlign w:val="bottom"/>
            <w:gridSpan w:val="10"/>
          </w:tcPr>
          <w:p>
            <w:pPr>
              <w:spacing w:after="0"/>
              <w:rPr>
                <w:sz w:val="20"/>
                <w:szCs w:val="20"/>
                <w:color w:val="auto"/>
              </w:rPr>
            </w:pPr>
            <w:r>
              <w:rPr>
                <w:rFonts w:ascii="Arial" w:cs="Arial" w:eastAsia="Arial" w:hAnsi="Arial"/>
                <w:sz w:val="22"/>
                <w:szCs w:val="22"/>
                <w:color w:val="auto"/>
              </w:rPr>
              <w:t>Agency for Perfection</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112</w:t>
            </w: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1"/>
              </w:rPr>
              <w:t>120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400" w:type="dxa"/>
            <w:vAlign w:val="bottom"/>
            <w:gridSpan w:val="3"/>
          </w:tcPr>
          <w:p>
            <w:pPr>
              <w:ind w:left="820"/>
              <w:spacing w:after="0"/>
              <w:rPr>
                <w:sz w:val="20"/>
                <w:szCs w:val="20"/>
                <w:color w:val="auto"/>
              </w:rPr>
            </w:pPr>
            <w:r>
              <w:rPr>
                <w:rFonts w:ascii="Arial" w:cs="Arial" w:eastAsia="Arial" w:hAnsi="Arial"/>
                <w:sz w:val="22"/>
                <w:szCs w:val="22"/>
                <w:color w:val="auto"/>
              </w:rPr>
              <w:t>16.15</w:t>
            </w:r>
          </w:p>
        </w:tc>
        <w:tc>
          <w:tcPr>
            <w:tcW w:w="500" w:type="dxa"/>
            <w:vAlign w:val="bottom"/>
          </w:tcPr>
          <w:p>
            <w:pPr>
              <w:spacing w:after="0"/>
              <w:rPr>
                <w:sz w:val="24"/>
                <w:szCs w:val="24"/>
                <w:color w:val="auto"/>
              </w:rPr>
            </w:pPr>
          </w:p>
        </w:tc>
        <w:tc>
          <w:tcPr>
            <w:tcW w:w="3060" w:type="dxa"/>
            <w:vAlign w:val="bottom"/>
            <w:gridSpan w:val="18"/>
          </w:tcPr>
          <w:p>
            <w:pPr>
              <w:spacing w:after="0"/>
              <w:rPr>
                <w:sz w:val="20"/>
                <w:szCs w:val="20"/>
                <w:color w:val="auto"/>
              </w:rPr>
            </w:pPr>
            <w:r>
              <w:rPr>
                <w:rFonts w:ascii="Arial" w:cs="Arial" w:eastAsia="Arial" w:hAnsi="Arial"/>
                <w:sz w:val="22"/>
                <w:szCs w:val="22"/>
                <w:color w:val="auto"/>
                <w:w w:val="90"/>
              </w:rPr>
              <w:t>Payments by Agent to the Lenders</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113</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121</w:t>
            </w:r>
          </w:p>
        </w:tc>
        <w:tc>
          <w:tcPr>
            <w:tcW w:w="1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400" w:type="dxa"/>
            <w:vAlign w:val="bottom"/>
            <w:gridSpan w:val="3"/>
          </w:tcPr>
          <w:p>
            <w:pPr>
              <w:ind w:left="820"/>
              <w:spacing w:after="0"/>
              <w:rPr>
                <w:sz w:val="20"/>
                <w:szCs w:val="20"/>
                <w:color w:val="auto"/>
              </w:rPr>
            </w:pPr>
            <w:r>
              <w:rPr>
                <w:rFonts w:ascii="Arial" w:cs="Arial" w:eastAsia="Arial" w:hAnsi="Arial"/>
                <w:sz w:val="22"/>
                <w:szCs w:val="22"/>
                <w:color w:val="auto"/>
              </w:rPr>
              <w:t>16.16</w:t>
            </w:r>
          </w:p>
        </w:tc>
        <w:tc>
          <w:tcPr>
            <w:tcW w:w="500" w:type="dxa"/>
            <w:vAlign w:val="bottom"/>
          </w:tcPr>
          <w:p>
            <w:pPr>
              <w:spacing w:after="0"/>
              <w:rPr>
                <w:sz w:val="24"/>
                <w:szCs w:val="24"/>
                <w:color w:val="auto"/>
              </w:rPr>
            </w:pPr>
          </w:p>
        </w:tc>
        <w:tc>
          <w:tcPr>
            <w:tcW w:w="5220" w:type="dxa"/>
            <w:vAlign w:val="bottom"/>
            <w:gridSpan w:val="28"/>
          </w:tcPr>
          <w:p>
            <w:pPr>
              <w:spacing w:after="0"/>
              <w:rPr>
                <w:sz w:val="20"/>
                <w:szCs w:val="20"/>
                <w:color w:val="auto"/>
              </w:rPr>
            </w:pPr>
            <w:r>
              <w:rPr>
                <w:rFonts w:ascii="Arial" w:cs="Arial" w:eastAsia="Arial" w:hAnsi="Arial"/>
                <w:sz w:val="22"/>
                <w:szCs w:val="22"/>
                <w:color w:val="auto"/>
                <w:w w:val="95"/>
              </w:rPr>
              <w:t>Concerning the Collateral and Related Loan Documents</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w w:val="81"/>
              </w:rPr>
              <w:t>113</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121</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0"/>
        </w:trPr>
        <w:tc>
          <w:tcPr>
            <w:tcW w:w="1400" w:type="dxa"/>
            <w:vAlign w:val="bottom"/>
            <w:gridSpan w:val="3"/>
          </w:tcPr>
          <w:p>
            <w:pPr>
              <w:ind w:left="820"/>
              <w:spacing w:after="0"/>
              <w:rPr>
                <w:sz w:val="20"/>
                <w:szCs w:val="20"/>
                <w:color w:val="auto"/>
              </w:rPr>
            </w:pPr>
            <w:r>
              <w:rPr>
                <w:rFonts w:ascii="Arial" w:cs="Arial" w:eastAsia="Arial" w:hAnsi="Arial"/>
                <w:sz w:val="22"/>
                <w:szCs w:val="22"/>
                <w:color w:val="auto"/>
              </w:rPr>
              <w:t>16.17</w:t>
            </w:r>
          </w:p>
        </w:tc>
        <w:tc>
          <w:tcPr>
            <w:tcW w:w="500" w:type="dxa"/>
            <w:vAlign w:val="bottom"/>
          </w:tcPr>
          <w:p>
            <w:pPr>
              <w:spacing w:after="0"/>
              <w:rPr>
                <w:sz w:val="24"/>
                <w:szCs w:val="24"/>
                <w:color w:val="auto"/>
              </w:rPr>
            </w:pPr>
          </w:p>
        </w:tc>
        <w:tc>
          <w:tcPr>
            <w:tcW w:w="9340" w:type="dxa"/>
            <w:vAlign w:val="bottom"/>
            <w:gridSpan w:val="35"/>
          </w:tcPr>
          <w:p>
            <w:pPr>
              <w:spacing w:after="0"/>
              <w:rPr>
                <w:sz w:val="20"/>
                <w:szCs w:val="20"/>
                <w:color w:val="auto"/>
              </w:rPr>
            </w:pPr>
            <w:r>
              <w:rPr>
                <w:rFonts w:ascii="Arial" w:cs="Arial" w:eastAsia="Arial" w:hAnsi="Arial"/>
                <w:sz w:val="22"/>
                <w:szCs w:val="22"/>
                <w:color w:val="auto"/>
                <w:w w:val="97"/>
              </w:rPr>
              <w:t>Field Audits and Examination Reports; Confidentiality; Disclaimers by Lenders; Other Reports and</w:t>
            </w:r>
          </w:p>
        </w:tc>
      </w:tr>
      <w:tr>
        <w:trPr>
          <w:trHeight w:val="224"/>
        </w:trPr>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ind w:left="100"/>
              <w:spacing w:after="0" w:line="224" w:lineRule="exact"/>
              <w:rPr>
                <w:sz w:val="20"/>
                <w:szCs w:val="20"/>
                <w:color w:val="auto"/>
              </w:rPr>
            </w:pPr>
            <w:r>
              <w:rPr>
                <w:rFonts w:ascii="Arial" w:cs="Arial" w:eastAsia="Arial" w:hAnsi="Arial"/>
                <w:sz w:val="22"/>
                <w:szCs w:val="22"/>
                <w:color w:val="auto"/>
              </w:rPr>
              <w:t>Information</w:t>
            </w:r>
          </w:p>
        </w:tc>
        <w:tc>
          <w:tcPr>
            <w:tcW w:w="320" w:type="dxa"/>
            <w:vAlign w:val="bottom"/>
          </w:tcPr>
          <w:p>
            <w:pPr>
              <w:jc w:val="right"/>
              <w:spacing w:after="0" w:line="224" w:lineRule="exact"/>
              <w:rPr>
                <w:sz w:val="20"/>
                <w:szCs w:val="20"/>
                <w:color w:val="auto"/>
              </w:rPr>
            </w:pPr>
            <w:r>
              <w:rPr>
                <w:rFonts w:ascii="Arial" w:cs="Arial" w:eastAsia="Arial" w:hAnsi="Arial"/>
                <w:sz w:val="22"/>
                <w:szCs w:val="22"/>
                <w:color w:val="FF0000"/>
                <w:strike w:val="1"/>
                <w:w w:val="81"/>
              </w:rPr>
              <w:t>113</w:t>
            </w:r>
          </w:p>
        </w:tc>
        <w:tc>
          <w:tcPr>
            <w:tcW w:w="320" w:type="dxa"/>
            <w:vAlign w:val="bottom"/>
            <w:tcBorders>
              <w:bottom w:val="single" w:sz="8" w:color="0000FF"/>
            </w:tcBorders>
            <w:gridSpan w:val="2"/>
          </w:tcPr>
          <w:p>
            <w:pPr>
              <w:jc w:val="right"/>
              <w:spacing w:after="0" w:line="224" w:lineRule="exact"/>
              <w:rPr>
                <w:sz w:val="20"/>
                <w:szCs w:val="20"/>
                <w:color w:val="auto"/>
              </w:rPr>
            </w:pPr>
            <w:r>
              <w:rPr>
                <w:rFonts w:ascii="Arial" w:cs="Arial" w:eastAsia="Arial" w:hAnsi="Arial"/>
                <w:sz w:val="22"/>
                <w:szCs w:val="22"/>
                <w:color w:val="0000FF"/>
                <w:w w:val="81"/>
              </w:rPr>
              <w:t>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31"/>
        </w:trPr>
        <w:tc>
          <w:tcPr>
            <w:tcW w:w="1400" w:type="dxa"/>
            <w:vAlign w:val="bottom"/>
            <w:gridSpan w:val="3"/>
          </w:tcPr>
          <w:p>
            <w:pPr>
              <w:ind w:left="820"/>
              <w:spacing w:after="0"/>
              <w:rPr>
                <w:sz w:val="20"/>
                <w:szCs w:val="20"/>
                <w:color w:val="auto"/>
              </w:rPr>
            </w:pPr>
            <w:r>
              <w:rPr>
                <w:rFonts w:ascii="Arial" w:cs="Arial" w:eastAsia="Arial" w:hAnsi="Arial"/>
                <w:sz w:val="22"/>
                <w:szCs w:val="22"/>
                <w:color w:val="auto"/>
              </w:rPr>
              <w:t>16.18</w:t>
            </w:r>
          </w:p>
        </w:tc>
        <w:tc>
          <w:tcPr>
            <w:tcW w:w="500" w:type="dxa"/>
            <w:vAlign w:val="bottom"/>
          </w:tcPr>
          <w:p>
            <w:pPr>
              <w:spacing w:after="0"/>
              <w:rPr>
                <w:sz w:val="24"/>
                <w:szCs w:val="24"/>
                <w:color w:val="auto"/>
              </w:rPr>
            </w:pPr>
          </w:p>
        </w:tc>
        <w:tc>
          <w:tcPr>
            <w:tcW w:w="2960" w:type="dxa"/>
            <w:vAlign w:val="bottom"/>
            <w:gridSpan w:val="17"/>
          </w:tcPr>
          <w:p>
            <w:pPr>
              <w:spacing w:after="0"/>
              <w:rPr>
                <w:sz w:val="20"/>
                <w:szCs w:val="20"/>
                <w:color w:val="auto"/>
              </w:rPr>
            </w:pPr>
            <w:r>
              <w:rPr>
                <w:rFonts w:ascii="Arial" w:cs="Arial" w:eastAsia="Arial" w:hAnsi="Arial"/>
                <w:sz w:val="22"/>
                <w:szCs w:val="22"/>
                <w:color w:val="auto"/>
                <w:w w:val="94"/>
              </w:rPr>
              <w:t>Several Obligations; No Liability</w:t>
            </w:r>
          </w:p>
        </w:tc>
        <w:tc>
          <w:tcPr>
            <w:tcW w:w="1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114</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2800" w:type="dxa"/>
            <w:vAlign w:val="bottom"/>
            <w:gridSpan w:val="5"/>
          </w:tcPr>
          <w:p>
            <w:pPr>
              <w:spacing w:after="0"/>
              <w:rPr>
                <w:sz w:val="20"/>
                <w:szCs w:val="20"/>
                <w:color w:val="auto"/>
              </w:rPr>
            </w:pPr>
            <w:r>
              <w:rPr>
                <w:rFonts w:ascii="Arial" w:cs="Arial" w:eastAsia="Arial" w:hAnsi="Arial"/>
                <w:sz w:val="22"/>
                <w:szCs w:val="22"/>
                <w:color w:val="auto"/>
                <w:w w:val="95"/>
              </w:rPr>
              <w:t>17. GENERAL PROVISIONS.</w:t>
            </w:r>
          </w:p>
        </w:tc>
        <w:tc>
          <w:tcPr>
            <w:tcW w:w="540" w:type="dxa"/>
            <w:vAlign w:val="bottom"/>
            <w:gridSpan w:val="2"/>
          </w:tcPr>
          <w:p>
            <w:pPr>
              <w:jc w:val="right"/>
              <w:spacing w:after="0"/>
              <w:rPr>
                <w:sz w:val="20"/>
                <w:szCs w:val="20"/>
                <w:color w:val="auto"/>
              </w:rPr>
            </w:pPr>
            <w:r>
              <w:rPr>
                <w:rFonts w:ascii="Arial" w:cs="Arial" w:eastAsia="Arial" w:hAnsi="Arial"/>
                <w:sz w:val="22"/>
                <w:szCs w:val="22"/>
                <w:color w:val="FF0000"/>
                <w:strike w:val="1"/>
              </w:rPr>
              <w:t>114</w:t>
            </w:r>
          </w:p>
        </w:tc>
        <w:tc>
          <w:tcPr>
            <w:tcW w:w="340" w:type="dxa"/>
            <w:vAlign w:val="bottom"/>
            <w:tcBorders>
              <w:bottom w:val="single" w:sz="8" w:color="0000FF"/>
            </w:tcBorders>
            <w:gridSpan w:val="4"/>
          </w:tcPr>
          <w:p>
            <w:pPr>
              <w:jc w:val="right"/>
              <w:spacing w:after="0"/>
              <w:rPr>
                <w:sz w:val="20"/>
                <w:szCs w:val="20"/>
                <w:color w:val="auto"/>
              </w:rPr>
            </w:pPr>
            <w:r>
              <w:rPr>
                <w:rFonts w:ascii="Arial" w:cs="Arial" w:eastAsia="Arial" w:hAnsi="Arial"/>
                <w:sz w:val="22"/>
                <w:szCs w:val="22"/>
                <w:color w:val="0000FF"/>
                <w:w w:val="87"/>
              </w:rPr>
              <w:t>122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17.1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22"/>
                <w:szCs w:val="22"/>
                <w:color w:val="auto"/>
                <w:w w:val="91"/>
              </w:rPr>
              <w:t>Effectiveness</w:t>
            </w:r>
          </w:p>
        </w:tc>
        <w:tc>
          <w:tcPr>
            <w:tcW w:w="420" w:type="dxa"/>
            <w:vAlign w:val="bottom"/>
            <w:gridSpan w:val="3"/>
          </w:tcPr>
          <w:p>
            <w:pPr>
              <w:jc w:val="right"/>
              <w:spacing w:after="0"/>
              <w:rPr>
                <w:sz w:val="20"/>
                <w:szCs w:val="20"/>
                <w:color w:val="auto"/>
              </w:rPr>
            </w:pPr>
            <w:r>
              <w:rPr>
                <w:rFonts w:ascii="Arial" w:cs="Arial" w:eastAsia="Arial" w:hAnsi="Arial"/>
                <w:sz w:val="22"/>
                <w:szCs w:val="22"/>
                <w:color w:val="FF0000"/>
                <w:strike w:val="1"/>
              </w:rPr>
              <w:t>114</w:t>
            </w:r>
          </w:p>
        </w:tc>
        <w:tc>
          <w:tcPr>
            <w:tcW w:w="34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7"/>
              </w:rPr>
              <w:t>122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17.2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6"/>
          </w:tcPr>
          <w:p>
            <w:pPr>
              <w:spacing w:after="0"/>
              <w:rPr>
                <w:sz w:val="20"/>
                <w:szCs w:val="20"/>
                <w:color w:val="auto"/>
              </w:rPr>
            </w:pPr>
            <w:r>
              <w:rPr>
                <w:rFonts w:ascii="Arial" w:cs="Arial" w:eastAsia="Arial" w:hAnsi="Arial"/>
                <w:sz w:val="22"/>
                <w:szCs w:val="22"/>
                <w:color w:val="auto"/>
              </w:rPr>
              <w:t>Section Headings</w:t>
            </w:r>
          </w:p>
        </w:tc>
        <w:tc>
          <w:tcPr>
            <w:tcW w:w="320" w:type="dxa"/>
            <w:vAlign w:val="bottom"/>
            <w:gridSpan w:val="3"/>
          </w:tcPr>
          <w:p>
            <w:pPr>
              <w:spacing w:after="0"/>
              <w:rPr>
                <w:sz w:val="20"/>
                <w:szCs w:val="20"/>
                <w:color w:val="auto"/>
              </w:rPr>
            </w:pPr>
            <w:r>
              <w:rPr>
                <w:rFonts w:ascii="Arial" w:cs="Arial" w:eastAsia="Arial" w:hAnsi="Arial"/>
                <w:sz w:val="22"/>
                <w:szCs w:val="22"/>
                <w:color w:val="FF0000"/>
                <w:strike w:val="1"/>
                <w:w w:val="76"/>
              </w:rPr>
              <w:t>114</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122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17.3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22"/>
                <w:szCs w:val="22"/>
                <w:color w:val="auto"/>
                <w:w w:val="92"/>
              </w:rPr>
              <w:t>Interpretation</w:t>
            </w:r>
          </w:p>
        </w:tc>
        <w:tc>
          <w:tcPr>
            <w:tcW w:w="420" w:type="dxa"/>
            <w:vAlign w:val="bottom"/>
            <w:gridSpan w:val="3"/>
          </w:tcPr>
          <w:p>
            <w:pPr>
              <w:jc w:val="right"/>
              <w:spacing w:after="0"/>
              <w:rPr>
                <w:sz w:val="20"/>
                <w:szCs w:val="20"/>
                <w:color w:val="auto"/>
              </w:rPr>
            </w:pPr>
            <w:r>
              <w:rPr>
                <w:rFonts w:ascii="Arial" w:cs="Arial" w:eastAsia="Arial" w:hAnsi="Arial"/>
                <w:sz w:val="22"/>
                <w:szCs w:val="22"/>
                <w:color w:val="FF0000"/>
                <w:strike w:val="1"/>
              </w:rPr>
              <w:t>114</w:t>
            </w:r>
          </w:p>
        </w:tc>
        <w:tc>
          <w:tcPr>
            <w:tcW w:w="34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7"/>
              </w:rPr>
              <w:t>122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17.4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40" w:type="dxa"/>
            <w:vAlign w:val="bottom"/>
            <w:gridSpan w:val="13"/>
          </w:tcPr>
          <w:p>
            <w:pPr>
              <w:spacing w:after="0"/>
              <w:rPr>
                <w:sz w:val="20"/>
                <w:szCs w:val="20"/>
                <w:color w:val="auto"/>
              </w:rPr>
            </w:pPr>
            <w:r>
              <w:rPr>
                <w:rFonts w:ascii="Arial" w:cs="Arial" w:eastAsia="Arial" w:hAnsi="Arial"/>
                <w:sz w:val="22"/>
                <w:szCs w:val="22"/>
                <w:color w:val="auto"/>
              </w:rPr>
              <w:t>Severability of Provisions</w:t>
            </w:r>
          </w:p>
        </w:tc>
        <w:tc>
          <w:tcPr>
            <w:tcW w:w="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22"/>
                <w:szCs w:val="22"/>
                <w:color w:val="FF0000"/>
                <w:strike w:val="1"/>
                <w:w w:val="81"/>
              </w:rPr>
              <w:t>115</w:t>
            </w: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1"/>
              </w:rPr>
              <w:t>123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17.5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0" w:type="dxa"/>
            <w:vAlign w:val="bottom"/>
            <w:gridSpan w:val="10"/>
          </w:tcPr>
          <w:p>
            <w:pPr>
              <w:spacing w:after="0"/>
              <w:rPr>
                <w:sz w:val="20"/>
                <w:szCs w:val="20"/>
                <w:color w:val="auto"/>
              </w:rPr>
            </w:pPr>
            <w:r>
              <w:rPr>
                <w:rFonts w:ascii="Arial" w:cs="Arial" w:eastAsia="Arial" w:hAnsi="Arial"/>
                <w:sz w:val="22"/>
                <w:szCs w:val="22"/>
                <w:color w:val="auto"/>
                <w:w w:val="95"/>
              </w:rPr>
              <w:t>Amendments in Writing</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115</w:t>
            </w: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1"/>
              </w:rPr>
              <w:t>123</w:t>
            </w:r>
          </w:p>
        </w:tc>
        <w:tc>
          <w:tcPr>
            <w:tcW w:w="1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17.6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gridSpan w:val="20"/>
          </w:tcPr>
          <w:p>
            <w:pPr>
              <w:spacing w:after="0"/>
              <w:rPr>
                <w:sz w:val="20"/>
                <w:szCs w:val="20"/>
                <w:color w:val="auto"/>
              </w:rPr>
            </w:pPr>
            <w:r>
              <w:rPr>
                <w:rFonts w:ascii="Arial" w:cs="Arial" w:eastAsia="Arial" w:hAnsi="Arial"/>
                <w:sz w:val="22"/>
                <w:szCs w:val="22"/>
                <w:color w:val="auto"/>
                <w:w w:val="90"/>
              </w:rPr>
              <w:t>Counterparts; Telefacsimile Execution</w:t>
            </w:r>
          </w:p>
        </w:tc>
        <w:tc>
          <w:tcPr>
            <w:tcW w:w="420" w:type="dxa"/>
            <w:vAlign w:val="bottom"/>
            <w:gridSpan w:val="2"/>
          </w:tcPr>
          <w:p>
            <w:pPr>
              <w:ind w:left="120"/>
              <w:spacing w:after="0"/>
              <w:rPr>
                <w:sz w:val="20"/>
                <w:szCs w:val="20"/>
                <w:color w:val="auto"/>
              </w:rPr>
            </w:pPr>
            <w:r>
              <w:rPr>
                <w:rFonts w:ascii="Arial" w:cs="Arial" w:eastAsia="Arial" w:hAnsi="Arial"/>
                <w:sz w:val="22"/>
                <w:szCs w:val="22"/>
                <w:color w:val="FF0000"/>
                <w:strike w:val="1"/>
                <w:w w:val="76"/>
              </w:rPr>
              <w:t>115</w:t>
            </w:r>
          </w:p>
        </w:tc>
        <w:tc>
          <w:tcPr>
            <w:tcW w:w="34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7"/>
              </w:rPr>
              <w:t>123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17.7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20" w:type="dxa"/>
            <w:vAlign w:val="bottom"/>
            <w:gridSpan w:val="24"/>
          </w:tcPr>
          <w:p>
            <w:pPr>
              <w:spacing w:after="0"/>
              <w:rPr>
                <w:sz w:val="20"/>
                <w:szCs w:val="20"/>
                <w:color w:val="auto"/>
              </w:rPr>
            </w:pPr>
            <w:r>
              <w:rPr>
                <w:rFonts w:ascii="Arial" w:cs="Arial" w:eastAsia="Arial" w:hAnsi="Arial"/>
                <w:sz w:val="22"/>
                <w:szCs w:val="22"/>
                <w:color w:val="auto"/>
                <w:w w:val="96"/>
              </w:rPr>
              <w:t>Revival and Reinstatement of Obligations</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115</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123</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17.8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22"/>
                <w:szCs w:val="22"/>
                <w:color w:val="auto"/>
              </w:rPr>
              <w:t>Integration</w:t>
            </w:r>
          </w:p>
        </w:tc>
        <w:tc>
          <w:tcPr>
            <w:tcW w:w="420" w:type="dxa"/>
            <w:vAlign w:val="bottom"/>
            <w:gridSpan w:val="3"/>
          </w:tcPr>
          <w:p>
            <w:pPr>
              <w:jc w:val="right"/>
              <w:spacing w:after="0"/>
              <w:rPr>
                <w:sz w:val="20"/>
                <w:szCs w:val="20"/>
                <w:color w:val="auto"/>
              </w:rPr>
            </w:pPr>
            <w:r>
              <w:rPr>
                <w:rFonts w:ascii="Arial" w:cs="Arial" w:eastAsia="Arial" w:hAnsi="Arial"/>
                <w:sz w:val="22"/>
                <w:szCs w:val="22"/>
                <w:color w:val="FF0000"/>
                <w:strike w:val="1"/>
              </w:rPr>
              <w:t>115</w:t>
            </w:r>
          </w:p>
        </w:tc>
        <w:tc>
          <w:tcPr>
            <w:tcW w:w="34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7"/>
              </w:rPr>
              <w:t>123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17.9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60" w:type="dxa"/>
            <w:vAlign w:val="bottom"/>
            <w:gridSpan w:val="17"/>
          </w:tcPr>
          <w:p>
            <w:pPr>
              <w:spacing w:after="0"/>
              <w:rPr>
                <w:sz w:val="20"/>
                <w:szCs w:val="20"/>
                <w:color w:val="auto"/>
              </w:rPr>
            </w:pPr>
            <w:r>
              <w:rPr>
                <w:rFonts w:ascii="Arial" w:cs="Arial" w:eastAsia="Arial" w:hAnsi="Arial"/>
                <w:sz w:val="22"/>
                <w:szCs w:val="22"/>
                <w:color w:val="auto"/>
                <w:w w:val="92"/>
              </w:rPr>
              <w:t>Parent as Agent for Loan Parties</w:t>
            </w:r>
          </w:p>
        </w:tc>
        <w:tc>
          <w:tcPr>
            <w:tcW w:w="1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115</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400" w:type="dxa"/>
            <w:vAlign w:val="bottom"/>
            <w:gridSpan w:val="3"/>
          </w:tcPr>
          <w:p>
            <w:pPr>
              <w:ind w:left="820"/>
              <w:spacing w:after="0"/>
              <w:rPr>
                <w:sz w:val="20"/>
                <w:szCs w:val="20"/>
                <w:color w:val="auto"/>
              </w:rPr>
            </w:pPr>
            <w:r>
              <w:rPr>
                <w:rFonts w:ascii="Arial" w:cs="Arial" w:eastAsia="Arial" w:hAnsi="Arial"/>
                <w:sz w:val="22"/>
                <w:szCs w:val="22"/>
                <w:color w:val="auto"/>
              </w:rPr>
              <w:t>17.10</w:t>
            </w:r>
          </w:p>
        </w:tc>
        <w:tc>
          <w:tcPr>
            <w:tcW w:w="5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22"/>
                <w:szCs w:val="22"/>
                <w:color w:val="auto"/>
                <w:w w:val="99"/>
              </w:rPr>
              <w:t>No Novation</w:t>
            </w:r>
          </w:p>
        </w:tc>
        <w:tc>
          <w:tcPr>
            <w:tcW w:w="420" w:type="dxa"/>
            <w:vAlign w:val="bottom"/>
            <w:gridSpan w:val="3"/>
          </w:tcPr>
          <w:p>
            <w:pPr>
              <w:jc w:val="right"/>
              <w:spacing w:after="0"/>
              <w:rPr>
                <w:sz w:val="20"/>
                <w:szCs w:val="20"/>
                <w:color w:val="auto"/>
              </w:rPr>
            </w:pPr>
            <w:r>
              <w:rPr>
                <w:rFonts w:ascii="Arial" w:cs="Arial" w:eastAsia="Arial" w:hAnsi="Arial"/>
                <w:sz w:val="22"/>
                <w:szCs w:val="22"/>
                <w:color w:val="FF0000"/>
                <w:strike w:val="1"/>
              </w:rPr>
              <w:t>116</w:t>
            </w:r>
          </w:p>
        </w:tc>
        <w:tc>
          <w:tcPr>
            <w:tcW w:w="34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7"/>
              </w:rPr>
              <w:t>124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w w:val="83"/>
              </w:rPr>
              <w:t>17.11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40" w:type="dxa"/>
            <w:vAlign w:val="bottom"/>
            <w:gridSpan w:val="13"/>
          </w:tcPr>
          <w:p>
            <w:pPr>
              <w:spacing w:after="0"/>
              <w:rPr>
                <w:sz w:val="20"/>
                <w:szCs w:val="20"/>
                <w:color w:val="auto"/>
              </w:rPr>
            </w:pPr>
            <w:r>
              <w:rPr>
                <w:rFonts w:ascii="Arial" w:cs="Arial" w:eastAsia="Arial" w:hAnsi="Arial"/>
                <w:sz w:val="22"/>
                <w:szCs w:val="22"/>
                <w:color w:val="auto"/>
              </w:rPr>
              <w:t>Patriot Act; Due Diligence</w:t>
            </w:r>
          </w:p>
        </w:tc>
        <w:tc>
          <w:tcPr>
            <w:tcW w:w="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22"/>
                <w:szCs w:val="22"/>
                <w:color w:val="FF0000"/>
                <w:strike w:val="1"/>
                <w:w w:val="81"/>
              </w:rPr>
              <w:t>117</w:t>
            </w: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1"/>
              </w:rPr>
              <w:t>125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400" w:type="dxa"/>
            <w:vAlign w:val="bottom"/>
            <w:gridSpan w:val="3"/>
          </w:tcPr>
          <w:p>
            <w:pPr>
              <w:ind w:left="820"/>
              <w:spacing w:after="0"/>
              <w:rPr>
                <w:sz w:val="20"/>
                <w:szCs w:val="20"/>
                <w:color w:val="auto"/>
              </w:rPr>
            </w:pPr>
            <w:r>
              <w:rPr>
                <w:rFonts w:ascii="Arial" w:cs="Arial" w:eastAsia="Arial" w:hAnsi="Arial"/>
                <w:sz w:val="22"/>
                <w:szCs w:val="22"/>
                <w:color w:val="auto"/>
              </w:rPr>
              <w:t>17.12</w:t>
            </w:r>
          </w:p>
        </w:tc>
        <w:tc>
          <w:tcPr>
            <w:tcW w:w="500" w:type="dxa"/>
            <w:vAlign w:val="bottom"/>
          </w:tcPr>
          <w:p>
            <w:pPr>
              <w:spacing w:after="0"/>
              <w:rPr>
                <w:sz w:val="24"/>
                <w:szCs w:val="24"/>
                <w:color w:val="auto"/>
              </w:rPr>
            </w:pPr>
          </w:p>
        </w:tc>
        <w:tc>
          <w:tcPr>
            <w:tcW w:w="2200" w:type="dxa"/>
            <w:vAlign w:val="bottom"/>
            <w:gridSpan w:val="10"/>
          </w:tcPr>
          <w:p>
            <w:pPr>
              <w:spacing w:after="0"/>
              <w:rPr>
                <w:sz w:val="20"/>
                <w:szCs w:val="20"/>
                <w:color w:val="auto"/>
              </w:rPr>
            </w:pPr>
            <w:r>
              <w:rPr>
                <w:rFonts w:ascii="Arial" w:cs="Arial" w:eastAsia="Arial" w:hAnsi="Arial"/>
                <w:sz w:val="22"/>
                <w:szCs w:val="22"/>
                <w:color w:val="auto"/>
                <w:w w:val="94"/>
              </w:rPr>
              <w:t>Bank Product Providers</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117</w:t>
            </w: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1"/>
              </w:rPr>
              <w:t>125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1400" w:type="dxa"/>
            <w:vAlign w:val="bottom"/>
            <w:gridSpan w:val="3"/>
          </w:tcPr>
          <w:p>
            <w:pPr>
              <w:ind w:left="820"/>
              <w:spacing w:after="0"/>
              <w:rPr>
                <w:sz w:val="20"/>
                <w:szCs w:val="20"/>
                <w:color w:val="auto"/>
              </w:rPr>
            </w:pPr>
            <w:r>
              <w:rPr>
                <w:rFonts w:ascii="Arial" w:cs="Arial" w:eastAsia="Arial" w:hAnsi="Arial"/>
                <w:sz w:val="22"/>
                <w:szCs w:val="22"/>
                <w:color w:val="0000FF"/>
              </w:rPr>
              <w:t>17.</w:t>
            </w:r>
            <w:r>
              <w:rPr>
                <w:rFonts w:ascii="Arial" w:cs="Arial" w:eastAsia="Arial" w:hAnsi="Arial"/>
                <w:sz w:val="22"/>
                <w:szCs w:val="22"/>
                <w:u w:val="single" w:color="auto"/>
                <w:color w:val="0000FF"/>
              </w:rPr>
              <w:t>13</w:t>
            </w:r>
          </w:p>
        </w:tc>
        <w:tc>
          <w:tcPr>
            <w:tcW w:w="500" w:type="dxa"/>
            <w:vAlign w:val="bottom"/>
          </w:tcPr>
          <w:p>
            <w:pPr>
              <w:spacing w:after="0"/>
              <w:rPr>
                <w:sz w:val="24"/>
                <w:szCs w:val="24"/>
                <w:color w:val="auto"/>
              </w:rPr>
            </w:pPr>
          </w:p>
        </w:tc>
        <w:tc>
          <w:tcPr>
            <w:tcW w:w="6780" w:type="dxa"/>
            <w:vAlign w:val="bottom"/>
            <w:gridSpan w:val="32"/>
          </w:tcPr>
          <w:p>
            <w:pPr>
              <w:spacing w:after="0"/>
              <w:rPr>
                <w:sz w:val="20"/>
                <w:szCs w:val="20"/>
                <w:color w:val="auto"/>
              </w:rPr>
            </w:pPr>
            <w:r>
              <w:rPr>
                <w:rFonts w:ascii="Arial" w:cs="Arial" w:eastAsia="Arial" w:hAnsi="Arial"/>
                <w:sz w:val="22"/>
                <w:szCs w:val="22"/>
                <w:color w:val="0000FF"/>
                <w:w w:val="93"/>
              </w:rPr>
              <w:t>Acknowledgement and Consent to Bail-In of Affected Financial Institutions.</w:t>
            </w:r>
          </w:p>
        </w:tc>
        <w:tc>
          <w:tcPr>
            <w:tcW w:w="500" w:type="dxa"/>
            <w:vAlign w:val="bottom"/>
            <w:gridSpan w:val="2"/>
          </w:tcPr>
          <w:p>
            <w:pPr>
              <w:jc w:val="right"/>
              <w:spacing w:after="0"/>
              <w:rPr>
                <w:sz w:val="20"/>
                <w:szCs w:val="20"/>
                <w:color w:val="auto"/>
              </w:rPr>
            </w:pPr>
            <w:r>
              <w:rPr>
                <w:rFonts w:ascii="Arial" w:cs="Arial" w:eastAsia="Arial" w:hAnsi="Arial"/>
                <w:sz w:val="22"/>
                <w:szCs w:val="22"/>
                <w:color w:val="0000FF"/>
              </w:rPr>
              <w:t>126</w:t>
            </w:r>
          </w:p>
        </w:tc>
        <w:tc>
          <w:tcPr>
            <w:tcW w:w="2060" w:type="dxa"/>
            <w:vAlign w:val="bottom"/>
          </w:tcPr>
          <w:p>
            <w:pPr>
              <w:spacing w:after="0"/>
              <w:rPr>
                <w:sz w:val="24"/>
                <w:szCs w:val="24"/>
                <w:color w:val="auto"/>
              </w:rPr>
            </w:pPr>
          </w:p>
        </w:tc>
      </w:tr>
      <w:tr>
        <w:trPr>
          <w:trHeight w:val="381"/>
        </w:trPr>
        <w:tc>
          <w:tcPr>
            <w:tcW w:w="820" w:type="dxa"/>
            <w:vAlign w:val="bottom"/>
          </w:tcPr>
          <w:p>
            <w:pPr>
              <w:spacing w:after="0"/>
              <w:rPr>
                <w:sz w:val="20"/>
                <w:szCs w:val="20"/>
                <w:color w:val="auto"/>
              </w:rPr>
            </w:pPr>
            <w:r>
              <w:rPr>
                <w:rFonts w:ascii="Arial" w:cs="Arial" w:eastAsia="Arial" w:hAnsi="Arial"/>
                <w:sz w:val="22"/>
                <w:szCs w:val="22"/>
                <w:color w:val="auto"/>
              </w:rPr>
              <w:t>-v-</w:t>
            </w:r>
          </w:p>
        </w:tc>
        <w:tc>
          <w:tcPr>
            <w:tcW w:w="4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60" w:type="dxa"/>
            <w:vAlign w:val="bottom"/>
          </w:tcPr>
          <w:p>
            <w:pPr>
              <w:spacing w:after="0"/>
              <w:rPr>
                <w:sz w:val="24"/>
                <w:szCs w:val="24"/>
                <w:color w:val="auto"/>
              </w:rPr>
            </w:pPr>
          </w:p>
        </w:tc>
      </w:tr>
      <w:tr>
        <w:trPr>
          <w:trHeight w:val="105"/>
        </w:trPr>
        <w:tc>
          <w:tcPr>
            <w:tcW w:w="8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u w:val="single" w:color="auto"/>
          <w:color w:val="auto"/>
        </w:rPr>
        <w:t>Page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gridSpan w:val="2"/>
          </w:tcPr>
          <w:p>
            <w:pPr>
              <w:ind w:left="820"/>
              <w:spacing w:after="0"/>
              <w:rPr>
                <w:sz w:val="20"/>
                <w:szCs w:val="20"/>
                <w:color w:val="auto"/>
              </w:rPr>
            </w:pPr>
            <w:r>
              <w:rPr>
                <w:rFonts w:ascii="Arial" w:cs="Arial" w:eastAsia="Arial" w:hAnsi="Arial"/>
                <w:sz w:val="22"/>
                <w:szCs w:val="22"/>
                <w:color w:val="0000FF"/>
                <w:w w:val="83"/>
              </w:rPr>
              <w:t>17.</w:t>
            </w:r>
            <w:r>
              <w:rPr>
                <w:rFonts w:ascii="Arial" w:cs="Arial" w:eastAsia="Arial" w:hAnsi="Arial"/>
                <w:sz w:val="22"/>
                <w:szCs w:val="22"/>
                <w:u w:val="single" w:color="auto"/>
                <w:color w:val="0000FF"/>
                <w:w w:val="83"/>
              </w:rPr>
              <w:t>14</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20" w:type="dxa"/>
            <w:vAlign w:val="bottom"/>
            <w:gridSpan w:val="22"/>
          </w:tcPr>
          <w:p>
            <w:pPr>
              <w:spacing w:after="0"/>
              <w:rPr>
                <w:sz w:val="20"/>
                <w:szCs w:val="20"/>
                <w:color w:val="auto"/>
              </w:rPr>
            </w:pPr>
            <w:r>
              <w:rPr>
                <w:rFonts w:ascii="Arial" w:cs="Arial" w:eastAsia="Arial" w:hAnsi="Arial"/>
                <w:sz w:val="22"/>
                <w:szCs w:val="22"/>
                <w:color w:val="0000FF"/>
                <w:w w:val="91"/>
              </w:rPr>
              <w:t>Acknowledgement Regarding Any Supported QFCs.  126</w:t>
            </w:r>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0000FF"/>
                <w:w w:val="83"/>
              </w:rPr>
              <w:t>17.</w:t>
            </w:r>
            <w:r>
              <w:rPr>
                <w:rFonts w:ascii="Arial" w:cs="Arial" w:eastAsia="Arial" w:hAnsi="Arial"/>
                <w:sz w:val="22"/>
                <w:szCs w:val="22"/>
                <w:u w:val="single" w:color="auto"/>
                <w:color w:val="0000FF"/>
                <w:w w:val="83"/>
              </w:rPr>
              <w:t>15</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11"/>
          </w:tcPr>
          <w:p>
            <w:pPr>
              <w:spacing w:after="0"/>
              <w:rPr>
                <w:sz w:val="20"/>
                <w:szCs w:val="20"/>
                <w:color w:val="auto"/>
              </w:rPr>
            </w:pPr>
            <w:r>
              <w:rPr>
                <w:rFonts w:ascii="Arial" w:cs="Arial" w:eastAsia="Arial" w:hAnsi="Arial"/>
                <w:sz w:val="22"/>
                <w:szCs w:val="22"/>
                <w:color w:val="0000FF"/>
                <w:w w:val="97"/>
              </w:rPr>
              <w:t>Erroneous Payments.</w:t>
            </w:r>
          </w:p>
        </w:tc>
        <w:tc>
          <w:tcPr>
            <w:tcW w:w="440" w:type="dxa"/>
            <w:vAlign w:val="bottom"/>
            <w:gridSpan w:val="3"/>
          </w:tcPr>
          <w:p>
            <w:pPr>
              <w:jc w:val="right"/>
              <w:spacing w:after="0"/>
              <w:rPr>
                <w:sz w:val="20"/>
                <w:szCs w:val="20"/>
                <w:color w:val="auto"/>
              </w:rPr>
            </w:pPr>
            <w:r>
              <w:rPr>
                <w:rFonts w:ascii="Arial" w:cs="Arial" w:eastAsia="Arial" w:hAnsi="Arial"/>
                <w:sz w:val="22"/>
                <w:szCs w:val="22"/>
                <w:color w:val="0000FF"/>
              </w:rPr>
              <w:t>127</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31"/>
        </w:trPr>
        <w:tc>
          <w:tcPr>
            <w:tcW w:w="1740" w:type="dxa"/>
            <w:vAlign w:val="bottom"/>
            <w:gridSpan w:val="3"/>
          </w:tcPr>
          <w:p>
            <w:pPr>
              <w:spacing w:after="0"/>
              <w:rPr>
                <w:sz w:val="20"/>
                <w:szCs w:val="20"/>
                <w:color w:val="auto"/>
              </w:rPr>
            </w:pPr>
            <w:r>
              <w:rPr>
                <w:rFonts w:ascii="Arial" w:cs="Arial" w:eastAsia="Arial" w:hAnsi="Arial"/>
                <w:sz w:val="22"/>
                <w:szCs w:val="22"/>
                <w:color w:val="auto"/>
              </w:rPr>
              <w:t>18. GUARANTY</w:t>
            </w:r>
          </w:p>
        </w:tc>
        <w:tc>
          <w:tcPr>
            <w:tcW w:w="3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118</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129</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18.1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15"/>
          </w:tcPr>
          <w:p>
            <w:pPr>
              <w:spacing w:after="0"/>
              <w:rPr>
                <w:sz w:val="20"/>
                <w:szCs w:val="20"/>
                <w:color w:val="auto"/>
              </w:rPr>
            </w:pPr>
            <w:r>
              <w:rPr>
                <w:rFonts w:ascii="Arial" w:cs="Arial" w:eastAsia="Arial" w:hAnsi="Arial"/>
                <w:sz w:val="22"/>
                <w:szCs w:val="22"/>
                <w:color w:val="auto"/>
              </w:rPr>
              <w:t>Guaranty; Limitation of Liability</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w w:val="81"/>
              </w:rPr>
              <w:t>118</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1"/>
              </w:rPr>
              <w:t>129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18.2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8"/>
          </w:tcPr>
          <w:p>
            <w:pPr>
              <w:spacing w:after="0"/>
              <w:rPr>
                <w:sz w:val="20"/>
                <w:szCs w:val="20"/>
                <w:color w:val="auto"/>
              </w:rPr>
            </w:pPr>
            <w:r>
              <w:rPr>
                <w:rFonts w:ascii="Arial" w:cs="Arial" w:eastAsia="Arial" w:hAnsi="Arial"/>
                <w:sz w:val="22"/>
                <w:szCs w:val="22"/>
                <w:color w:val="auto"/>
                <w:w w:val="95"/>
              </w:rPr>
              <w:t>Guaranty Absolute</w:t>
            </w:r>
          </w:p>
        </w:tc>
        <w:tc>
          <w:tcPr>
            <w:tcW w:w="320" w:type="dxa"/>
            <w:vAlign w:val="bottom"/>
            <w:gridSpan w:val="3"/>
          </w:tcPr>
          <w:p>
            <w:pPr>
              <w:jc w:val="right"/>
              <w:spacing w:after="0"/>
              <w:rPr>
                <w:sz w:val="20"/>
                <w:szCs w:val="20"/>
                <w:color w:val="auto"/>
              </w:rPr>
            </w:pPr>
            <w:r>
              <w:rPr>
                <w:rFonts w:ascii="Arial" w:cs="Arial" w:eastAsia="Arial" w:hAnsi="Arial"/>
                <w:sz w:val="22"/>
                <w:szCs w:val="22"/>
                <w:color w:val="FF0000"/>
                <w:strike w:val="1"/>
                <w:w w:val="81"/>
              </w:rPr>
              <w:t>118</w:t>
            </w: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129</w:t>
            </w:r>
          </w:p>
        </w:tc>
        <w:tc>
          <w:tcPr>
            <w:tcW w:w="6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18.3</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22"/>
                <w:szCs w:val="22"/>
                <w:color w:val="auto"/>
              </w:rPr>
              <w:t>Waiver</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w w:val="81"/>
              </w:rPr>
              <w:t>119</w:t>
            </w: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color w:val="0000FF"/>
                <w:w w:val="81"/>
              </w:rPr>
              <w:t>130</w:t>
            </w:r>
          </w:p>
        </w:tc>
        <w:tc>
          <w:tcPr>
            <w:tcW w:w="10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18.4</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15"/>
          </w:tcPr>
          <w:p>
            <w:pPr>
              <w:spacing w:after="0"/>
              <w:rPr>
                <w:sz w:val="20"/>
                <w:szCs w:val="20"/>
                <w:color w:val="auto"/>
              </w:rPr>
            </w:pPr>
            <w:r>
              <w:rPr>
                <w:rFonts w:ascii="Arial" w:cs="Arial" w:eastAsia="Arial" w:hAnsi="Arial"/>
                <w:sz w:val="22"/>
                <w:szCs w:val="22"/>
                <w:color w:val="auto"/>
                <w:w w:val="89"/>
              </w:rPr>
              <w:t>Continuing Guaranty; Assignments</w:t>
            </w:r>
          </w:p>
        </w:tc>
        <w:tc>
          <w:tcPr>
            <w:tcW w:w="3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22"/>
                <w:szCs w:val="22"/>
                <w:color w:val="FF0000"/>
                <w:strike w:val="1"/>
              </w:rPr>
              <w:t>119</w:t>
            </w:r>
          </w:p>
        </w:tc>
        <w:tc>
          <w:tcPr>
            <w:tcW w:w="340" w:type="dxa"/>
            <w:vAlign w:val="bottom"/>
            <w:tcBorders>
              <w:bottom w:val="single" w:sz="8" w:color="0000FF"/>
            </w:tcBorders>
          </w:tcPr>
          <w:p>
            <w:pPr>
              <w:jc w:val="right"/>
              <w:spacing w:after="0"/>
              <w:rPr>
                <w:sz w:val="20"/>
                <w:szCs w:val="20"/>
                <w:color w:val="auto"/>
              </w:rPr>
            </w:pPr>
            <w:r>
              <w:rPr>
                <w:rFonts w:ascii="Arial" w:cs="Arial" w:eastAsia="Arial" w:hAnsi="Arial"/>
                <w:sz w:val="22"/>
                <w:szCs w:val="22"/>
                <w:color w:val="0000FF"/>
                <w:w w:val="87"/>
              </w:rPr>
              <w:t>130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1"/>
        </w:trPr>
        <w:tc>
          <w:tcPr>
            <w:tcW w:w="1300" w:type="dxa"/>
            <w:vAlign w:val="bottom"/>
            <w:gridSpan w:val="2"/>
          </w:tcPr>
          <w:p>
            <w:pPr>
              <w:ind w:left="820"/>
              <w:spacing w:after="0"/>
              <w:rPr>
                <w:sz w:val="20"/>
                <w:szCs w:val="20"/>
                <w:color w:val="auto"/>
              </w:rPr>
            </w:pPr>
            <w:r>
              <w:rPr>
                <w:rFonts w:ascii="Arial" w:cs="Arial" w:eastAsia="Arial" w:hAnsi="Arial"/>
                <w:sz w:val="22"/>
                <w:szCs w:val="22"/>
                <w:color w:val="auto"/>
              </w:rPr>
              <w:t>18.5</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5"/>
          </w:tcPr>
          <w:p>
            <w:pPr>
              <w:spacing w:after="0"/>
              <w:rPr>
                <w:sz w:val="20"/>
                <w:szCs w:val="20"/>
                <w:color w:val="auto"/>
              </w:rPr>
            </w:pPr>
            <w:r>
              <w:rPr>
                <w:rFonts w:ascii="Arial" w:cs="Arial" w:eastAsia="Arial" w:hAnsi="Arial"/>
                <w:sz w:val="22"/>
                <w:szCs w:val="22"/>
                <w:color w:val="auto"/>
              </w:rPr>
              <w:t>Subrogation</w:t>
            </w:r>
          </w:p>
        </w:tc>
        <w:tc>
          <w:tcPr>
            <w:tcW w:w="300" w:type="dxa"/>
            <w:vAlign w:val="bottom"/>
            <w:gridSpan w:val="2"/>
          </w:tcPr>
          <w:p>
            <w:pPr>
              <w:jc w:val="right"/>
              <w:spacing w:after="0"/>
              <w:rPr>
                <w:sz w:val="20"/>
                <w:szCs w:val="20"/>
                <w:color w:val="auto"/>
              </w:rPr>
            </w:pPr>
            <w:r>
              <w:rPr>
                <w:rFonts w:ascii="Arial" w:cs="Arial" w:eastAsia="Arial" w:hAnsi="Arial"/>
                <w:sz w:val="22"/>
                <w:szCs w:val="22"/>
                <w:color w:val="FF0000"/>
                <w:strike w:val="1"/>
                <w:w w:val="76"/>
              </w:rPr>
              <w:t>119</w:t>
            </w:r>
          </w:p>
        </w:tc>
        <w:tc>
          <w:tcPr>
            <w:tcW w:w="34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color w:val="0000FF"/>
                <w:w w:val="87"/>
              </w:rPr>
              <w:t>131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80"/>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580" w:type="dxa"/>
            <w:vAlign w:val="bottom"/>
          </w:tcPr>
          <w:p>
            <w:pPr>
              <w:ind w:left="500"/>
              <w:spacing w:after="0"/>
              <w:rPr>
                <w:sz w:val="20"/>
                <w:szCs w:val="20"/>
                <w:color w:val="auto"/>
              </w:rPr>
            </w:pPr>
            <w:r>
              <w:rPr>
                <w:rFonts w:ascii="Arial" w:cs="Arial" w:eastAsia="Arial" w:hAnsi="Arial"/>
                <w:sz w:val="22"/>
                <w:szCs w:val="22"/>
                <w:b w:val="1"/>
                <w:bCs w:val="1"/>
                <w:color w:val="auto"/>
              </w:rPr>
              <w:t>EXHIBITS AND SCHEDULES</w:t>
            </w:r>
          </w:p>
        </w:tc>
      </w:tr>
      <w:tr>
        <w:trPr>
          <w:trHeight w:val="671"/>
        </w:trPr>
        <w:tc>
          <w:tcPr>
            <w:tcW w:w="1540" w:type="dxa"/>
            <w:vAlign w:val="bottom"/>
            <w:gridSpan w:val="4"/>
          </w:tcPr>
          <w:p>
            <w:pPr>
              <w:spacing w:after="0" w:line="253" w:lineRule="exact"/>
              <w:rPr>
                <w:sz w:val="20"/>
                <w:szCs w:val="20"/>
                <w:color w:val="auto"/>
              </w:rPr>
            </w:pPr>
            <w:r>
              <w:rPr>
                <w:rFonts w:ascii="Arial" w:cs="Arial" w:eastAsia="Arial" w:hAnsi="Arial"/>
                <w:sz w:val="22"/>
                <w:szCs w:val="22"/>
                <w:color w:val="auto"/>
              </w:rPr>
              <w:t>Exhibit A</w:t>
            </w:r>
            <w:r>
              <w:rPr>
                <w:rFonts w:ascii="MS PGothic" w:cs="MS PGothic" w:eastAsia="MS PGothic" w:hAnsi="MS PGothic"/>
                <w:sz w:val="22"/>
                <w:szCs w:val="22"/>
                <w:color w:val="auto"/>
              </w:rPr>
              <w:t>‑</w:t>
            </w:r>
            <w:r>
              <w:rPr>
                <w:rFonts w:ascii="Arial" w:cs="Arial" w:eastAsia="Arial" w:hAnsi="Arial"/>
                <w:sz w:val="22"/>
                <w:szCs w:val="22"/>
                <w:color w:val="auto"/>
              </w:rPr>
              <w:t>1</w:t>
            </w:r>
          </w:p>
        </w:tc>
        <w:tc>
          <w:tcPr>
            <w:tcW w:w="9700" w:type="dxa"/>
            <w:vAlign w:val="bottom"/>
            <w:gridSpan w:val="4"/>
          </w:tcPr>
          <w:p>
            <w:pPr>
              <w:ind w:left="160"/>
              <w:spacing w:after="0"/>
              <w:rPr>
                <w:sz w:val="20"/>
                <w:szCs w:val="20"/>
                <w:color w:val="auto"/>
              </w:rPr>
            </w:pPr>
            <w:r>
              <w:rPr>
                <w:rFonts w:ascii="Arial" w:cs="Arial" w:eastAsia="Arial" w:hAnsi="Arial"/>
                <w:sz w:val="22"/>
                <w:szCs w:val="22"/>
                <w:color w:val="auto"/>
              </w:rPr>
              <w:t>Form of Assignment and Acceptance</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Exhibit B-1</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Form of Borrowing Base Certificate</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Exhibit C</w:t>
            </w:r>
            <w:r>
              <w:rPr>
                <w:rFonts w:ascii="MS PGothic" w:cs="MS PGothic" w:eastAsia="MS PGothic" w:hAnsi="MS PGothic"/>
                <w:sz w:val="22"/>
                <w:szCs w:val="22"/>
                <w:color w:val="auto"/>
              </w:rPr>
              <w:t>‑</w:t>
            </w:r>
            <w:r>
              <w:rPr>
                <w:rFonts w:ascii="Arial" w:cs="Arial" w:eastAsia="Arial" w:hAnsi="Arial"/>
                <w:sz w:val="22"/>
                <w:szCs w:val="22"/>
                <w:color w:val="auto"/>
              </w:rPr>
              <w:t>1</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Form of Compliance Certificate</w:t>
            </w:r>
          </w:p>
        </w:tc>
      </w:tr>
      <w:tr>
        <w:trPr>
          <w:trHeight w:val="224"/>
        </w:trPr>
        <w:tc>
          <w:tcPr>
            <w:tcW w:w="700" w:type="dxa"/>
            <w:vAlign w:val="bottom"/>
          </w:tcPr>
          <w:p>
            <w:pPr>
              <w:spacing w:after="0" w:line="224" w:lineRule="exact"/>
              <w:rPr>
                <w:sz w:val="20"/>
                <w:szCs w:val="20"/>
                <w:color w:val="auto"/>
              </w:rPr>
            </w:pPr>
            <w:r>
              <w:rPr>
                <w:rFonts w:ascii="Arial" w:cs="Arial" w:eastAsia="Arial" w:hAnsi="Arial"/>
                <w:sz w:val="22"/>
                <w:szCs w:val="22"/>
                <w:color w:val="auto"/>
              </w:rPr>
              <w:t>Exhibit</w:t>
            </w:r>
          </w:p>
        </w:tc>
        <w:tc>
          <w:tcPr>
            <w:tcW w:w="140" w:type="dxa"/>
            <w:vAlign w:val="bottom"/>
          </w:tcPr>
          <w:p>
            <w:pPr>
              <w:spacing w:after="0" w:line="224" w:lineRule="exact"/>
              <w:rPr>
                <w:sz w:val="20"/>
                <w:szCs w:val="20"/>
                <w:color w:val="auto"/>
              </w:rPr>
            </w:pPr>
            <w:r>
              <w:rPr>
                <w:rFonts w:ascii="Arial" w:cs="Arial" w:eastAsia="Arial" w:hAnsi="Arial"/>
                <w:sz w:val="22"/>
                <w:szCs w:val="22"/>
                <w:color w:val="FF0000"/>
                <w:strike w:val="1"/>
                <w:w w:val="97"/>
              </w:rPr>
              <w:t>L</w:t>
            </w:r>
          </w:p>
        </w:tc>
        <w:tc>
          <w:tcPr>
            <w:tcW w:w="700" w:type="dxa"/>
            <w:vAlign w:val="bottom"/>
            <w:gridSpan w:val="2"/>
          </w:tcPr>
          <w:p>
            <w:pPr>
              <w:spacing w:after="0" w:line="224" w:lineRule="exact"/>
              <w:rPr>
                <w:sz w:val="20"/>
                <w:szCs w:val="20"/>
                <w:color w:val="auto"/>
              </w:rPr>
            </w:pPr>
            <w:r>
              <w:rPr>
                <w:rFonts w:ascii="Arial" w:cs="Arial" w:eastAsia="Arial" w:hAnsi="Arial"/>
                <w:sz w:val="22"/>
                <w:szCs w:val="22"/>
                <w:color w:val="0000FF"/>
              </w:rPr>
              <w:t>S</w:t>
            </w:r>
            <w:r>
              <w:rPr>
                <w:rFonts w:ascii="Arial" w:cs="Arial" w:eastAsia="Arial" w:hAnsi="Arial"/>
                <w:sz w:val="22"/>
                <w:szCs w:val="22"/>
                <w:color w:val="000000"/>
              </w:rPr>
              <w:t>-1</w:t>
            </w:r>
          </w:p>
        </w:tc>
        <w:tc>
          <w:tcPr>
            <w:tcW w:w="920" w:type="dxa"/>
            <w:vAlign w:val="bottom"/>
          </w:tcPr>
          <w:p>
            <w:pPr>
              <w:ind w:left="160"/>
              <w:spacing w:after="0" w:line="224" w:lineRule="exact"/>
              <w:rPr>
                <w:sz w:val="20"/>
                <w:szCs w:val="20"/>
                <w:color w:val="auto"/>
              </w:rPr>
            </w:pPr>
            <w:r>
              <w:rPr>
                <w:rFonts w:ascii="Arial" w:cs="Arial" w:eastAsia="Arial" w:hAnsi="Arial"/>
                <w:sz w:val="22"/>
                <w:szCs w:val="22"/>
                <w:color w:val="auto"/>
                <w:w w:val="97"/>
              </w:rPr>
              <w:t>Form of</w:t>
            </w:r>
          </w:p>
        </w:tc>
        <w:tc>
          <w:tcPr>
            <w:tcW w:w="660" w:type="dxa"/>
            <w:vAlign w:val="bottom"/>
          </w:tcPr>
          <w:p>
            <w:pPr>
              <w:spacing w:after="0" w:line="224" w:lineRule="exact"/>
              <w:rPr>
                <w:sz w:val="20"/>
                <w:szCs w:val="20"/>
                <w:color w:val="auto"/>
              </w:rPr>
            </w:pPr>
            <w:r>
              <w:rPr>
                <w:rFonts w:ascii="Arial" w:cs="Arial" w:eastAsia="Arial" w:hAnsi="Arial"/>
                <w:sz w:val="22"/>
                <w:szCs w:val="22"/>
                <w:color w:val="FF0000"/>
                <w:strike w:val="1"/>
                <w:w w:val="96"/>
              </w:rPr>
              <w:t>LIBOR</w:t>
            </w:r>
          </w:p>
        </w:tc>
        <w:tc>
          <w:tcPr>
            <w:tcW w:w="8120" w:type="dxa"/>
            <w:vAlign w:val="bottom"/>
            <w:gridSpan w:val="2"/>
          </w:tcPr>
          <w:p>
            <w:pPr>
              <w:spacing w:after="0" w:line="224" w:lineRule="exact"/>
              <w:rPr>
                <w:sz w:val="20"/>
                <w:szCs w:val="20"/>
                <w:color w:val="auto"/>
              </w:rPr>
            </w:pPr>
            <w:r>
              <w:rPr>
                <w:rFonts w:ascii="Arial" w:cs="Arial" w:eastAsia="Arial" w:hAnsi="Arial"/>
                <w:sz w:val="22"/>
                <w:szCs w:val="22"/>
                <w:color w:val="0000FF"/>
              </w:rPr>
              <w:t xml:space="preserve">SOFR </w:t>
            </w:r>
            <w:r>
              <w:rPr>
                <w:rFonts w:ascii="Arial" w:cs="Arial" w:eastAsia="Arial" w:hAnsi="Arial"/>
                <w:sz w:val="22"/>
                <w:szCs w:val="22"/>
                <w:color w:val="000000"/>
              </w:rPr>
              <w:t>Notice</w:t>
            </w:r>
          </w:p>
        </w:tc>
      </w:tr>
      <w:tr>
        <w:trPr>
          <w:trHeight w:val="20"/>
        </w:trPr>
        <w:tc>
          <w:tcPr>
            <w:tcW w:w="8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485"/>
        </w:trPr>
        <w:tc>
          <w:tcPr>
            <w:tcW w:w="1540" w:type="dxa"/>
            <w:vAlign w:val="bottom"/>
            <w:gridSpan w:val="4"/>
          </w:tcPr>
          <w:p>
            <w:pPr>
              <w:spacing w:after="0" w:line="253" w:lineRule="exact"/>
              <w:rPr>
                <w:sz w:val="20"/>
                <w:szCs w:val="20"/>
                <w:color w:val="auto"/>
              </w:rPr>
            </w:pPr>
            <w:r>
              <w:rPr>
                <w:rFonts w:ascii="Arial" w:cs="Arial" w:eastAsia="Arial" w:hAnsi="Arial"/>
                <w:sz w:val="22"/>
                <w:szCs w:val="22"/>
                <w:color w:val="auto"/>
              </w:rPr>
              <w:t>Schedule A</w:t>
            </w:r>
            <w:r>
              <w:rPr>
                <w:rFonts w:ascii="MS PGothic" w:cs="MS PGothic" w:eastAsia="MS PGothic" w:hAnsi="MS PGothic"/>
                <w:sz w:val="22"/>
                <w:szCs w:val="22"/>
                <w:color w:val="auto"/>
              </w:rPr>
              <w:t>‑</w:t>
            </w:r>
            <w:r>
              <w:rPr>
                <w:rFonts w:ascii="Arial" w:cs="Arial" w:eastAsia="Arial" w:hAnsi="Arial"/>
                <w:sz w:val="22"/>
                <w:szCs w:val="22"/>
                <w:color w:val="auto"/>
              </w:rPr>
              <w:t>1</w:t>
            </w:r>
          </w:p>
        </w:tc>
        <w:tc>
          <w:tcPr>
            <w:tcW w:w="9700" w:type="dxa"/>
            <w:vAlign w:val="bottom"/>
            <w:gridSpan w:val="4"/>
          </w:tcPr>
          <w:p>
            <w:pPr>
              <w:ind w:left="160"/>
              <w:spacing w:after="0"/>
              <w:rPr>
                <w:sz w:val="20"/>
                <w:szCs w:val="20"/>
                <w:color w:val="auto"/>
              </w:rPr>
            </w:pPr>
            <w:r>
              <w:rPr>
                <w:rFonts w:ascii="Arial" w:cs="Arial" w:eastAsia="Arial" w:hAnsi="Arial"/>
                <w:sz w:val="22"/>
                <w:szCs w:val="22"/>
                <w:color w:val="auto"/>
              </w:rPr>
              <w:t>Excluded Accounts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C</w:t>
            </w:r>
            <w:r>
              <w:rPr>
                <w:rFonts w:ascii="MS PGothic" w:cs="MS PGothic" w:eastAsia="MS PGothic" w:hAnsi="MS PGothic"/>
                <w:sz w:val="22"/>
                <w:szCs w:val="22"/>
                <w:color w:val="auto"/>
              </w:rPr>
              <w:t>‑</w:t>
            </w:r>
            <w:r>
              <w:rPr>
                <w:rFonts w:ascii="Arial" w:cs="Arial" w:eastAsia="Arial" w:hAnsi="Arial"/>
                <w:sz w:val="22"/>
                <w:szCs w:val="22"/>
                <w:color w:val="auto"/>
              </w:rPr>
              <w:t>1</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Commitments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E</w:t>
            </w:r>
            <w:r>
              <w:rPr>
                <w:rFonts w:ascii="MS PGothic" w:cs="MS PGothic" w:eastAsia="MS PGothic" w:hAnsi="MS PGothic"/>
                <w:sz w:val="22"/>
                <w:szCs w:val="22"/>
                <w:color w:val="auto"/>
              </w:rPr>
              <w:t>‑</w:t>
            </w:r>
            <w:r>
              <w:rPr>
                <w:rFonts w:ascii="Arial" w:cs="Arial" w:eastAsia="Arial" w:hAnsi="Arial"/>
                <w:sz w:val="22"/>
                <w:szCs w:val="22"/>
                <w:color w:val="auto"/>
              </w:rPr>
              <w:t>1</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Eligible Inventory Locations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P</w:t>
            </w:r>
            <w:r>
              <w:rPr>
                <w:rFonts w:ascii="MS PGothic" w:cs="MS PGothic" w:eastAsia="MS PGothic" w:hAnsi="MS PGothic"/>
                <w:sz w:val="22"/>
                <w:szCs w:val="22"/>
                <w:color w:val="auto"/>
              </w:rPr>
              <w:t>‑</w:t>
            </w:r>
            <w:r>
              <w:rPr>
                <w:rFonts w:ascii="Arial" w:cs="Arial" w:eastAsia="Arial" w:hAnsi="Arial"/>
                <w:sz w:val="22"/>
                <w:szCs w:val="22"/>
                <w:color w:val="auto"/>
              </w:rPr>
              <w:t>1</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Permitted Liens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P</w:t>
            </w:r>
            <w:r>
              <w:rPr>
                <w:rFonts w:ascii="MS PGothic" w:cs="MS PGothic" w:eastAsia="MS PGothic" w:hAnsi="MS PGothic"/>
                <w:sz w:val="22"/>
                <w:szCs w:val="22"/>
                <w:color w:val="auto"/>
              </w:rPr>
              <w:t>‑</w:t>
            </w:r>
            <w:r>
              <w:rPr>
                <w:rFonts w:ascii="Arial" w:cs="Arial" w:eastAsia="Arial" w:hAnsi="Arial"/>
                <w:sz w:val="22"/>
                <w:szCs w:val="22"/>
                <w:color w:val="auto"/>
              </w:rPr>
              <w:t>2</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Permitted Dispositions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w w:val="97"/>
              </w:rPr>
              <w:t>Schedule 2.7(a)</w:t>
            </w:r>
          </w:p>
        </w:tc>
        <w:tc>
          <w:tcPr>
            <w:tcW w:w="9700" w:type="dxa"/>
            <w:vAlign w:val="bottom"/>
            <w:gridSpan w:val="4"/>
          </w:tcPr>
          <w:p>
            <w:pPr>
              <w:ind w:left="600"/>
              <w:spacing w:after="0" w:line="243" w:lineRule="exact"/>
              <w:rPr>
                <w:sz w:val="20"/>
                <w:szCs w:val="20"/>
                <w:color w:val="auto"/>
              </w:rPr>
            </w:pPr>
            <w:r>
              <w:rPr>
                <w:rFonts w:ascii="Arial" w:cs="Arial" w:eastAsia="Arial" w:hAnsi="Arial"/>
                <w:sz w:val="22"/>
                <w:szCs w:val="22"/>
                <w:color w:val="auto"/>
              </w:rPr>
              <w:t>Cash Management Banks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w w:val="97"/>
              </w:rPr>
              <w:t>Schedule 2.7(b)</w:t>
            </w:r>
          </w:p>
        </w:tc>
        <w:tc>
          <w:tcPr>
            <w:tcW w:w="9700" w:type="dxa"/>
            <w:vAlign w:val="bottom"/>
            <w:gridSpan w:val="4"/>
          </w:tcPr>
          <w:p>
            <w:pPr>
              <w:ind w:left="600"/>
              <w:spacing w:after="0" w:line="243" w:lineRule="exact"/>
              <w:rPr>
                <w:sz w:val="20"/>
                <w:szCs w:val="20"/>
                <w:color w:val="auto"/>
              </w:rPr>
            </w:pPr>
            <w:r>
              <w:rPr>
                <w:rFonts w:ascii="Arial" w:cs="Arial" w:eastAsia="Arial" w:hAnsi="Arial"/>
                <w:sz w:val="22"/>
                <w:szCs w:val="22"/>
                <w:color w:val="auto"/>
              </w:rPr>
              <w:t>Wire Instructions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3.2</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Collateral Access Locations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5.5</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Locations of Inventory and Equipment</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5.7</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Chief Executive Office; FEIN</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w w:val="97"/>
              </w:rPr>
              <w:t>Schedule 5.8(b)</w:t>
            </w:r>
          </w:p>
        </w:tc>
        <w:tc>
          <w:tcPr>
            <w:tcW w:w="9700" w:type="dxa"/>
            <w:vAlign w:val="bottom"/>
            <w:gridSpan w:val="4"/>
          </w:tcPr>
          <w:p>
            <w:pPr>
              <w:ind w:left="600"/>
              <w:spacing w:after="0" w:line="243" w:lineRule="exact"/>
              <w:rPr>
                <w:sz w:val="20"/>
                <w:szCs w:val="20"/>
                <w:color w:val="auto"/>
              </w:rPr>
            </w:pPr>
            <w:r>
              <w:rPr>
                <w:rFonts w:ascii="Arial" w:cs="Arial" w:eastAsia="Arial" w:hAnsi="Arial"/>
                <w:sz w:val="22"/>
                <w:szCs w:val="22"/>
                <w:color w:val="auto"/>
              </w:rPr>
              <w:t>Capitalization of Loan Parties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w w:val="98"/>
              </w:rPr>
              <w:t>Schedule 5.8(c)</w:t>
            </w:r>
          </w:p>
        </w:tc>
        <w:tc>
          <w:tcPr>
            <w:tcW w:w="9700" w:type="dxa"/>
            <w:vAlign w:val="bottom"/>
            <w:gridSpan w:val="4"/>
          </w:tcPr>
          <w:p>
            <w:pPr>
              <w:ind w:left="600"/>
              <w:spacing w:after="0" w:line="243" w:lineRule="exact"/>
              <w:rPr>
                <w:sz w:val="20"/>
                <w:szCs w:val="20"/>
                <w:color w:val="auto"/>
              </w:rPr>
            </w:pPr>
            <w:r>
              <w:rPr>
                <w:rFonts w:ascii="Arial" w:cs="Arial" w:eastAsia="Arial" w:hAnsi="Arial"/>
                <w:sz w:val="22"/>
                <w:szCs w:val="22"/>
                <w:color w:val="auto"/>
              </w:rPr>
              <w:t>Capitalization of Loan Parties' Subsidiaries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5.10</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Litigation</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5.14</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Environmental Matters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5.16</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Intellectual Property</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5.18</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Demand Deposit Accounts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5.20</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Permitted Indebtedness</w:t>
            </w:r>
          </w:p>
        </w:tc>
      </w:tr>
      <w:tr>
        <w:trPr>
          <w:trHeight w:val="243"/>
        </w:trPr>
        <w:tc>
          <w:tcPr>
            <w:tcW w:w="1540" w:type="dxa"/>
            <w:vAlign w:val="bottom"/>
            <w:gridSpan w:val="4"/>
          </w:tcPr>
          <w:p>
            <w:pPr>
              <w:spacing w:after="0" w:line="243" w:lineRule="exact"/>
              <w:rPr>
                <w:sz w:val="20"/>
                <w:szCs w:val="20"/>
                <w:color w:val="auto"/>
              </w:rPr>
            </w:pPr>
            <w:r>
              <w:rPr>
                <w:rFonts w:ascii="Arial" w:cs="Arial" w:eastAsia="Arial" w:hAnsi="Arial"/>
                <w:sz w:val="22"/>
                <w:szCs w:val="22"/>
                <w:color w:val="auto"/>
              </w:rPr>
              <w:t>Schedule 7.13</w:t>
            </w:r>
          </w:p>
        </w:tc>
        <w:tc>
          <w:tcPr>
            <w:tcW w:w="970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Other Permitted Investments</w:t>
            </w:r>
          </w:p>
        </w:tc>
      </w:tr>
      <w:tr>
        <w:trPr>
          <w:trHeight w:val="274"/>
        </w:trPr>
        <w:tc>
          <w:tcPr>
            <w:tcW w:w="1540" w:type="dxa"/>
            <w:vAlign w:val="bottom"/>
            <w:gridSpan w:val="4"/>
          </w:tcPr>
          <w:p>
            <w:pPr>
              <w:spacing w:after="0"/>
              <w:rPr>
                <w:sz w:val="20"/>
                <w:szCs w:val="20"/>
                <w:color w:val="auto"/>
              </w:rPr>
            </w:pPr>
            <w:r>
              <w:rPr>
                <w:rFonts w:ascii="Arial" w:cs="Arial" w:eastAsia="Arial" w:hAnsi="Arial"/>
                <w:sz w:val="22"/>
                <w:szCs w:val="22"/>
                <w:color w:val="auto"/>
              </w:rPr>
              <w:t>Schedule 7.14</w:t>
            </w:r>
          </w:p>
        </w:tc>
        <w:tc>
          <w:tcPr>
            <w:tcW w:w="9700" w:type="dxa"/>
            <w:vAlign w:val="bottom"/>
            <w:gridSpan w:val="4"/>
          </w:tcPr>
          <w:p>
            <w:pPr>
              <w:ind w:left="160"/>
              <w:spacing w:after="0"/>
              <w:rPr>
                <w:sz w:val="20"/>
                <w:szCs w:val="20"/>
                <w:color w:val="auto"/>
              </w:rPr>
            </w:pPr>
            <w:r>
              <w:rPr>
                <w:rFonts w:ascii="Arial" w:cs="Arial" w:eastAsia="Arial" w:hAnsi="Arial"/>
                <w:sz w:val="22"/>
                <w:szCs w:val="22"/>
                <w:color w:val="auto"/>
              </w:rPr>
              <w:t>Transactions with Affiliates</w:t>
            </w:r>
          </w:p>
        </w:tc>
      </w:tr>
      <w:tr>
        <w:trPr>
          <w:trHeight w:val="459"/>
        </w:trPr>
        <w:tc>
          <w:tcPr>
            <w:tcW w:w="1540" w:type="dxa"/>
            <w:vAlign w:val="bottom"/>
            <w:gridSpan w:val="4"/>
          </w:tcPr>
          <w:p>
            <w:pPr>
              <w:spacing w:after="0"/>
              <w:rPr>
                <w:sz w:val="20"/>
                <w:szCs w:val="20"/>
                <w:color w:val="auto"/>
              </w:rPr>
            </w:pPr>
            <w:r>
              <w:rPr>
                <w:rFonts w:ascii="Arial" w:cs="Arial" w:eastAsia="Arial" w:hAnsi="Arial"/>
                <w:sz w:val="22"/>
                <w:szCs w:val="22"/>
                <w:color w:val="auto"/>
              </w:rPr>
              <w:t>-vii-</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105"/>
        </w:trPr>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THIRD 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LOAN AND SECURITY AGREEMENT</w:t>
      </w:r>
    </w:p>
    <w:p>
      <w:pPr>
        <w:spacing w:after="0" w:line="200" w:lineRule="exact"/>
        <w:rPr>
          <w:sz w:val="20"/>
          <w:szCs w:val="20"/>
          <w:color w:val="auto"/>
        </w:rPr>
      </w:pPr>
    </w:p>
    <w:p>
      <w:pPr>
        <w:spacing w:after="0" w:line="225"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b w:val="1"/>
          <w:bCs w:val="1"/>
          <w:color w:val="auto"/>
        </w:rPr>
        <w:t xml:space="preserve">THIS THIRD AMENDED AND RESTATED LOAN AND SECURITY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is entered into as of January 17, 2017 (the "</w:t>
      </w:r>
      <w:r>
        <w:rPr>
          <w:rFonts w:ascii="Arial" w:cs="Arial" w:eastAsia="Arial" w:hAnsi="Arial"/>
          <w:sz w:val="21"/>
          <w:szCs w:val="21"/>
          <w:u w:val="single" w:color="auto"/>
          <w:color w:val="auto"/>
        </w:rPr>
        <w:t>Restatement Effective Date</w:t>
      </w:r>
      <w:r>
        <w:rPr>
          <w:rFonts w:ascii="Arial" w:cs="Arial" w:eastAsia="Arial" w:hAnsi="Arial"/>
          <w:sz w:val="21"/>
          <w:szCs w:val="21"/>
          <w:color w:val="auto"/>
        </w:rPr>
        <w:t>"), between and among, on the one hand, the lenders identified on the signature pages hereof (such lenders, together with their respective successors and assigns, are referred to hereinafter each individually as a "</w:t>
      </w:r>
      <w:r>
        <w:rPr>
          <w:rFonts w:ascii="Arial" w:cs="Arial" w:eastAsia="Arial" w:hAnsi="Arial"/>
          <w:sz w:val="21"/>
          <w:szCs w:val="21"/>
          <w:u w:val="single" w:color="auto"/>
          <w:color w:val="auto"/>
        </w:rPr>
        <w:t>Lender</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Lenders</w:t>
      </w:r>
      <w:r>
        <w:rPr>
          <w:rFonts w:ascii="Arial" w:cs="Arial" w:eastAsia="Arial" w:hAnsi="Arial"/>
          <w:sz w:val="21"/>
          <w:szCs w:val="21"/>
          <w:color w:val="auto"/>
        </w:rPr>
        <w:t xml:space="preserve">"), </w:t>
      </w:r>
      <w:r>
        <w:rPr>
          <w:rFonts w:ascii="Arial" w:cs="Arial" w:eastAsia="Arial" w:hAnsi="Arial"/>
          <w:sz w:val="21"/>
          <w:szCs w:val="21"/>
          <w:b w:val="1"/>
          <w:bCs w:val="1"/>
          <w:color w:val="auto"/>
        </w:rPr>
        <w:t>WELLS FARGO CAPITAL FINANCE, LLC</w:t>
      </w:r>
      <w:r>
        <w:rPr>
          <w:rFonts w:ascii="Arial" w:cs="Arial" w:eastAsia="Arial" w:hAnsi="Arial"/>
          <w:sz w:val="21"/>
          <w:szCs w:val="21"/>
          <w:color w:val="auto"/>
        </w:rPr>
        <w:t>, a California limited liability company, as successor in interest to Wells Fargo Capital Finance, Inc. ("</w:t>
      </w:r>
      <w:r>
        <w:rPr>
          <w:rFonts w:ascii="Arial" w:cs="Arial" w:eastAsia="Arial" w:hAnsi="Arial"/>
          <w:sz w:val="21"/>
          <w:szCs w:val="21"/>
          <w:u w:val="single" w:color="auto"/>
          <w:color w:val="auto"/>
        </w:rPr>
        <w:t>WFCF</w:t>
      </w:r>
      <w:r>
        <w:rPr>
          <w:rFonts w:ascii="Arial" w:cs="Arial" w:eastAsia="Arial" w:hAnsi="Arial"/>
          <w:sz w:val="21"/>
          <w:szCs w:val="21"/>
          <w:color w:val="auto"/>
        </w:rPr>
        <w:t>"), as the arranger and administrative agent for the Lenders (in such capacity, the "</w:t>
      </w:r>
      <w:r>
        <w:rPr>
          <w:rFonts w:ascii="Arial" w:cs="Arial" w:eastAsia="Arial" w:hAnsi="Arial"/>
          <w:sz w:val="21"/>
          <w:szCs w:val="21"/>
          <w:u w:val="single" w:color="auto"/>
          <w:color w:val="auto"/>
        </w:rPr>
        <w:t>Agent</w:t>
      </w:r>
      <w:r>
        <w:rPr>
          <w:rFonts w:ascii="Arial" w:cs="Arial" w:eastAsia="Arial" w:hAnsi="Arial"/>
          <w:sz w:val="21"/>
          <w:szCs w:val="21"/>
          <w:color w:val="auto"/>
        </w:rPr>
        <w:t xml:space="preserve">"), and, on the other hand, </w:t>
      </w:r>
      <w:r>
        <w:rPr>
          <w:rFonts w:ascii="Arial" w:cs="Arial" w:eastAsia="Arial" w:hAnsi="Arial"/>
          <w:sz w:val="21"/>
          <w:szCs w:val="21"/>
          <w:b w:val="1"/>
          <w:bCs w:val="1"/>
          <w:color w:val="auto"/>
        </w:rPr>
        <w:t>LSB INDUSTRIES,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Parent</w:t>
      </w:r>
      <w:r>
        <w:rPr>
          <w:rFonts w:ascii="Arial" w:cs="Arial" w:eastAsia="Arial" w:hAnsi="Arial"/>
          <w:sz w:val="21"/>
          <w:szCs w:val="21"/>
          <w:color w:val="auto"/>
        </w:rPr>
        <w:t>"), each of the Subsidiaries of Parent identified on the signature pages hereof as Borrowers (such Subsidiaries, together with Parent, are referred to hereinafter each individually as a "</w:t>
      </w:r>
      <w:r>
        <w:rPr>
          <w:rFonts w:ascii="Arial" w:cs="Arial" w:eastAsia="Arial" w:hAnsi="Arial"/>
          <w:sz w:val="21"/>
          <w:szCs w:val="21"/>
          <w:u w:val="single" w:color="auto"/>
          <w:color w:val="auto"/>
        </w:rPr>
        <w:t>Borrower</w:t>
      </w:r>
      <w:r>
        <w:rPr>
          <w:rFonts w:ascii="Arial" w:cs="Arial" w:eastAsia="Arial" w:hAnsi="Arial"/>
          <w:sz w:val="21"/>
          <w:szCs w:val="21"/>
          <w:color w:val="auto"/>
        </w:rPr>
        <w:t>", and individually and collectively, jointly and severally, as "</w:t>
      </w:r>
      <w:r>
        <w:rPr>
          <w:rFonts w:ascii="Arial" w:cs="Arial" w:eastAsia="Arial" w:hAnsi="Arial"/>
          <w:sz w:val="21"/>
          <w:szCs w:val="21"/>
          <w:u w:val="single" w:color="auto"/>
          <w:color w:val="auto"/>
        </w:rPr>
        <w:t>Borrowers</w:t>
      </w:r>
      <w:r>
        <w:rPr>
          <w:rFonts w:ascii="Arial" w:cs="Arial" w:eastAsia="Arial" w:hAnsi="Arial"/>
          <w:sz w:val="21"/>
          <w:szCs w:val="21"/>
          <w:color w:val="auto"/>
        </w:rPr>
        <w:t>").</w:t>
      </w:r>
    </w:p>
    <w:p>
      <w:pPr>
        <w:spacing w:after="0" w:line="175" w:lineRule="exact"/>
        <w:rPr>
          <w:sz w:val="20"/>
          <w:szCs w:val="20"/>
          <w:color w:val="auto"/>
        </w:rPr>
      </w:pPr>
    </w:p>
    <w:p>
      <w:pPr>
        <w:jc w:val="both"/>
        <w:ind w:firstLine="1497"/>
        <w:spacing w:after="0" w:line="28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Borrowers, the Agent and the Lenders are parties to the Second Amended and Restated Loan</w:t>
      </w:r>
      <w:r>
        <w:rPr>
          <w:rFonts w:ascii="Arial" w:cs="Arial" w:eastAsia="Arial" w:hAnsi="Arial"/>
          <w:sz w:val="19"/>
          <w:szCs w:val="19"/>
          <w:b w:val="1"/>
          <w:bCs w:val="1"/>
          <w:color w:val="auto"/>
        </w:rPr>
        <w:t xml:space="preserve"> </w:t>
      </w:r>
      <w:r>
        <w:rPr>
          <w:rFonts w:ascii="Arial" w:cs="Arial" w:eastAsia="Arial" w:hAnsi="Arial"/>
          <w:sz w:val="19"/>
          <w:szCs w:val="19"/>
          <w:color w:val="auto"/>
        </w:rPr>
        <w:t>and Security Agreement, dated as of December 31, 2013 (as heretofore amended or otherwise modified, the "</w:t>
      </w:r>
      <w:r>
        <w:rPr>
          <w:rFonts w:ascii="Arial" w:cs="Arial" w:eastAsia="Arial" w:hAnsi="Arial"/>
          <w:sz w:val="19"/>
          <w:szCs w:val="19"/>
          <w:u w:val="single" w:color="auto"/>
          <w:color w:val="auto"/>
        </w:rPr>
        <w:t>Second Amended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Restated Loan Agreement</w:t>
      </w:r>
      <w:r>
        <w:rPr>
          <w:rFonts w:ascii="Arial" w:cs="Arial" w:eastAsia="Arial" w:hAnsi="Arial"/>
          <w:sz w:val="19"/>
          <w:szCs w:val="19"/>
          <w:color w:val="auto"/>
        </w:rPr>
        <w:t>"), pursuant to which the Lenders extended credit to the Borrowers consisting of a revolving credit facility, in an aggregate principal amount of $100,000,000 at any time outstanding, as reduced in accordance with the terms thereof (the "</w:t>
      </w:r>
      <w:r>
        <w:rPr>
          <w:rFonts w:ascii="Arial" w:cs="Arial" w:eastAsia="Arial" w:hAnsi="Arial"/>
          <w:sz w:val="19"/>
          <w:szCs w:val="19"/>
          <w:u w:val="single" w:color="auto"/>
          <w:color w:val="auto"/>
        </w:rPr>
        <w:t>Existing Revolver Facility</w:t>
      </w:r>
      <w:r>
        <w:rPr>
          <w:rFonts w:ascii="Arial" w:cs="Arial" w:eastAsia="Arial" w:hAnsi="Arial"/>
          <w:sz w:val="19"/>
          <w:szCs w:val="19"/>
          <w:color w:val="auto"/>
        </w:rPr>
        <w:t>"), which included a $15,000,000 sub-facility for the issuance of letters of credit; and</w:t>
      </w:r>
    </w:p>
    <w:p>
      <w:pPr>
        <w:spacing w:after="0" w:line="143"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the Parent has requested that the Agent and the Lenders make certain modifications to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Restated Loan Agreement, and the Agent and the Lenders have agreed to join such additional parties and make such additional changes, subject to the terms and conditions set forth herein.</w:t>
      </w:r>
    </w:p>
    <w:p>
      <w:pPr>
        <w:spacing w:after="0" w:line="177"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 contained, and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terms and conditions of this Agreement, the parties hereto agree to amend and restate the Second Amended and Restated Loan Agreement as follows: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 AND CONSTRUCTION.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As used in this Agreement, the following terms shall have the following definitions: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Priority Collateral</w:t>
      </w:r>
      <w:r>
        <w:rPr>
          <w:rFonts w:ascii="Arial" w:cs="Arial" w:eastAsia="Arial" w:hAnsi="Arial"/>
          <w:sz w:val="22"/>
          <w:szCs w:val="22"/>
          <w:color w:val="auto"/>
        </w:rPr>
        <w:t>" shall have the meaning set forth in the Intercreditor Agreement.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Debtor</w:t>
      </w:r>
      <w:r>
        <w:rPr>
          <w:rFonts w:ascii="Arial" w:cs="Arial" w:eastAsia="Arial" w:hAnsi="Arial"/>
          <w:sz w:val="22"/>
          <w:szCs w:val="22"/>
          <w:color w:val="auto"/>
        </w:rPr>
        <w:t>" means any Person who is or who may become obligated under, with respect to, or on account of, an Account, chattel paper, or a General Intangible constituting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jc w:val="both"/>
        <w:ind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Accounts</w:t>
      </w:r>
      <w:r>
        <w:rPr>
          <w:rFonts w:ascii="Arial" w:cs="Arial" w:eastAsia="Arial" w:hAnsi="Arial"/>
          <w:sz w:val="21"/>
          <w:szCs w:val="21"/>
          <w:color w:val="auto"/>
        </w:rPr>
        <w:t>" means all of Borrowers' now owned or hereafter acquired right, title, and interest with respect to "accounts" (as that term is defined in the Code), and any and all supporting obligations in respect thereof.</w:t>
      </w:r>
    </w:p>
    <w:p>
      <w:pPr>
        <w:spacing w:after="0" w:line="151"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ACH Transactions</w:t>
      </w:r>
      <w:r>
        <w:rPr>
          <w:rFonts w:ascii="Arial" w:cs="Arial" w:eastAsia="Arial" w:hAnsi="Arial"/>
          <w:sz w:val="22"/>
          <w:szCs w:val="22"/>
          <w:color w:val="auto"/>
        </w:rPr>
        <w:t>" means any cash management or related services (including the Automated Clearing House processing of electronic funds transfers through the direct Federal Reserve Fedline system) provided by the Bank Product Provider for the account of a Loan Party or its Subsidiaries.</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means the acquisition (whether by means of a merger, consolidation or otherwise) of all or a majority of the equity interests of any Person or all or substantially all of the assets of (or any division or business line of) any Person.</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u w:val="single" w:color="auto"/>
          <w:color w:val="0000FF"/>
        </w:rPr>
        <w:t>"Adjusted Term SOFR" means,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Borrower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17.9</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u w:val="single" w:color="auto"/>
          <w:color w:val="0000FF"/>
        </w:rPr>
        <w:t>"Affected Financial Institution" means (a) any EEA Financial Institution or (b) any UK Financial Institution.</w:t>
      </w:r>
    </w:p>
    <w:p>
      <w:pPr>
        <w:spacing w:after="0" w:line="218"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means, as applied to any Person, any other Person who, directly or indirectly, controls, is controlled by, or is under common control with, such Person. For purposes of this definition, "control" means the possession, directly or indirectly, of the power to direct the management and policies of a Person, whether through the ownership of Stock, by contract, or otherwise;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any event: (a) any Person which owns directly or indirectly 15% or more of the securities having ordinary voting power for the election of directors or other members of the governing body of a Person or 15% or more of the partnership or other ownership interests of a Person (other than as a limited partner of such Person) shall be deemed to control such Person; (b) each director (or comparable manager) of a Person shall be deemed to be an Affiliate of such Person; and (c) each partnership or joint venture in which a Person is a general partner or joint venturer shall be deemed to be an Affiliate of such Person.</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w:t>
      </w:r>
      <w:r>
        <w:rPr>
          <w:rFonts w:ascii="Arial" w:cs="Arial" w:eastAsia="Arial" w:hAnsi="Arial"/>
          <w:sz w:val="19"/>
          <w:szCs w:val="19"/>
          <w:color w:val="auto"/>
        </w:rPr>
        <w:t>" means WFCF, solely in its capacity as agent for the Lenders hereunder, and any successor thereto.</w:t>
      </w:r>
    </w:p>
    <w:p>
      <w:pPr>
        <w:spacing w:after="0" w:line="241"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Agent's Account</w:t>
      </w:r>
      <w:r>
        <w:rPr>
          <w:rFonts w:ascii="Arial" w:cs="Arial" w:eastAsia="Arial" w:hAnsi="Arial"/>
          <w:sz w:val="19"/>
          <w:szCs w:val="19"/>
          <w:color w:val="auto"/>
        </w:rPr>
        <w:t>" means the Deposit Account of Agent identified on Schedule A-2 to this Agreement (or such other Deposit Account of Agent that has been designated as such, in writing, by Agent to Borrowers and the Lenders).</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Advances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2.3(e)(i)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6" w:name="page57"/>
    <w:bookmarkEnd w:id="56"/>
    <w:p>
      <w:pPr>
        <w:jc w:val="both"/>
        <w:ind w:firstLine="1497"/>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Agent's Liens</w:t>
      </w:r>
      <w:r>
        <w:rPr>
          <w:rFonts w:ascii="Arial" w:cs="Arial" w:eastAsia="Arial" w:hAnsi="Arial"/>
          <w:sz w:val="22"/>
          <w:szCs w:val="22"/>
          <w:color w:val="auto"/>
        </w:rPr>
        <w:t>" means the Liens granted by the Loan Parties to Agent for the benefit of the Lender Group under this Agreement or the other Loan Documents.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Agent-Related Persons</w:t>
      </w:r>
      <w:r>
        <w:rPr>
          <w:rFonts w:ascii="Arial" w:cs="Arial" w:eastAsia="Arial" w:hAnsi="Arial"/>
          <w:sz w:val="19"/>
          <w:szCs w:val="19"/>
          <w:color w:val="auto"/>
        </w:rPr>
        <w:t>" means Agent together with its Affiliates, officers, directors, employees, and agents.</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 hereto.</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the FCPA, the U.K. Bribery Act of 2010, as amended, and all other applicable laws and regulations or ordinances concerning or relating to bribery or corruption in any jurisdiction in which any Loan Party or any of its Subsidiaries or Affiliates is located or is doing business.</w:t>
      </w:r>
    </w:p>
    <w:p>
      <w:pPr>
        <w:spacing w:after="0" w:line="186"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Anti-Money Laundering Laws</w:t>
      </w:r>
      <w:r>
        <w:rPr>
          <w:rFonts w:ascii="Arial" w:cs="Arial" w:eastAsia="Arial" w:hAnsi="Arial"/>
          <w:sz w:val="21"/>
          <w:szCs w:val="21"/>
          <w:color w:val="auto"/>
        </w:rPr>
        <w:t>"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w:t>
      </w:r>
    </w:p>
    <w:p>
      <w:pPr>
        <w:spacing w:after="0" w:line="169"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Applicable Unused Line Fee</w:t>
      </w:r>
      <w:r>
        <w:rPr>
          <w:rFonts w:ascii="Arial" w:cs="Arial" w:eastAsia="Arial" w:hAnsi="Arial"/>
          <w:sz w:val="19"/>
          <w:szCs w:val="19"/>
          <w:color w:val="auto"/>
        </w:rPr>
        <w:t>" means, as of any date of determination, (i) if Availability is greater or equal to than $22,500,000, 0.375 percentage points, and (ii) if Availability is less than $22,500,000, 0.25 percentage points.</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06" w:lineRule="exact"/>
        <w:rPr>
          <w:sz w:val="20"/>
          <w:szCs w:val="20"/>
          <w:color w:val="auto"/>
        </w:rPr>
      </w:pPr>
    </w:p>
    <w:p>
      <w:pPr>
        <w:ind w:left="150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Acceptance</w:t>
      </w:r>
      <w:r>
        <w:rPr>
          <w:rFonts w:ascii="Arial" w:cs="Arial" w:eastAsia="Arial" w:hAnsi="Arial"/>
          <w:sz w:val="19"/>
          <w:szCs w:val="19"/>
          <w:color w:val="auto"/>
        </w:rPr>
        <w:t xml:space="preserve">" means an Assignment and Acceptance substantially in the form of </w:t>
      </w:r>
      <w:r>
        <w:rPr>
          <w:rFonts w:ascii="Arial" w:cs="Arial" w:eastAsia="Arial" w:hAnsi="Arial"/>
          <w:sz w:val="19"/>
          <w:szCs w:val="19"/>
          <w:u w:val="single" w:color="auto"/>
          <w:color w:val="auto"/>
        </w:rPr>
        <w:t>Exhibit A</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Person</w:t>
      </w:r>
      <w:r>
        <w:rPr>
          <w:rFonts w:ascii="Arial" w:cs="Arial" w:eastAsia="Arial" w:hAnsi="Arial"/>
          <w:sz w:val="22"/>
          <w:szCs w:val="22"/>
          <w:color w:val="auto"/>
        </w:rPr>
        <w:t>" means any officer or other employee of Administrative Borrower.</w:t>
      </w:r>
    </w:p>
    <w:p>
      <w:pPr>
        <w:spacing w:after="0" w:line="20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u w:val="single" w:color="auto"/>
          <w:color w:val="0000FF"/>
        </w:rPr>
        <w:t>"Available Tenor"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2.13(d)(iii)(D).</w:t>
      </w:r>
    </w:p>
    <w:p>
      <w:pPr>
        <w:spacing w:after="0" w:line="184"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Availability</w:t>
      </w:r>
      <w:r>
        <w:rPr>
          <w:rFonts w:ascii="Arial" w:cs="Arial" w:eastAsia="Arial" w:hAnsi="Arial"/>
          <w:sz w:val="21"/>
          <w:szCs w:val="21"/>
          <w:color w:val="auto"/>
        </w:rPr>
        <w:t xml:space="preserve">" means, as of any date of determination, if such date is a Business Day, and determined at the close of business on the immediately preceding Business Day, if such date of determination is not a Business Day, the amount that Borrowers are entitled to borrow as Advances under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(after giving effect to all then outstanding Obligations (other than Bank Products Obligations) and all sublimits and reserves applicable hereunder).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7" w:name="page58"/>
    <w:bookmarkEnd w:id="57"/>
    <w:p>
      <w:pPr>
        <w:jc w:val="both"/>
        <w:ind w:firstLine="1497"/>
        <w:spacing w:after="0" w:line="250" w:lineRule="auto"/>
        <w:rPr>
          <w:sz w:val="20"/>
          <w:szCs w:val="20"/>
          <w:color w:val="auto"/>
        </w:rPr>
      </w:pPr>
      <w:r>
        <w:rPr>
          <w:rFonts w:ascii="Arial" w:cs="Arial" w:eastAsia="Arial" w:hAnsi="Arial"/>
          <w:sz w:val="22"/>
          <w:szCs w:val="22"/>
          <w:u w:val="single" w:color="auto"/>
          <w:color w:val="0000FF"/>
        </w:rPr>
        <w:t>"Bail-In Action" means the exercise of any Write-Down and Conversion Powers by the applicable Resolution Authority in respect of any liability of an Affected Financial Institution.</w:t>
      </w:r>
    </w:p>
    <w:p>
      <w:pPr>
        <w:spacing w:after="0" w:line="175"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u w:val="single" w:color="auto"/>
          <w:color w:val="0000FF"/>
        </w:rPr>
        <w:t>"Bail-In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Product Agreements</w:t>
      </w:r>
      <w:r>
        <w:rPr>
          <w:rFonts w:ascii="Arial" w:cs="Arial" w:eastAsia="Arial" w:hAnsi="Arial"/>
          <w:sz w:val="22"/>
          <w:szCs w:val="22"/>
          <w:color w:val="auto"/>
        </w:rPr>
        <w:t>" means those agreements entered into from time to time by a Loan Party or its Subsidiaries in connection with any of the Bank Products.</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Product Obligations</w:t>
      </w:r>
      <w:r>
        <w:rPr>
          <w:rFonts w:ascii="Arial" w:cs="Arial" w:eastAsia="Arial" w:hAnsi="Arial"/>
          <w:sz w:val="22"/>
          <w:szCs w:val="22"/>
          <w:color w:val="auto"/>
        </w:rPr>
        <w:t>" means (a) all obligations, liabilities, reimbursement obligations, fees, or expenses owing by each Loan Party and its Subsidiaries to any Bank Product Provider pursuant to or evidenced by a Bank Product Agreement and irrespective of whether for the payment of money, whether direct or indirect, absolute or contingent, due or to become due, now existing or hereafter arising and (b) all Hedge Obligations.</w:t>
      </w:r>
    </w:p>
    <w:p>
      <w:pPr>
        <w:spacing w:after="0" w:line="185"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Product Collateralization</w:t>
      </w:r>
      <w:r>
        <w:rPr>
          <w:rFonts w:ascii="Arial" w:cs="Arial" w:eastAsia="Arial" w:hAnsi="Arial"/>
          <w:sz w:val="22"/>
          <w:szCs w:val="22"/>
          <w:color w:val="auto"/>
        </w:rPr>
        <w:t xml:space="preserve">" means providing cash collateral (pursuant to documentation reasonably satisfactory to Agent) to be held by Agent for the benefit of the Bank Product Providers in an amount determined by Agent as sufficient to satisfy the reasonably estimated credit exposure with respect to the then existing Bank Product Obligations (other than Hedge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the amount of required Bank Product Collateralization exceed 103% of the maximum potential principal amount of such Bank Product Obligations outstanding at such time or likely to become outstanding within a reasonable period.</w:t>
      </w:r>
    </w:p>
    <w:p>
      <w:pPr>
        <w:spacing w:after="0" w:line="18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Product Provider</w:t>
      </w:r>
      <w:r>
        <w:rPr>
          <w:rFonts w:ascii="Arial" w:cs="Arial" w:eastAsia="Arial" w:hAnsi="Arial"/>
          <w:sz w:val="22"/>
          <w:szCs w:val="22"/>
          <w:color w:val="auto"/>
        </w:rPr>
        <w:t>" means Wells Fargo or any of its Affiliates, including each of the foregoing in its capacity, it applicable, as a Hedge Provider.</w:t>
      </w:r>
    </w:p>
    <w:p>
      <w:pPr>
        <w:spacing w:after="0" w:line="175"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Product Reserves</w:t>
      </w:r>
      <w:r>
        <w:rPr>
          <w:rFonts w:ascii="Arial" w:cs="Arial" w:eastAsia="Arial" w:hAnsi="Arial"/>
          <w:sz w:val="22"/>
          <w:szCs w:val="22"/>
          <w:color w:val="auto"/>
        </w:rPr>
        <w:t xml:space="preserve">" means, as of any date of determination, the amount of reserves that Agent has established (based upon Bank Product Provider's reasonable determination of the credit exposure in respect of then extant Bank Products) for Bank Products then provided or outstanding;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the amount of such reserves exceed 103% of the maximum potential principal amount of such Bank Product Obligations outstanding at such time or likely to become outstanding within a reasonable period.</w:t>
      </w:r>
    </w:p>
    <w:p>
      <w:pPr>
        <w:spacing w:after="0" w:line="187"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Products</w:t>
      </w:r>
      <w:r>
        <w:rPr>
          <w:rFonts w:ascii="Arial" w:cs="Arial" w:eastAsia="Arial" w:hAnsi="Arial"/>
          <w:sz w:val="22"/>
          <w:szCs w:val="22"/>
          <w:color w:val="auto"/>
        </w:rPr>
        <w:t>" means any service or facility extended to Loan Parties or their Subsidiaries by Bank Product Provider including: (a) credit cards, (b) credit card processing services, (c) debit cards, (d) purchase cards, procurement cards or p-cards, (e) ACH Transactions, (f) cash management, including controlled disbursement, accounts or services, or (g) transactions under Hedge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8" w:name="page59"/>
    <w:bookmarkEnd w:id="58"/>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the United States Bankruptcy Code, as in effect from time to time.</w:t>
      </w:r>
    </w:p>
    <w:p>
      <w:pPr>
        <w:spacing w:after="0" w:line="206"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Base LIBOR Rate</w:t>
      </w:r>
      <w:r>
        <w:rPr>
          <w:rFonts w:ascii="Arial" w:cs="Arial" w:eastAsia="Arial" w:hAnsi="Arial"/>
          <w:sz w:val="19"/>
          <w:szCs w:val="19"/>
          <w:color w:val="FF0000"/>
          <w:strike w:val="1"/>
        </w:rPr>
        <w:t>" means the rate per annum, determined by Agent in accordance with its customary procedures, and utilizing such electronic or other quotation sources as it considers appropriate (rounded upwards, if necessary, to the next 1/16%), on the basis of the rates at which Dollar deposits are offered to major banks in the London interbank market on or about 11:00 a.m. (California time) 2 Business Days prior to the commencement of the applicable Interest Period, for a term and in amounts comparable to the Interest Period and amount of the LIBOR Rate Loan requested by Administrative Borrower in accordance with this Agreement, which determination shall be conclusive in the absence of manifest error.</w:t>
      </w:r>
    </w:p>
    <w:p>
      <w:pPr>
        <w:spacing w:after="0" w:line="150"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w:t>
      </w:r>
      <w:r>
        <w:rPr>
          <w:rFonts w:ascii="Arial" w:cs="Arial" w:eastAsia="Arial" w:hAnsi="Arial"/>
          <w:sz w:val="21"/>
          <w:szCs w:val="21"/>
          <w:color w:val="auto"/>
        </w:rPr>
        <w:t>" means</w:t>
      </w:r>
      <w:r>
        <w:rPr>
          <w:rFonts w:ascii="Arial" w:cs="Arial" w:eastAsia="Arial" w:hAnsi="Arial"/>
          <w:sz w:val="21"/>
          <w:szCs w:val="21"/>
          <w:u w:val="single" w:color="auto"/>
          <w:color w:val="0000FF"/>
        </w:rPr>
        <w:t>, for any day,</w:t>
      </w:r>
      <w:r>
        <w:rPr>
          <w:rFonts w:ascii="Arial" w:cs="Arial" w:eastAsia="Arial" w:hAnsi="Arial"/>
          <w:sz w:val="21"/>
          <w:szCs w:val="21"/>
          <w:color w:val="auto"/>
        </w:rPr>
        <w:t xml:space="preserve"> the greatest of (a) the </w:t>
      </w:r>
      <w:r>
        <w:rPr>
          <w:rFonts w:ascii="Arial" w:cs="Arial" w:eastAsia="Arial" w:hAnsi="Arial"/>
          <w:sz w:val="21"/>
          <w:szCs w:val="21"/>
          <w:u w:val="single" w:color="auto"/>
          <w:color w:val="0000FF"/>
        </w:rPr>
        <w:t>Floor, (b) the</w:t>
      </w:r>
      <w:r>
        <w:rPr>
          <w:rFonts w:ascii="Arial" w:cs="Arial" w:eastAsia="Arial" w:hAnsi="Arial"/>
          <w:sz w:val="21"/>
          <w:szCs w:val="21"/>
          <w:color w:val="auto"/>
        </w:rPr>
        <w:t xml:space="preserve"> Federal Funds Rate </w:t>
      </w:r>
      <w:r>
        <w:rPr>
          <w:rFonts w:ascii="Arial" w:cs="Arial" w:eastAsia="Arial" w:hAnsi="Arial"/>
          <w:sz w:val="21"/>
          <w:szCs w:val="21"/>
          <w:color w:val="FF0000"/>
          <w:strike w:val="1"/>
        </w:rPr>
        <w:t>plus ½%, (b) the</w:t>
      </w:r>
      <w:r>
        <w:rPr>
          <w:rFonts w:ascii="Arial" w:cs="Arial" w:eastAsia="Arial" w:hAnsi="Arial"/>
          <w:sz w:val="21"/>
          <w:szCs w:val="21"/>
          <w:color w:val="auto"/>
        </w:rPr>
        <w:t xml:space="preserve"> </w:t>
      </w:r>
      <w:r>
        <w:rPr>
          <w:rFonts w:ascii="Arial" w:cs="Arial" w:eastAsia="Arial" w:hAnsi="Arial"/>
          <w:sz w:val="21"/>
          <w:szCs w:val="21"/>
          <w:color w:val="FF0000"/>
          <w:strike w:val="1"/>
        </w:rPr>
        <w:t>LIBOR Rate (which rate shall be calculated based upon an Interest Period of one month and shall be determined on a daily basis), plus one percentage point, and (c)</w:t>
      </w:r>
      <w:r>
        <w:rPr>
          <w:rFonts w:ascii="Arial" w:cs="Arial" w:eastAsia="Arial" w:hAnsi="Arial"/>
          <w:sz w:val="21"/>
          <w:szCs w:val="21"/>
          <w:u w:val="single" w:color="auto"/>
          <w:color w:val="0000FF"/>
          <w:strike w:val="1"/>
        </w:rPr>
        <w:t>in effect on such day</w:t>
      </w:r>
      <w:r>
        <w:rPr>
          <w:rFonts w:ascii="Arial" w:cs="Arial" w:eastAsia="Arial" w:hAnsi="Arial"/>
          <w:sz w:val="21"/>
          <w:szCs w:val="21"/>
          <w:color w:val="FF0000"/>
          <w:strike w:val="1"/>
        </w:rPr>
        <w:t xml:space="preserve"> </w:t>
      </w:r>
      <w:r>
        <w:rPr>
          <w:rFonts w:ascii="Arial" w:cs="Arial" w:eastAsia="Arial" w:hAnsi="Arial"/>
          <w:sz w:val="21"/>
          <w:szCs w:val="21"/>
          <w:i w:val="1"/>
          <w:iCs w:val="1"/>
          <w:u w:val="single" w:color="auto"/>
          <w:color w:val="0000FF"/>
          <w:strike w:val="1"/>
        </w:rPr>
        <w:t>plus</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00FF"/>
          <w:strike w:val="1"/>
        </w:rPr>
        <w:t>½%, (c) Term SOFR for a one month tenor in effect on such day,</w:t>
      </w:r>
      <w:r>
        <w:rPr>
          <w:rFonts w:ascii="Arial" w:cs="Arial" w:eastAsia="Arial" w:hAnsi="Arial"/>
          <w:sz w:val="21"/>
          <w:szCs w:val="21"/>
          <w:color w:val="FF0000"/>
          <w:strike w:val="1"/>
        </w:rPr>
        <w:t xml:space="preserve"> </w:t>
      </w:r>
      <w:r>
        <w:rPr>
          <w:rFonts w:ascii="Arial" w:cs="Arial" w:eastAsia="Arial" w:hAnsi="Arial"/>
          <w:sz w:val="21"/>
          <w:szCs w:val="21"/>
          <w:i w:val="1"/>
          <w:iCs w:val="1"/>
          <w:u w:val="single" w:color="auto"/>
          <w:color w:val="0000FF"/>
          <w:strike w:val="1"/>
        </w:rPr>
        <w:t>plus</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00FF"/>
          <w:strike w:val="1"/>
        </w:rPr>
        <w:t>1%, provided that this clause (c) shall not be applicable during any period in which Term SOFR is unavailable or unascertainable, and (d)</w:t>
      </w:r>
      <w:r>
        <w:rPr>
          <w:rFonts w:ascii="Arial" w:cs="Arial" w:eastAsia="Arial" w:hAnsi="Arial"/>
          <w:sz w:val="21"/>
          <w:szCs w:val="21"/>
          <w:color w:val="0000FF"/>
          <w:strike w:val="1"/>
        </w:rPr>
        <w:t xml:space="preserve"> </w:t>
      </w:r>
      <w:r>
        <w:rPr>
          <w:rFonts w:ascii="Arial" w:cs="Arial" w:eastAsia="Arial" w:hAnsi="Arial"/>
          <w:sz w:val="21"/>
          <w:szCs w:val="21"/>
          <w:color w:val="000000"/>
          <w:strike w:val="1"/>
        </w:rPr>
        <w:t>the rate of interest announced, from time to time, within Wells Fargo at its principal office in San Francisco as its "prime</w:t>
      </w:r>
      <w:r>
        <w:rPr>
          <w:rFonts w:ascii="Arial" w:cs="Arial" w:eastAsia="Arial" w:hAnsi="Arial"/>
          <w:sz w:val="21"/>
          <w:szCs w:val="21"/>
          <w:color w:val="0000FF"/>
          <w:strike w:val="1"/>
        </w:rPr>
        <w:t xml:space="preserve"> </w:t>
      </w:r>
      <w:r>
        <w:rPr>
          <w:rFonts w:ascii="Arial" w:cs="Arial" w:eastAsia="Arial" w:hAnsi="Arial"/>
          <w:sz w:val="21"/>
          <w:szCs w:val="21"/>
          <w:color w:val="000000"/>
          <w:strike w:val="1"/>
        </w:rPr>
        <w:t xml:space="preserve">rate" </w:t>
      </w:r>
      <w:r>
        <w:rPr>
          <w:rFonts w:ascii="Arial" w:cs="Arial" w:eastAsia="Arial" w:hAnsi="Arial"/>
          <w:sz w:val="21"/>
          <w:szCs w:val="21"/>
          <w:color w:val="0000FF"/>
          <w:strike w:val="1"/>
        </w:rPr>
        <w:t>in effect on such day</w:t>
      </w:r>
      <w:r>
        <w:rPr>
          <w:rFonts w:ascii="Arial" w:cs="Arial" w:eastAsia="Arial" w:hAnsi="Arial"/>
          <w:sz w:val="21"/>
          <w:szCs w:val="21"/>
          <w:color w:val="000000"/>
          <w:strike w:val="1"/>
        </w:rPr>
        <w:t xml:space="preserv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w:t>
      </w:r>
      <w:r>
        <w:rPr>
          <w:rFonts w:ascii="Arial" w:cs="Arial" w:eastAsia="Arial" w:hAnsi="Arial"/>
          <w:sz w:val="21"/>
          <w:szCs w:val="21"/>
          <w:color w:val="FF0000"/>
          <w:strike w:val="1"/>
        </w:rPr>
        <w:t>(and, if any such announced rate is below zero, then the rate determined pursuant to this clause (d) shall be deemed to</w:t>
      </w:r>
      <w:r>
        <w:rPr>
          <w:rFonts w:ascii="Arial" w:cs="Arial" w:eastAsia="Arial" w:hAnsi="Arial"/>
          <w:sz w:val="21"/>
          <w:szCs w:val="21"/>
          <w:color w:val="000000"/>
          <w:strike w:val="1"/>
        </w:rPr>
        <w:t xml:space="preserve"> </w:t>
      </w:r>
      <w:r>
        <w:rPr>
          <w:rFonts w:ascii="Arial" w:cs="Arial" w:eastAsia="Arial" w:hAnsi="Arial"/>
          <w:sz w:val="21"/>
          <w:szCs w:val="21"/>
          <w:color w:val="FF0000"/>
          <w:strike w:val="1"/>
        </w:rPr>
        <w:t>be zero)</w:t>
      </w:r>
      <w:r>
        <w:rPr>
          <w:rFonts w:ascii="Arial" w:cs="Arial" w:eastAsia="Arial" w:hAnsi="Arial"/>
          <w:sz w:val="21"/>
          <w:szCs w:val="21"/>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-650875</wp:posOffset>
            </wp:positionV>
            <wp:extent cx="12299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Loan</w:t>
      </w:r>
      <w:r>
        <w:rPr>
          <w:rFonts w:ascii="Arial" w:cs="Arial" w:eastAsia="Arial" w:hAnsi="Arial"/>
          <w:sz w:val="19"/>
          <w:szCs w:val="19"/>
          <w:color w:val="auto"/>
        </w:rPr>
        <w:t>" means each portion of an Advance that bears interest at a rate determined by reference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Base Rate.</w:t>
      </w:r>
    </w:p>
    <w:p>
      <w:pPr>
        <w:spacing w:after="0" w:line="188"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 Margin</w:t>
      </w:r>
      <w:r>
        <w:rPr>
          <w:rFonts w:ascii="Arial" w:cs="Arial" w:eastAsia="Arial" w:hAnsi="Arial"/>
          <w:sz w:val="21"/>
          <w:szCs w:val="21"/>
          <w:color w:val="auto"/>
        </w:rPr>
        <w:t>" means, as of any date of determination, (i) if Availability is greater than $22,500,000, 0.50 percentage point, and (ii) if Availability is less than or equal to $22,500,000, 0.75 percentage point.</w:t>
      </w:r>
    </w:p>
    <w:p>
      <w:pPr>
        <w:spacing w:after="0" w:line="151"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u w:val="single" w:color="auto"/>
          <w:color w:val="0000FF"/>
        </w:rPr>
        <w:t>"Benchmark"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2.13(d)(iii)(A).</w:t>
      </w:r>
    </w:p>
    <w:p>
      <w:pPr>
        <w:spacing w:after="0" w:line="185"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u w:val="single" w:color="auto"/>
          <w:color w:val="0000FF"/>
        </w:rPr>
        <w:t>"Benchmark Replacement" means, with respect to any Benchmark Transition Event, the sum of: (a) the alternate benchmark rate that has been selected by Agent and Administrative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and (b) the related Benchmark Replacement Adjustment; provided that if such Benchmark Replacement as so determined would be less than the Floor, such Benchmark</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u w:val="single" w:color="auto"/>
          <w:color w:val="0000FF"/>
        </w:rPr>
        <w:t>Replacement shall be deemed to be the Floor for the purposes of this Agreement and the other Loan Documents.</w:t>
      </w:r>
    </w:p>
    <w:p>
      <w:pPr>
        <w:spacing w:after="0" w:line="20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u w:val="single" w:color="auto"/>
          <w:color w:val="0000FF"/>
        </w:rPr>
        <w:t>"Benchmark Replacement Adjustment"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Agent and Administrative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"Benchmark Replacement Date" means the earliest to occur of the following events with respect to the then-current Benchmark:</w:t>
      </w:r>
    </w:p>
    <w:p>
      <w:pPr>
        <w:spacing w:after="0" w:line="175" w:lineRule="exact"/>
        <w:rPr>
          <w:sz w:val="20"/>
          <w:szCs w:val="20"/>
          <w:color w:val="auto"/>
        </w:rPr>
      </w:pPr>
    </w:p>
    <w:p>
      <w:pPr>
        <w:jc w:val="both"/>
        <w:ind w:firstLine="1505"/>
        <w:spacing w:after="0" w:line="238" w:lineRule="auto"/>
        <w:tabs>
          <w:tab w:leader="none" w:pos="2036" w:val="left"/>
        </w:tabs>
        <w:numPr>
          <w:ilvl w:val="0"/>
          <w:numId w:val="31"/>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84" w:lineRule="exact"/>
        <w:rPr>
          <w:rFonts w:ascii="Arial" w:cs="Arial" w:eastAsia="Arial" w:hAnsi="Arial"/>
          <w:sz w:val="22"/>
          <w:szCs w:val="22"/>
          <w:u w:val="single" w:color="auto"/>
          <w:color w:val="0000FF"/>
        </w:rPr>
      </w:pPr>
    </w:p>
    <w:p>
      <w:pPr>
        <w:jc w:val="both"/>
        <w:ind w:firstLine="1505"/>
        <w:spacing w:after="0" w:line="282" w:lineRule="auto"/>
        <w:tabs>
          <w:tab w:leader="none" w:pos="2036" w:val="left"/>
        </w:tabs>
        <w:numPr>
          <w:ilvl w:val="0"/>
          <w:numId w:val="31"/>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0000FF"/>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3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"Benchmark Transition Event" means the occurrence of one or more of the following events with respect to the then-current Benchmark:</w:t>
      </w:r>
    </w:p>
    <w:p>
      <w:pPr>
        <w:spacing w:after="0" w:line="175" w:lineRule="exact"/>
        <w:rPr>
          <w:sz w:val="20"/>
          <w:szCs w:val="20"/>
          <w:color w:val="auto"/>
        </w:rPr>
      </w:pPr>
    </w:p>
    <w:p>
      <w:pPr>
        <w:jc w:val="both"/>
        <w:ind w:firstLine="1505"/>
        <w:spacing w:after="0" w:line="236" w:lineRule="auto"/>
        <w:tabs>
          <w:tab w:leader="none" w:pos="2036" w:val="left"/>
        </w:tabs>
        <w:numPr>
          <w:ilvl w:val="0"/>
          <w:numId w:val="32"/>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0" w:name="page61"/>
    <w:bookmarkEnd w:id="60"/>
    <w:p>
      <w:pPr>
        <w:jc w:val="both"/>
        <w:ind w:firstLine="1505"/>
        <w:spacing w:after="0" w:line="245" w:lineRule="auto"/>
        <w:tabs>
          <w:tab w:leader="none" w:pos="2036" w:val="left"/>
        </w:tabs>
        <w:numPr>
          <w:ilvl w:val="0"/>
          <w:numId w:val="33"/>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a public statement or publication of information by the regulatory supervisor for the administrator of such Benchmark (or the published component used in the calculation thereof), the Board of Governors,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4" w:lineRule="exact"/>
        <w:rPr>
          <w:rFonts w:ascii="Arial" w:cs="Arial" w:eastAsia="Arial" w:hAnsi="Arial"/>
          <w:sz w:val="21"/>
          <w:szCs w:val="21"/>
          <w:u w:val="single" w:color="auto"/>
          <w:color w:val="0000FF"/>
        </w:rPr>
      </w:pPr>
    </w:p>
    <w:p>
      <w:pPr>
        <w:jc w:val="both"/>
        <w:ind w:firstLine="1505"/>
        <w:spacing w:after="0" w:line="257" w:lineRule="auto"/>
        <w:tabs>
          <w:tab w:leader="none" w:pos="2036" w:val="left"/>
        </w:tabs>
        <w:numPr>
          <w:ilvl w:val="0"/>
          <w:numId w:val="33"/>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0000FF"/>
        </w:rPr>
        <w:t>For the avoidance of doubt, if the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5"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u w:val="single" w:color="auto"/>
          <w:color w:val="0000FF"/>
        </w:rPr>
        <w:t>"Benchmark Transition Start Date"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7"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u w:val="single" w:color="auto"/>
          <w:color w:val="0000FF"/>
        </w:rPr>
        <w:t>"Benchmark Unavailability Period" means the period (if any) (x) beginning at the time that a Benchmark Replacement Date has occurred if, at such time, no Benchmark Replacement has replaced the then-current Benchmark for all purposes hereunder and under any Loan Document in accordance with Section 2.13(d)(iii) and (y) ending at the time that a Benchmark Replacement has replaced the then-current Benchmark for all purposes hereunder and under any Loan Document in accordance with Section 2.13(d)(iii).</w:t>
      </w:r>
    </w:p>
    <w:p>
      <w:pPr>
        <w:spacing w:after="0" w:line="18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"Beneficial Ownership Certification" means a certification regarding beneficial ownership as required by the Beneficial Ownership Regulation.</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"Beneficial Ownership Regulation" means 31 C.F.R. § 1010.230.</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 "defined benefit plan" (as defined in Section 3(35) of ERISA) for which any Loan Party or any Subsidiary or ERISA Affiliate of any Loan Party has been an "employer" (as defined in Section 3(5) of ERISA) within the past six years.</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"BHC Act Affiliate" of a Person means an "affiliate" (as such term is defined under, and interpreted in accordance with, 12 U.S.C. 1841(k)) of such Person.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1" w:name="page62"/>
    <w:bookmarkEnd w:id="61"/>
    <w:p>
      <w:pPr>
        <w:jc w:val="both"/>
        <w:ind w:firstLine="1497"/>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(or comparable managers) of Parent or any committee thereof duly authorized to act on behalf thereof.</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Governors</w:t>
      </w:r>
      <w:r>
        <w:rPr>
          <w:rFonts w:ascii="Arial" w:cs="Arial" w:eastAsia="Arial" w:hAnsi="Arial"/>
          <w:sz w:val="22"/>
          <w:szCs w:val="22"/>
          <w:color w:val="auto"/>
        </w:rPr>
        <w:t>" means the Board of Governors of the Federal Reserve System of the United States (or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any successor).</w:t>
      </w:r>
    </w:p>
    <w:p>
      <w:pPr>
        <w:spacing w:after="0" w:line="188"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Books</w:t>
      </w:r>
      <w:r>
        <w:rPr>
          <w:rFonts w:ascii="Arial" w:cs="Arial" w:eastAsia="Arial" w:hAnsi="Arial"/>
          <w:sz w:val="19"/>
          <w:szCs w:val="19"/>
          <w:color w:val="auto"/>
        </w:rPr>
        <w:t>" means all of each Loan Parties' now owned or hereafter acquired books and records (including all of its Records indicating, summarizing, or evidencing its assets (including the Collateral) or liabilities, all of its Records relating to its business operations or financial condition, and all of its goods or General Intangibles related to such information).</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w:t>
      </w:r>
      <w:r>
        <w:rPr>
          <w:rFonts w:ascii="Arial" w:cs="Arial" w:eastAsia="Arial" w:hAnsi="Arial"/>
          <w:sz w:val="21"/>
          <w:szCs w:val="21"/>
          <w:color w:val="auto"/>
        </w:rPr>
        <w:t>" and "</w:t>
      </w:r>
      <w:r>
        <w:rPr>
          <w:rFonts w:ascii="Arial" w:cs="Arial" w:eastAsia="Arial" w:hAnsi="Arial"/>
          <w:sz w:val="21"/>
          <w:szCs w:val="21"/>
          <w:u w:val="single" w:color="auto"/>
          <w:color w:val="auto"/>
        </w:rPr>
        <w:t>Borrowers</w:t>
      </w:r>
      <w:r>
        <w:rPr>
          <w:rFonts w:ascii="Arial" w:cs="Arial" w:eastAsia="Arial" w:hAnsi="Arial"/>
          <w:sz w:val="21"/>
          <w:szCs w:val="21"/>
          <w:color w:val="auto"/>
        </w:rPr>
        <w:t>" have the respective meanings set forth in the preamble to this Agreement.</w:t>
      </w:r>
    </w:p>
    <w:p>
      <w:pPr>
        <w:spacing w:after="0" w:line="21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 means a borrowing hereunder of Advances made on the same day by the Lenders (or Agent on behalf thereof), or by Swing Lender in the case of a Swing Loan, or by Agent in the case of an Agent Advance, as the case may be.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Certificate</w:t>
      </w:r>
      <w:r>
        <w:rPr>
          <w:rFonts w:ascii="Arial" w:cs="Arial" w:eastAsia="Arial" w:hAnsi="Arial"/>
          <w:sz w:val="22"/>
          <w:szCs w:val="22"/>
          <w:color w:val="auto"/>
        </w:rPr>
        <w:t xml:space="preserve">" means a certificate in the form of </w:t>
      </w:r>
      <w:r>
        <w:rPr>
          <w:rFonts w:ascii="Arial" w:cs="Arial" w:eastAsia="Arial" w:hAnsi="Arial"/>
          <w:sz w:val="22"/>
          <w:szCs w:val="22"/>
          <w:u w:val="single" w:color="auto"/>
          <w:color w:val="auto"/>
        </w:rPr>
        <w:t>Exhibit B-1</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 means any day that is not a Saturday, Sunday</w:t>
      </w:r>
      <w:r>
        <w:rPr>
          <w:rFonts w:ascii="Arial" w:cs="Arial" w:eastAsia="Arial" w:hAnsi="Arial"/>
          <w:sz w:val="22"/>
          <w:szCs w:val="22"/>
          <w:color w:val="FF0000"/>
          <w:strike w:val="1"/>
        </w:rPr>
        <w:t>,</w:t>
      </w:r>
      <w:r>
        <w:rPr>
          <w:rFonts w:ascii="Arial" w:cs="Arial" w:eastAsia="Arial" w:hAnsi="Arial"/>
          <w:sz w:val="22"/>
          <w:szCs w:val="22"/>
          <w:color w:val="auto"/>
        </w:rPr>
        <w:t xml:space="preserve"> or other day on which </w:t>
      </w:r>
      <w:r>
        <w:rPr>
          <w:rFonts w:ascii="Arial" w:cs="Arial" w:eastAsia="Arial" w:hAnsi="Arial"/>
          <w:sz w:val="22"/>
          <w:szCs w:val="22"/>
          <w:color w:val="FF0000"/>
          <w:strike w:val="1"/>
        </w:rPr>
        <w:t>national banks are</w:t>
      </w:r>
      <w:r>
        <w:rPr>
          <w:rFonts w:ascii="Arial" w:cs="Arial" w:eastAsia="Arial" w:hAnsi="Arial"/>
          <w:sz w:val="22"/>
          <w:szCs w:val="22"/>
          <w:color w:val="auto"/>
        </w:rPr>
        <w:t xml:space="preserve"> </w:t>
      </w:r>
      <w:r>
        <w:rPr>
          <w:rFonts w:ascii="Arial" w:cs="Arial" w:eastAsia="Arial" w:hAnsi="Arial"/>
          <w:sz w:val="22"/>
          <w:szCs w:val="22"/>
          <w:color w:val="FF0000"/>
          <w:strike w:val="1"/>
        </w:rPr>
        <w:t>authorized or required to close, except that, if a determination of a Business Day shall relate to a LIBOR Rate Loan, the term "Business Day" also shall exclude any day on which banks are closed for dealings in Dollar deposits in the London interbank market.</w:t>
      </w:r>
      <w:r>
        <w:rPr>
          <w:rFonts w:ascii="Arial" w:cs="Arial" w:eastAsia="Arial" w:hAnsi="Arial"/>
          <w:sz w:val="22"/>
          <w:szCs w:val="22"/>
          <w:u w:val="single" w:color="auto"/>
          <w:color w:val="0000FF"/>
          <w:strike w:val="1"/>
        </w:rPr>
        <w:t>the Federal Reserve Bank of New York is closed.</w:t>
      </w:r>
    </w:p>
    <w:p>
      <w:pPr>
        <w:spacing w:after="0" w:line="185"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Expenditures</w:t>
      </w:r>
      <w:r>
        <w:rPr>
          <w:rFonts w:ascii="Arial" w:cs="Arial" w:eastAsia="Arial" w:hAnsi="Arial"/>
          <w:sz w:val="21"/>
          <w:szCs w:val="21"/>
          <w:color w:val="auto"/>
        </w:rPr>
        <w:t>" means, with respect to any Person for any period, the aggregate of all expenditures by such Person and its Subsidiaries during such period that are capital expenditures as determined in accordance with GAAP, to the extent such expenditures are paid in cash and not financed, but excluding, without duplication, (a) with respect to the purchase price of assets that are purchased substantially contemporaneously with the trade-in of existing assets during such period, the amount that the gross amount of such purchase price is reduced by the credit granted by the seller of such assets for the assets being traded in at such time, (b) any portion of the purchase price of any Acquisition (to the extent permitted hereunder) allocable to capital expenditures, and (c) expenditures that are accounted for as capital expenditures of such Person and that actually are paid for by a third party (excluding any Loan Party) and for which no Loan Party has provided or is required to provide or incur, directly or indirectly, any consideration or obligation to such third party or any other person (whether before, during or after such period).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w:t>
      </w:r>
      <w:r>
        <w:rPr>
          <w:rFonts w:ascii="Arial" w:cs="Arial" w:eastAsia="Arial" w:hAnsi="Arial"/>
          <w:sz w:val="22"/>
          <w:szCs w:val="22"/>
          <w:color w:val="auto"/>
        </w:rPr>
        <w:t>" means a lease that is required to be capitalized for financial reporting purposes in accordance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with GAAP.</w:t>
      </w:r>
    </w:p>
    <w:p>
      <w:pPr>
        <w:spacing w:after="0" w:line="188"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 Obligation</w:t>
      </w:r>
      <w:r>
        <w:rPr>
          <w:rFonts w:ascii="Arial" w:cs="Arial" w:eastAsia="Arial" w:hAnsi="Arial"/>
          <w:sz w:val="22"/>
          <w:szCs w:val="22"/>
          <w:color w:val="auto"/>
        </w:rPr>
        <w:t>" means any Indebtedness represented by obligations under a Capital Lease, but excluding all Indebtedness under any operating lease that is entered into between any Loan Party and any of its Subsidiaries, as lessee, and any "related party" (as defined in paragraph 5 of Financial Accounting Standards Board Statement No. 13, "Accounting for leases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2" w:name="page63"/>
    <w:bookmarkEnd w:id="62"/>
    <w:p>
      <w:pPr>
        <w:jc w:val="both"/>
        <w:spacing w:after="0" w:line="250" w:lineRule="auto"/>
        <w:rPr>
          <w:sz w:val="20"/>
          <w:szCs w:val="20"/>
          <w:color w:val="auto"/>
        </w:rPr>
      </w:pPr>
      <w:r>
        <w:rPr>
          <w:rFonts w:ascii="Arial" w:cs="Arial" w:eastAsia="Arial" w:hAnsi="Arial"/>
          <w:sz w:val="22"/>
          <w:szCs w:val="22"/>
          <w:color w:val="auto"/>
        </w:rPr>
        <w:t>(FAS13)") or Affiliate of such lessee, as lessor, that is required to be treated as capital lease obligations under GAAP, pursuant to FAS 13, as amended from time to time.</w:t>
      </w:r>
    </w:p>
    <w:p>
      <w:pPr>
        <w:spacing w:after="0" w:line="175"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CARES Act Permitted Purposes</w:t>
      </w:r>
      <w:r>
        <w:rPr>
          <w:rFonts w:ascii="Arial" w:cs="Arial" w:eastAsia="Arial" w:hAnsi="Arial"/>
          <w:sz w:val="19"/>
          <w:szCs w:val="19"/>
          <w:color w:val="auto"/>
        </w:rPr>
        <w:t>" means, with respect to the use of proceeds of any CARES Debt, the purposes set forth in Section 1106(b) of the CARES Act – Title I and otherwise in compliance with all other provisions or requirements of the CARES Act – Title I applicable in order for the entire amount of the CARES Debt to be eligible for forgiveness.</w:t>
      </w:r>
    </w:p>
    <w:p>
      <w:pPr>
        <w:spacing w:after="0" w:line="134"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CARES Act - Title I</w:t>
      </w:r>
      <w:r>
        <w:rPr>
          <w:rFonts w:ascii="Arial" w:cs="Arial" w:eastAsia="Arial" w:hAnsi="Arial"/>
          <w:sz w:val="19"/>
          <w:szCs w:val="19"/>
          <w:color w:val="auto"/>
        </w:rPr>
        <w:t>" means Title I of the Coronavirus Aid, Relief and Economic Security Act, as amended (including any successor thereto), and all requests, rules, guidelines, requirements and directives thereunder or issued in connection therewith or in implementation thereof, regardless of the date enacted, adopted, issued or implemented.</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CARES Debt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7.1(e)</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CARES Forgiveness Date</w:t>
      </w:r>
      <w:r>
        <w:rPr>
          <w:rFonts w:ascii="Arial" w:cs="Arial" w:eastAsia="Arial" w:hAnsi="Arial"/>
          <w:sz w:val="22"/>
          <w:szCs w:val="22"/>
          <w:color w:val="auto"/>
        </w:rPr>
        <w:t>" means five (5) Business Days after the date that the Borrowers obtain a final determination by the lender of the CARES Debt (and, to the extent required, the Small Business Administration) (or such longer period as may be approved in writing by Agent) regarding the amount of CARES Debt, if any, that will be forgiven pursuant to the provisions of the CARES Act - Title I.</w:t>
      </w:r>
    </w:p>
    <w:p>
      <w:pPr>
        <w:spacing w:after="0" w:line="180"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CARES Unforgiven Debt</w:t>
      </w:r>
      <w:r>
        <w:rPr>
          <w:rFonts w:ascii="Arial" w:cs="Arial" w:eastAsia="Arial" w:hAnsi="Arial"/>
          <w:sz w:val="19"/>
          <w:szCs w:val="19"/>
          <w:color w:val="auto"/>
        </w:rPr>
        <w:t xml:space="preserve">" means that amount of the CARES Debt that (x) has been determined by the lender of the CARES Debt (or the Small Business Administration) to be ineligible for forgiveness pursuant to the provisions of the CARES Act - Title 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determination has not been made on or before the date that is twelve (12) months after the date of incurrence of the CARES Debt (or such longer period as may be approved in writing by Agent), all such CARES Debt shall be deemed "CARES Unforgiven Debt" until such time as a final determination is made by the lender of the CARES Debt (and, to the extent required, the Small Business Administration) or (y) is not included in any application for such forgiveness submitted in accordance with the CARES Act - Title I within the time period specified in </w:t>
      </w:r>
      <w:r>
        <w:rPr>
          <w:rFonts w:ascii="Arial" w:cs="Arial" w:eastAsia="Arial" w:hAnsi="Arial"/>
          <w:sz w:val="19"/>
          <w:szCs w:val="19"/>
          <w:u w:val="single" w:color="auto"/>
          <w:color w:val="auto"/>
        </w:rPr>
        <w:t>Section 6.18(b)</w:t>
      </w:r>
      <w:r>
        <w:rPr>
          <w:rFonts w:ascii="Arial" w:cs="Arial" w:eastAsia="Arial" w:hAnsi="Arial"/>
          <w:sz w:val="19"/>
          <w:szCs w:val="19"/>
          <w:color w:val="auto"/>
        </w:rPr>
        <w:t>.</w:t>
      </w:r>
    </w:p>
    <w:p>
      <w:pPr>
        <w:spacing w:after="0" w:line="152" w:lineRule="exact"/>
        <w:rPr>
          <w:sz w:val="20"/>
          <w:szCs w:val="20"/>
          <w:color w:val="auto"/>
        </w:rPr>
      </w:pPr>
    </w:p>
    <w:p>
      <w:pPr>
        <w:jc w:val="both"/>
        <w:ind w:firstLine="1497"/>
        <w:spacing w:after="0" w:line="246"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 marketable direct obligations issued or unconditionally guaranteed by the United States or issued by any agency thereof and backed by the full faith and credit of the United States, in each case maturing within 2 years from the date of acquisition thereof, (b) marketable direct obligations issued by any state of the United States or any political subdivision of any such state or any public instrumentality thereof maturing within 2 years from the date of acquisition thereof and, at the time of acquisition, having the highest rating obtainable from either S&amp;P or Moody's, (c) commercial paper maturing no more than 2 years from the date of acquisition thereof and, at the time of acquisition, having a rating of A</w:t>
      </w:r>
      <w:r>
        <w:rPr>
          <w:rFonts w:ascii="MS PGothic" w:cs="MS PGothic" w:eastAsia="MS PGothic" w:hAnsi="MS PGothic"/>
          <w:sz w:val="19"/>
          <w:szCs w:val="19"/>
          <w:color w:val="auto"/>
        </w:rPr>
        <w:t>‑</w:t>
      </w:r>
      <w:r>
        <w:rPr>
          <w:rFonts w:ascii="Arial" w:cs="Arial" w:eastAsia="Arial" w:hAnsi="Arial"/>
          <w:sz w:val="19"/>
          <w:szCs w:val="19"/>
          <w:color w:val="auto"/>
        </w:rPr>
        <w:t>1 or P</w:t>
      </w:r>
      <w:r>
        <w:rPr>
          <w:rFonts w:ascii="MS PGothic" w:cs="MS PGothic" w:eastAsia="MS PGothic" w:hAnsi="MS PGothic"/>
          <w:sz w:val="19"/>
          <w:szCs w:val="19"/>
          <w:color w:val="auto"/>
        </w:rPr>
        <w:t>‑</w:t>
      </w:r>
      <w:r>
        <w:rPr>
          <w:rFonts w:ascii="Arial" w:cs="Arial" w:eastAsia="Arial" w:hAnsi="Arial"/>
          <w:sz w:val="19"/>
          <w:szCs w:val="19"/>
          <w:color w:val="auto"/>
        </w:rPr>
        <w:t>1, or better, from S&amp;P or Moody's, and (d) certificates of deposit or bankers' acceptances maturing within 2 years from the date of acquisition thereof either (i) issued by any bank organized under the laws of the United States or any state thereof which bank has a rating of A or A2, or better, from S&amp;P or Moody's, or (ii) certificates of deposit less than or equal to $250,000 in the aggregate issued by any other bank insured by the Federal Deposit Insurance Corporation.</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Bank</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Account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Agreements</w:t>
      </w:r>
      <w:r>
        <w:rPr>
          <w:rFonts w:ascii="Arial" w:cs="Arial" w:eastAsia="Arial" w:hAnsi="Arial"/>
          <w:sz w:val="22"/>
          <w:szCs w:val="22"/>
          <w:color w:val="auto"/>
        </w:rPr>
        <w:t>" means those certain cash management service agreements, in form and substance satisfactory to Agent, each of which is among Administrative Borrower, Agent, and one of the Cash Management Banks with respect to a Cash Management Account.</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Cash Sweep Trigger Event</w:t>
      </w:r>
      <w:r>
        <w:rPr>
          <w:rFonts w:ascii="Arial" w:cs="Arial" w:eastAsia="Arial" w:hAnsi="Arial"/>
          <w:sz w:val="22"/>
          <w:szCs w:val="22"/>
          <w:color w:val="auto"/>
        </w:rPr>
        <w:t>" means the occurrence of (A) an Event of Default or (B) the date on which, for a period of three (3) Business Days, Availability is less than 15% of the Total Commitment.</w:t>
      </w:r>
    </w:p>
    <w:p>
      <w:pPr>
        <w:spacing w:after="0" w:line="175"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Sweep Trigger Period</w:t>
      </w:r>
      <w:r>
        <w:rPr>
          <w:rFonts w:ascii="Arial" w:cs="Arial" w:eastAsia="Arial" w:hAnsi="Arial"/>
          <w:sz w:val="21"/>
          <w:szCs w:val="21"/>
          <w:color w:val="auto"/>
        </w:rPr>
        <w:t>" means the period commencing on the date on which a Cash Sweep Trigger Event occurs and ending on the date following the date on which (i) with respect to a Cash Sweep Trigger Event occurring pursuant to clause (A) of the definition of Cash Sweep Trigger Event, such Event of Default no longer exists or (ii) with respect to a Cash Sweep Trigger Event occurring pursuant to clause (B) of the definition of Cash Sweep Trigger Event, Availability is greater than the greater than 15% of the Total Commitment for at least thirty (30) consecutive days.</w:t>
      </w:r>
    </w:p>
    <w:p>
      <w:pPr>
        <w:spacing w:after="0" w:line="178"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 with the exception of the Permitted Holders, any "person" or "group" (within the meaning of Sections 13(d) and 14(d) of the Exchange Act) becomes the beneficial owner (as defined in Rule 13d-3 under the Exchange Act) of 35% or more of the issued and outstanding shares of Parent's Stock having the right to vote for the election of members of the Board of Directors, (b) a majority of the members of the Board of Directors do not constitute Continuing Directors, or (c) the Parent ceases to directly or indirectly own and control 100% of the outstanding voting Stock of each Loan Party (other than Parent), except, in the case of this subclause (c), as otherwise permitted by this Agreement.</w:t>
      </w:r>
    </w:p>
    <w:p>
      <w:pPr>
        <w:spacing w:after="0" w:line="150"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w:t>
      </w:r>
      <w:r>
        <w:rPr>
          <w:rFonts w:ascii="Arial" w:cs="Arial" w:eastAsia="Arial" w:hAnsi="Arial"/>
          <w:sz w:val="19"/>
          <w:szCs w:val="19"/>
          <w:color w:val="FF0000"/>
          <w:strike w:val="1"/>
        </w:rPr>
        <w:t>Second</w:t>
      </w:r>
      <w:r>
        <w:rPr>
          <w:rFonts w:ascii="Arial" w:cs="Arial" w:eastAsia="Arial" w:hAnsi="Arial"/>
          <w:sz w:val="19"/>
          <w:szCs w:val="19"/>
          <w:u w:val="single" w:color="auto"/>
          <w:color w:val="0000FF"/>
        </w:rPr>
        <w:t>Sixth</w:t>
      </w:r>
      <w:r>
        <w:rPr>
          <w:rFonts w:ascii="Arial" w:cs="Arial" w:eastAsia="Arial" w:hAnsi="Arial"/>
          <w:sz w:val="19"/>
          <w:szCs w:val="19"/>
          <w:color w:val="auto"/>
        </w:rPr>
        <w:t xml:space="preserve"> Amendment Date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w:t>
      </w:r>
      <w:r>
        <w:rPr>
          <w:rFonts w:ascii="Arial" w:cs="Arial" w:eastAsia="Arial" w:hAnsi="Arial"/>
          <w:sz w:val="19"/>
          <w:szCs w:val="19"/>
          <w:color w:val="FF0000"/>
          <w:strike w:val="1"/>
        </w:rPr>
        <w:t>or</w:t>
      </w:r>
      <w:r>
        <w:rPr>
          <w:rFonts w:ascii="Arial" w:cs="Arial" w:eastAsia="Arial" w:hAnsi="Arial"/>
          <w:sz w:val="19"/>
          <w:szCs w:val="19"/>
          <w:color w:val="auto"/>
        </w:rPr>
        <w:t xml:space="preserve"> (c) </w:t>
      </w:r>
      <w:r>
        <w:rPr>
          <w:rFonts w:ascii="Arial" w:cs="Arial" w:eastAsia="Arial" w:hAnsi="Arial"/>
          <w:sz w:val="19"/>
          <w:szCs w:val="19"/>
          <w:u w:val="single" w:color="auto"/>
          <w:color w:val="0000FF"/>
        </w:rPr>
        <w:t>any new, or adjustment to, requirements prescribed by the Board of</w:t>
      </w:r>
      <w:r>
        <w:rPr>
          <w:rFonts w:ascii="Arial" w:cs="Arial" w:eastAsia="Arial" w:hAnsi="Arial"/>
          <w:sz w:val="19"/>
          <w:szCs w:val="19"/>
          <w:color w:val="auto"/>
        </w:rPr>
        <w:t xml:space="preserve"> </w:t>
      </w:r>
      <w:r>
        <w:rPr>
          <w:rFonts w:ascii="Arial" w:cs="Arial" w:eastAsia="Arial" w:hAnsi="Arial"/>
          <w:sz w:val="19"/>
          <w:szCs w:val="19"/>
          <w:u w:val="single" w:color="auto"/>
          <w:color w:val="0000FF"/>
        </w:rPr>
        <w:t>Governors for "Eurocurrency Liabilities" (as defined in Regulation D of the Board of Governors), requirements imposed by the Federal Deposit Insurance Corporation, or similar requirements imposed by any domestic or foreign governmental authority or resulting from compliance by Agent or any Lender with any request or directive (whether or not having the force of law) from any central bank or other Governmental Authority and related in any manner to SOFR, the Term SOFR Reference Rate, Adjusted Term SOFR or Term SOFR, or (d)</w:t>
      </w:r>
      <w:r>
        <w:rPr>
          <w:rFonts w:ascii="Arial" w:cs="Arial" w:eastAsia="Arial" w:hAnsi="Arial"/>
          <w:sz w:val="19"/>
          <w:szCs w:val="19"/>
          <w:color w:val="0000FF"/>
        </w:rPr>
        <w:t xml:space="preserve"> </w:t>
      </w:r>
      <w:r>
        <w:rPr>
          <w:rFonts w:ascii="Arial" w:cs="Arial" w:eastAsia="Arial" w:hAnsi="Arial"/>
          <w:sz w:val="19"/>
          <w:szCs w:val="19"/>
          <w:color w:val="000000"/>
        </w:rPr>
        <w:t>the making or issuance by any Governmental Authority of any request, rule, guideline or</w:t>
      </w:r>
      <w:r>
        <w:rPr>
          <w:rFonts w:ascii="Arial" w:cs="Arial" w:eastAsia="Arial" w:hAnsi="Arial"/>
          <w:sz w:val="19"/>
          <w:szCs w:val="19"/>
          <w:color w:val="0000FF"/>
        </w:rPr>
        <w:t xml:space="preserve"> </w:t>
      </w:r>
      <w:r>
        <w:rPr>
          <w:rFonts w:ascii="Arial" w:cs="Arial" w:eastAsia="Arial" w:hAnsi="Arial"/>
          <w:sz w:val="19"/>
          <w:szCs w:val="19"/>
          <w:color w:val="000000"/>
        </w:rPr>
        <w:t xml:space="preserve">directive, whether or not having the force of law; </w:t>
      </w:r>
      <w:r>
        <w:rPr>
          <w:rFonts w:ascii="Arial" w:cs="Arial" w:eastAsia="Arial" w:hAnsi="Arial"/>
          <w:sz w:val="19"/>
          <w:szCs w:val="19"/>
          <w:u w:val="single" w:color="auto"/>
          <w:color w:val="000000"/>
        </w:rPr>
        <w:t>provided</w:t>
      </w:r>
      <w:r>
        <w:rPr>
          <w:rFonts w:ascii="Arial" w:cs="Arial" w:eastAsia="Arial" w:hAnsi="Arial"/>
          <w:sz w:val="19"/>
          <w:szCs w:val="19"/>
          <w:color w:val="000000"/>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w:t>
      </w:r>
      <w:r>
        <w:rPr>
          <w:rFonts w:ascii="Arial" w:cs="Arial" w:eastAsia="Arial" w:hAnsi="Arial"/>
          <w:sz w:val="19"/>
          <w:szCs w:val="19"/>
          <w:u w:val="single" w:color="auto"/>
          <w:color w:val="000000"/>
        </w:rPr>
        <w:t>Change in Law</w:t>
      </w:r>
      <w:r>
        <w:rPr>
          <w:rFonts w:ascii="Arial" w:cs="Arial" w:eastAsia="Arial" w:hAnsi="Arial"/>
          <w:sz w:val="19"/>
          <w:szCs w:val="19"/>
          <w:color w:val="000000"/>
        </w:rPr>
        <w:t>," regardless of the date enacted, adopted or issued.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4" w:name="page65"/>
    <w:bookmarkEnd w:id="64"/>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New York Uniform Commercial Code, as in effect from time to time.</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of each Loan Party's now owned or hereafter acquired right, title, and interest in and to each of the following:</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Accounts,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Books,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General Intangibles,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Inventory,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Investment Property,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Negotiable Collateral,</w:t>
      </w:r>
    </w:p>
    <w:p>
      <w:pPr>
        <w:spacing w:after="0" w:line="206"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money or other assets of each such Loan Party that arise from or relate to Accounts, Books, General Intangibles and Inventory and that now or hereafter come into the possession, custody, or control of any member of the Lender Group,</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Equipment, and</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the proceeds and products, whether tangible or intangible, of any of the foregoing, including proceeds of insurance covering any or all of the foregoing, and any and all Accounts, Books, General Intangibles, Inventory, Investment Property, Negotiable Collateral, money, deposit accounts, or other tangible or intangible property resulting from the sale, exchange, collection, or other disposition of any of the foregoing, or any portion thereof or interest therein, and the proceeds thereof.</w:t>
      </w:r>
    </w:p>
    <w:p>
      <w:pPr>
        <w:spacing w:after="0" w:line="187"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Notwithstanding the foregoing or anything herein or in any Loan Document to the contrary, Collateral shall not include (i) any Excluded Property (as defined in the Intercreditor Agreement), (ii) the proceeds of the LSB Notes, (iii) any Excluded Accounts, so long as such accounts are used solely to hold such proceeds of the LSB Notes, (iv) equity shares, assets or any other interest in or to Unrestricted Subsidiaries and (v) any Notes Priority Collateral.</w:t>
      </w:r>
    </w:p>
    <w:p>
      <w:pPr>
        <w:spacing w:after="0" w:line="17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Access Agreement</w:t>
      </w:r>
      <w:r>
        <w:rPr>
          <w:rFonts w:ascii="Arial" w:cs="Arial" w:eastAsia="Arial" w:hAnsi="Arial"/>
          <w:sz w:val="22"/>
          <w:szCs w:val="22"/>
          <w:color w:val="auto"/>
        </w:rPr>
        <w:t xml:space="preserve"> " means a landlord waiver, bailee letter, or acknowledgement agreement of any lessor, warehouseman, processor, consignee, or other Person in possession of, having a Lien upon, or having rights or interests in the Inventory, in each case, in form and substance satisfactory to Agent.</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Collections</w:t>
      </w:r>
      <w:r>
        <w:rPr>
          <w:rFonts w:ascii="Arial" w:cs="Arial" w:eastAsia="Arial" w:hAnsi="Arial"/>
          <w:sz w:val="22"/>
          <w:szCs w:val="22"/>
          <w:color w:val="auto"/>
        </w:rPr>
        <w:t>" means all cash, checks, notes, instruments, and other items of payment (including insurance proceeds, proceeds of cash sales, rental proceeds, and tax refunds) of Loan Parties, in each case either constituting ABL Priority Collateral or in respect of ABL Priority Collateral.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5" w:name="page66"/>
    <w:bookmarkEnd w:id="65"/>
    <w:p>
      <w:pPr>
        <w:jc w:val="both"/>
        <w:ind w:firstLine="1497"/>
        <w:spacing w:after="0" w:line="249"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xml:space="preserve">" means, with respect to each Lender, its Revolver Commitment or its Total Commitment, as the context requires, and, with respect to all Lenders, their Revolver Commitments or their Total Commitments, as the context requires, in each case as such Dollar amounts are set forth beside such Lender's name under the applicable heading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1</w:t>
      </w:r>
      <w:r>
        <w:rPr>
          <w:rFonts w:ascii="Arial" w:cs="Arial" w:eastAsia="Arial" w:hAnsi="Arial"/>
          <w:sz w:val="22"/>
          <w:szCs w:val="22"/>
          <w:color w:val="auto"/>
        </w:rPr>
        <w:t xml:space="preserve"> or on the signature page of the Assignment and Acceptance pursuant to which such Lender became a Lender hereunder in accordance with the provisions of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18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75"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Competitor</w:t>
      </w:r>
      <w:r>
        <w:rPr>
          <w:rFonts w:ascii="Arial" w:cs="Arial" w:eastAsia="Arial" w:hAnsi="Arial"/>
          <w:sz w:val="19"/>
          <w:szCs w:val="19"/>
          <w:color w:val="auto"/>
        </w:rPr>
        <w:t>" means (a) any Person principally engaged in the transportation, production, storage, processing or fertilizers and other petrochemical products and (b) any Person who is an Affiliate of a Competitor described in clause (a).</w:t>
      </w:r>
    </w:p>
    <w:p>
      <w:pPr>
        <w:spacing w:after="0" w:line="105" w:lineRule="exact"/>
        <w:rPr>
          <w:sz w:val="20"/>
          <w:szCs w:val="20"/>
          <w:color w:val="auto"/>
        </w:rPr>
      </w:pPr>
    </w:p>
    <w:p>
      <w:pPr>
        <w:jc w:val="both"/>
        <w:ind w:firstLine="1497"/>
        <w:spacing w:after="0" w:line="259"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 C</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1</w:t>
      </w:r>
      <w:r>
        <w:rPr>
          <w:rFonts w:ascii="Arial" w:cs="Arial" w:eastAsia="Arial" w:hAnsi="Arial"/>
          <w:sz w:val="22"/>
          <w:szCs w:val="22"/>
          <w:color w:val="auto"/>
        </w:rPr>
        <w:t xml:space="preserve"> delivered by the chief financial officer or treasurer of Parent to Agent.</w:t>
      </w:r>
    </w:p>
    <w:p>
      <w:pPr>
        <w:spacing w:after="0" w:line="186"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u w:val="single" w:color="auto"/>
          <w:color w:val="0000FF"/>
        </w:rPr>
        <w:t>"Conforming Changes"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2.13(b)(ii) and other technical, administrative or operational matters) that Agent (in consultation with the Administrative Borrower) decides may be appropriate to reflect the adoption and implementation of any such rate or to permit the use and administration thereof by Agent in a manner substantially consistent with market practice (or, if Agent (in consultation with the Administrative Borrower) decides that adoption of any portion of such market practice is not administratively feasible or if Agent determines that no market practice for the administration of any such rate exists, in such other manner of administration as Agent (in consultation with the Administrative Borrower) decides is reasonably necessary in connection with the administration of this Agreement and the other Loan Documents).</w:t>
      </w:r>
    </w:p>
    <w:p>
      <w:pPr>
        <w:spacing w:after="0" w:line="200" w:lineRule="exact"/>
        <w:rPr>
          <w:sz w:val="20"/>
          <w:szCs w:val="20"/>
          <w:color w:val="auto"/>
        </w:rPr>
      </w:pPr>
    </w:p>
    <w:p>
      <w:pPr>
        <w:spacing w:after="0" w:line="20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Leverage Ratio</w:t>
      </w:r>
      <w:r>
        <w:rPr>
          <w:rFonts w:ascii="Arial" w:cs="Arial" w:eastAsia="Arial" w:hAnsi="Arial"/>
          <w:sz w:val="22"/>
          <w:szCs w:val="22"/>
          <w:color w:val="auto"/>
        </w:rPr>
        <w:t>" shall mean the "Consolidated Leverage Ratio", as such term is defined in the LSB Notes and the Indenture (as defined in the LSB Notes), and shall be calculated in accordance with the LSB Notes and the Indenture.</w:t>
      </w:r>
    </w:p>
    <w:p>
      <w:pPr>
        <w:spacing w:after="0" w:line="186"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Interest Expense</w:t>
      </w:r>
      <w:r>
        <w:rPr>
          <w:rFonts w:ascii="Arial" w:cs="Arial" w:eastAsia="Arial" w:hAnsi="Arial"/>
          <w:sz w:val="19"/>
          <w:szCs w:val="19"/>
          <w:color w:val="auto"/>
        </w:rPr>
        <w:t xml:space="preserve">" means, with respect to any Person for any period, gross interest expense of such Person and its Subsidiaries for such period determined in conformity with GAAP (including, without limitation, interest expense paid to Affiliates of such Person other than a Subsidiary of Parent, less the sum of interest income and non-cash accretion expense and non-cash amortization of debt origination cost for such period, each determined on a consolidated basis and in accordance with GAAP for such Person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Consolidated Net Interest Expense include any interest expense attributable to any CARES Debt other than CARES Unforgiven Debt.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6" w:name="page67"/>
    <w:bookmarkEnd w:id="66"/>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Director</w:t>
      </w:r>
      <w:r>
        <w:rPr>
          <w:rFonts w:ascii="Arial" w:cs="Arial" w:eastAsia="Arial" w:hAnsi="Arial"/>
          <w:sz w:val="22"/>
          <w:szCs w:val="22"/>
          <w:color w:val="auto"/>
        </w:rPr>
        <w:t>" means (a) any member of the Board of Directors who was a director (or comparable manager) of Parent on the Original Closing Date, and (b) any individual who becomes a member of the Board of Directors after the Original Closing Date if such individual was appointed or nominated for election to the Board of Directors by a majority of the Continuing Directors.</w:t>
      </w:r>
    </w:p>
    <w:p>
      <w:pPr>
        <w:spacing w:after="0" w:line="18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Contribution Agreement</w:t>
      </w:r>
      <w:r>
        <w:rPr>
          <w:rFonts w:ascii="Arial" w:cs="Arial" w:eastAsia="Arial" w:hAnsi="Arial"/>
          <w:sz w:val="22"/>
          <w:szCs w:val="22"/>
          <w:color w:val="auto"/>
        </w:rPr>
        <w:t>" means that certain Contribution Agreement among the Loan Parties, in form and substance satisfactory to Agent.</w:t>
      </w:r>
    </w:p>
    <w:p>
      <w:pPr>
        <w:spacing w:after="0" w:line="175"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Covenant Condition</w:t>
      </w:r>
      <w:r>
        <w:rPr>
          <w:rFonts w:ascii="Arial" w:cs="Arial" w:eastAsia="Arial" w:hAnsi="Arial"/>
          <w:sz w:val="21"/>
          <w:szCs w:val="21"/>
          <w:color w:val="auto"/>
        </w:rPr>
        <w:t>" means, as of any date of determination, (i) no Default or Event of Default has occurred and is continuing and (ii) Availability is equal to or greater than the greater than 20% of the Total Commitments.</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"Covered Entity" means any of the following:</w:t>
      </w:r>
    </w:p>
    <w:p>
      <w:pPr>
        <w:spacing w:after="0" w:line="206" w:lineRule="exact"/>
        <w:rPr>
          <w:sz w:val="20"/>
          <w:szCs w:val="20"/>
          <w:color w:val="auto"/>
        </w:rPr>
      </w:pPr>
    </w:p>
    <w:p>
      <w:pPr>
        <w:ind w:left="2040" w:hanging="535"/>
        <w:spacing w:after="0"/>
        <w:tabs>
          <w:tab w:leader="none" w:pos="2040" w:val="left"/>
        </w:tabs>
        <w:numPr>
          <w:ilvl w:val="0"/>
          <w:numId w:val="34"/>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 "covered entity" as that term is defined in, and interpreted in accordance with, 12 C.F.R. § 252.82(b);</w:t>
      </w:r>
    </w:p>
    <w:p>
      <w:pPr>
        <w:spacing w:after="0" w:line="240" w:lineRule="exact"/>
        <w:rPr>
          <w:rFonts w:ascii="Arial" w:cs="Arial" w:eastAsia="Arial" w:hAnsi="Arial"/>
          <w:sz w:val="19"/>
          <w:szCs w:val="19"/>
          <w:u w:val="single" w:color="auto"/>
          <w:color w:val="0000FF"/>
        </w:rPr>
      </w:pPr>
    </w:p>
    <w:p>
      <w:pPr>
        <w:ind w:left="2040" w:hanging="535"/>
        <w:spacing w:after="0"/>
        <w:tabs>
          <w:tab w:leader="none" w:pos="2040" w:val="left"/>
        </w:tabs>
        <w:numPr>
          <w:ilvl w:val="0"/>
          <w:numId w:val="34"/>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 "covered bank" as that term is defined in, and interpreted in accordance with, 12 C.F.R. § 47.3(b); or</w:t>
      </w:r>
    </w:p>
    <w:p>
      <w:pPr>
        <w:spacing w:after="0" w:line="240" w:lineRule="exact"/>
        <w:rPr>
          <w:rFonts w:ascii="Arial" w:cs="Arial" w:eastAsia="Arial" w:hAnsi="Arial"/>
          <w:sz w:val="19"/>
          <w:szCs w:val="19"/>
          <w:u w:val="single" w:color="auto"/>
          <w:color w:val="0000FF"/>
        </w:rPr>
      </w:pPr>
    </w:p>
    <w:p>
      <w:pPr>
        <w:ind w:left="1500" w:right="600" w:firstLine="5"/>
        <w:spacing w:after="0" w:line="456" w:lineRule="auto"/>
        <w:tabs>
          <w:tab w:leader="none" w:pos="2039" w:val="left"/>
        </w:tabs>
        <w:numPr>
          <w:ilvl w:val="0"/>
          <w:numId w:val="34"/>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a "covered FSI" as that term is defined in, and interpreted in accordance with, 12 C.F.R. § 382.2(b). "Covered Party" has the meaning specified therefor in Section 17.14 of this Agreement.</w:t>
      </w: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Balance</w:t>
      </w:r>
      <w:r>
        <w:rPr>
          <w:rFonts w:ascii="Arial" w:cs="Arial" w:eastAsia="Arial" w:hAnsi="Arial"/>
          <w:sz w:val="22"/>
          <w:szCs w:val="22"/>
          <w:color w:val="auto"/>
        </w:rPr>
        <w:t>" means, with respect to each day during the term of this Agreement, the amount of an Obligation owed at the end of such day.</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DDA</w:t>
      </w:r>
      <w:r>
        <w:rPr>
          <w:rFonts w:ascii="Arial" w:cs="Arial" w:eastAsia="Arial" w:hAnsi="Arial"/>
          <w:sz w:val="22"/>
          <w:szCs w:val="22"/>
          <w:color w:val="auto"/>
        </w:rPr>
        <w:t>" means any checking or other demand deposit account maintained by any Borrower.</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 event, condition, or default that, with the giving of notice, the passage of time, or both, would be an Event of Default.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u w:val="single" w:color="auto"/>
          <w:color w:val="0000FF"/>
        </w:rPr>
        <w:t>"Default Right" has the meaning assigned to that term in, and shall be interpreted in accordance with, 12 C.F.R.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 252.81, 47.2 or 382.1, as applicable.</w:t>
      </w:r>
    </w:p>
    <w:p>
      <w:pPr>
        <w:spacing w:after="0" w:line="18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Lender</w:t>
      </w:r>
      <w:r>
        <w:rPr>
          <w:rFonts w:ascii="Arial" w:cs="Arial" w:eastAsia="Arial" w:hAnsi="Arial"/>
          <w:sz w:val="22"/>
          <w:szCs w:val="22"/>
          <w:color w:val="auto"/>
        </w:rPr>
        <w:t>" means any Lender that fails to make any Advance (or other extension of credit) that it is required to make hereunder on the date that it is required to do so hereunder.</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Lender Rate</w:t>
      </w:r>
      <w:r>
        <w:rPr>
          <w:rFonts w:ascii="Arial" w:cs="Arial" w:eastAsia="Arial" w:hAnsi="Arial"/>
          <w:sz w:val="22"/>
          <w:szCs w:val="22"/>
          <w:color w:val="auto"/>
        </w:rPr>
        <w:t>" means (a) the Base Rate for the first 3 days from and after the date the relevant payment is due, and (b) thereafter, at the interest rate then applicable to Advances that are Base Rate Loans (inclusive of the Base Rate Margin applicable thereto).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7" w:name="page68"/>
    <w:bookmarkEnd w:id="67"/>
    <w:p>
      <w:pPr>
        <w:jc w:val="both"/>
        <w:ind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Account</w:t>
      </w:r>
      <w:r>
        <w:rPr>
          <w:rFonts w:ascii="Arial" w:cs="Arial" w:eastAsia="Arial" w:hAnsi="Arial"/>
          <w:sz w:val="21"/>
          <w:szCs w:val="21"/>
          <w:color w:val="auto"/>
        </w:rPr>
        <w:t>" means BancFirst of Oklahoma, whose office is located at 4500 West Memorial, Oklahoma City, Oklahoma 73126, and whose ABA number is 103003632 or such other depository bank (located within the United States) that has been designated as such, in writing, by Administrative Borrower to Agent.</w:t>
      </w:r>
    </w:p>
    <w:p>
      <w:pPr>
        <w:spacing w:after="0" w:line="169"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Account Bank</w:t>
      </w:r>
      <w:r>
        <w:rPr>
          <w:rFonts w:ascii="Arial" w:cs="Arial" w:eastAsia="Arial" w:hAnsi="Arial"/>
          <w:sz w:val="22"/>
          <w:szCs w:val="22"/>
          <w:color w:val="auto"/>
        </w:rPr>
        <w:t>" means BancFirst of Oklahoma, whose office is located at 4500 West Memorial, Oklahoma City, Oklahoma 73126, and whose ABA number is 103003632.</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Dilution</w:t>
      </w:r>
      <w:r>
        <w:rPr>
          <w:rFonts w:ascii="Arial" w:cs="Arial" w:eastAsia="Arial" w:hAnsi="Arial"/>
          <w:sz w:val="22"/>
          <w:szCs w:val="22"/>
          <w:color w:val="auto"/>
        </w:rPr>
        <w:t>" means, as of any date of determination, a percentage, based upon the experience of the immediately prior 90 days, that is the result of dividing the Dollar amount of (a) bad debt write-downs, discounts, advertising allowances, credits, or other dilutive items with respect to the Accounts during such period, by (b) Borrowers' billings during such period plus the Dollar amount of clause (a).</w:t>
      </w:r>
    </w:p>
    <w:p>
      <w:pPr>
        <w:spacing w:after="0" w:line="185"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Dilution Reserve</w:t>
      </w:r>
      <w:r>
        <w:rPr>
          <w:rFonts w:ascii="Arial" w:cs="Arial" w:eastAsia="Arial" w:hAnsi="Arial"/>
          <w:sz w:val="21"/>
          <w:szCs w:val="21"/>
          <w:color w:val="auto"/>
        </w:rPr>
        <w:t>" means, as of any date of determination, an amount sufficient to reduce the advance rate against Eligible Accounts by one percentage point for each percentage point by which Dilution is in excess of 5%.</w:t>
      </w:r>
    </w:p>
    <w:p>
      <w:pPr>
        <w:spacing w:after="0" w:line="151"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Lender</w:t>
      </w:r>
      <w:r>
        <w:rPr>
          <w:rFonts w:ascii="Arial" w:cs="Arial" w:eastAsia="Arial" w:hAnsi="Arial"/>
          <w:sz w:val="19"/>
          <w:szCs w:val="19"/>
          <w:color w:val="auto"/>
        </w:rPr>
        <w:t>" means (a) certain banks, financial institutions and other institutional lenders (or related funds of such institutional lenders) identified in writing to Agent by the Parent prior to the Restatement Effective Date and (b) Competitors of the Borrowers and their Subsidiaries that have been identified in writing to the Agent by the Parent prior to the Restatement Effective Date or no more than twice per year thereafter, which designations shall not apply retroactively to disqualify any persons that have previously acquired an assignment or participation interest in the Commitments and Advances hereunder, it being understood and agreed that the Agent may share such list with any Lender or prospective Lender hereunder.</w:t>
      </w:r>
    </w:p>
    <w:p>
      <w:pPr>
        <w:spacing w:after="0" w:line="150"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Drawing Document</w:t>
      </w:r>
      <w:r>
        <w:rPr>
          <w:rFonts w:ascii="Arial" w:cs="Arial" w:eastAsia="Arial" w:hAnsi="Arial"/>
          <w:sz w:val="22"/>
          <w:szCs w:val="22"/>
          <w:color w:val="auto"/>
        </w:rPr>
        <w:t>" means any Letter of Credit or other document presented for purposes of drawing under any Letter of Credit, including by electronic transmission such as SWIFT, electronic mail, facsimile or computer generated communication.</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United States dollars.</w:t>
      </w:r>
    </w:p>
    <w:p>
      <w:pPr>
        <w:spacing w:after="0" w:line="206"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w:t>
      </w:r>
      <w:r>
        <w:rPr>
          <w:rFonts w:ascii="Arial" w:cs="Arial" w:eastAsia="Arial" w:hAnsi="Arial"/>
          <w:sz w:val="19"/>
          <w:szCs w:val="19"/>
          <w:color w:val="auto"/>
        </w:rPr>
        <w:t>" means, with respect to any fiscal period, the result of (i) Parent's and its Subsidiaries' consolidated net earnings (or loss), minus (ii) the aggregate amount of all extraordinary, unusual or non-recurring gains of Parent and its Subsidiaries for such period, plus, without duplication, (iii) the aggregate amount of (a) all extraordinary, unusual or non-recurring charges (excluding any restructuring charges), losses and expenses, interest expense, income taxes, and depreciation and amortization of Parent and its Subsidiaries for such period, (b) restructuring charges in an amount not exceeding $5,000,000 in any fiscal year, (c) fees, costs and expenses incurred in such period in connection with (w) the disposition of the climate control business of the Parent, in an amount not exceeding $18,215,000, (x) the issuance or redemption of any capital stock of the Parent, (y) any Permitted Disposition, Acquisition permitted hereunder or issuance of Stock permitted hereunder (whether or not consummated) and (z) the incurrence, amendment and administration of Permitted Indebtedness, including any amendment of this Agreement (whether or not consummated) or the issuance or redemption (but excluding the actual redemption amount)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8" w:name="page69"/>
    <w:bookmarkEnd w:id="68"/>
    <w:p>
      <w:pPr>
        <w:jc w:val="both"/>
        <w:spacing w:after="0" w:line="245" w:lineRule="auto"/>
        <w:rPr>
          <w:sz w:val="20"/>
          <w:szCs w:val="20"/>
          <w:color w:val="auto"/>
        </w:rPr>
      </w:pPr>
      <w:r>
        <w:rPr>
          <w:rFonts w:ascii="Arial" w:cs="Arial" w:eastAsia="Arial" w:hAnsi="Arial"/>
          <w:sz w:val="21"/>
          <w:szCs w:val="21"/>
          <w:color w:val="auto"/>
        </w:rPr>
        <w:t>of any capital stock of the Parent, (d) non-operating charges and expenses, non-cash charges and expenses and non-recurring charges and expenses, all as determined in accordance with GAAP and (e) "run rate" operating expense reductions and costs savings and synergies (the "</w:t>
      </w:r>
      <w:r>
        <w:rPr>
          <w:rFonts w:ascii="Arial" w:cs="Arial" w:eastAsia="Arial" w:hAnsi="Arial"/>
          <w:sz w:val="21"/>
          <w:szCs w:val="21"/>
          <w:u w:val="single" w:color="auto"/>
          <w:color w:val="auto"/>
        </w:rPr>
        <w:t>Pro Forma Cost Savings</w:t>
      </w:r>
      <w:r>
        <w:rPr>
          <w:rFonts w:ascii="Arial" w:cs="Arial" w:eastAsia="Arial" w:hAnsi="Arial"/>
          <w:sz w:val="21"/>
          <w:szCs w:val="21"/>
          <w:color w:val="auto"/>
        </w:rPr>
        <w:t xml:space="preserve">") (net of actual amounts realized) that are reasonably identifiable and factually supportable (in the good faith determination of such Person) reasonably expected to be realized from actions that have been taken or with respect to which substantial steps have been taken,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expected Pro Forma Cost Savings (x) are reasonably expected to be realized within twelve (12) months and (y) shall not exceed the greater of (1) $7,500,000 for such fiscal period and (2) ten percent (10%) of EBITDA for such fiscal period (calculated before giving effect to any such Pro Forma Cost Savings to be added back pursuant to this clause (e)) and (z) have been demonstrated in writing to the Agent in form and substance reasonably satisfactory to the Agent.</w:t>
      </w:r>
    </w:p>
    <w:p>
      <w:pPr>
        <w:spacing w:after="0" w:line="184"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u w:val="single" w:color="auto"/>
          <w:color w:val="0000FF"/>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9"/>
          <w:szCs w:val="19"/>
          <w:u w:val="single" w:color="auto"/>
          <w:color w:val="0000FF"/>
        </w:rPr>
        <w:t>"EEA Member Country" means any of the member states of the European Union, Iceland, Liechtenstein,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Norway.</w:t>
      </w:r>
    </w:p>
    <w:p>
      <w:pPr>
        <w:spacing w:after="0" w:line="188" w:lineRule="exact"/>
        <w:rPr>
          <w:sz w:val="20"/>
          <w:szCs w:val="20"/>
          <w:color w:val="auto"/>
        </w:rPr>
      </w:pPr>
    </w:p>
    <w:p>
      <w:pPr>
        <w:jc w:val="both"/>
        <w:ind w:firstLine="1497"/>
        <w:spacing w:after="0"/>
        <w:rPr>
          <w:sz w:val="20"/>
          <w:szCs w:val="20"/>
          <w:color w:val="auto"/>
        </w:rPr>
      </w:pPr>
      <w:r>
        <w:rPr>
          <w:rFonts w:ascii="Arial" w:cs="Arial" w:eastAsia="Arial" w:hAnsi="Arial"/>
          <w:sz w:val="22"/>
          <w:szCs w:val="22"/>
          <w:u w:val="single" w:color="auto"/>
          <w:color w:val="0000FF"/>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Accounts</w:t>
      </w:r>
      <w:r>
        <w:rPr>
          <w:rFonts w:ascii="Arial" w:cs="Arial" w:eastAsia="Arial" w:hAnsi="Arial"/>
          <w:sz w:val="19"/>
          <w:szCs w:val="19"/>
          <w:color w:val="auto"/>
        </w:rPr>
        <w:t xml:space="preserve"> " means those Accounts created by one of Borrowers in the ordinary course of its business, that arise out of its sale of goods or rendition of services, that comply with each of the representations and warranties respecting Eligible Accounts made by Borrowers under the Loan Documents, and that are not excluded as ineligible by virtue of one or more of the criteria set forth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criteria may be fixed and revised from time to time by Agent in Agent's Permitted Discretion to address the results of any audit performed by Agent from time to time after the Original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 any changes in such criteria shall not be effective until the Agent has provided the Administrative Borrower with at least three (3) Business Days' prior written notice of such change in criteria, it being understood and agreed that the Borrowers may request an explanation of any such changes in criteria and the Agent agrees to provide a reasonable explanation (if so requested), but the imposition of such changes shall not be delayed, withheld, conditioned or contingent on the Agent providing any such explanation and (b) such criteria changes are not related to general collectability issues that are otherwise addressed by advance rates or the reserves which may be assessed by the Agent pursuant to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of this Agreement. In determining the amount to be included, Eligible Accounts shall be calculated net of customer deposits and unapplied cash remitted to Borrowers. Eligible Accounts shall not include the following:</w:t>
      </w:r>
    </w:p>
    <w:p>
      <w:pPr>
        <w:spacing w:after="0" w:line="15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Accounts that the Account Debtor has failed to pay within 120 days of original invoice date or Accounts which are more than 60 days past due,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9" w:name="page70"/>
    <w:bookmarkEnd w:id="69"/>
    <w:p>
      <w:pPr>
        <w:jc w:val="both"/>
        <w:ind w:firstLine="1497"/>
        <w:spacing w:after="0" w:line="250" w:lineRule="auto"/>
        <w:rPr>
          <w:sz w:val="20"/>
          <w:szCs w:val="20"/>
          <w:color w:val="auto"/>
        </w:rPr>
      </w:pPr>
      <w:r>
        <w:rPr>
          <w:rFonts w:ascii="Arial" w:cs="Arial" w:eastAsia="Arial" w:hAnsi="Arial"/>
          <w:sz w:val="22"/>
          <w:szCs w:val="22"/>
          <w:color w:val="auto"/>
        </w:rPr>
        <w:t>Accounts owed by an Account Debtor (or its Affiliates) where 50% or more of all Accounts owed by that Account Debtor (or its Affiliates) are deemed ineligible under clause (a) above,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Accounts with respect to which the Account Debtor is an employee or Affiliate of any Borrower,</w:t>
      </w:r>
    </w:p>
    <w:p>
      <w:pPr>
        <w:spacing w:after="0" w:line="206"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Accounts arising in a transaction wherein goods are placed on consignment or are sold pursuant to a guaranteed sale, a sale or return, a sale on approval, a bill and hold (except Accounts of the Borrowers having an aggregate invoice amount for all such Borrowers of up to $1,500,000 with respect to goods that are subject to a bill and hold agreement in form and substance satisfactory to Agent), or any other terms by reason of which the payment by the Account Debtor may be conditional,</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Accounts that are not payable in Dollars,</w:t>
      </w:r>
    </w:p>
    <w:p>
      <w:pPr>
        <w:spacing w:after="0" w:line="206"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9"/>
          <w:szCs w:val="19"/>
          <w:color w:val="auto"/>
        </w:rPr>
        <w:t>Accounts with respect to which the Account Debtor either (i) does not maintain its chief executive office in the United States or Canada, or (ii) is not organized under the laws of the United States or Canada or any state or province thereof, or</w:t>
      </w:r>
    </w:p>
    <w:p>
      <w:pPr>
        <w:spacing w:after="0" w:line="1" w:lineRule="exact"/>
        <w:rPr>
          <w:sz w:val="20"/>
          <w:szCs w:val="20"/>
          <w:color w:val="auto"/>
        </w:rPr>
      </w:pPr>
    </w:p>
    <w:p>
      <w:pPr>
        <w:jc w:val="both"/>
        <w:ind w:firstLine="8"/>
        <w:spacing w:after="0" w:line="246" w:lineRule="auto"/>
        <w:tabs>
          <w:tab w:leader="none" w:pos="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is the government of any foreign country or sovereign state, or of any state, province, municipality, or other political subdivision thereof, or of any department, agency, public corporation, or other instrumentality thereof, unless (y) the Account is supported by an irrevocable letter of credit satisfactory to Agent in its Permitted Discretion, or (z) the Account is covered by credit insurance in form, substance, and amount, and by an insurer, satisfactory to Agent,</w:t>
      </w:r>
    </w:p>
    <w:p>
      <w:pPr>
        <w:spacing w:after="0" w:line="180"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Accounts with respect to which the Account Debtor is either (i) the United States or any department, agency, or instrumentality of the United States (exclusive, however, of Accounts with respect to which the applicable Borrower has complied, to the reasonable satisfaction of Agent, with the Assignment of Claims Act, 31 USC § 3727), or (ii) any state of the United States (exclusive, however, of (y) Accounts owed by any state that does not have a statutory counterpart to the Assignment of Claims Act or (z) Accounts owed by any state that does have a statutory counterpart to the Assignment of Claims Act as to which the applicable Borrower has complied to Agent's satisfaction),</w:t>
      </w:r>
    </w:p>
    <w:p>
      <w:pPr>
        <w:spacing w:after="0" w:line="17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Accounts with respect to which the Account Debtor is a creditor of any Borrower, has or has asserted a right of setoff, has disputed its liability, or has made any claim with respect to its obligation to pay the Account, to the extent of such claim, right of setoff, or dispute,</w:t>
      </w:r>
    </w:p>
    <w:p>
      <w:pPr>
        <w:spacing w:after="0" w:line="18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Accounts with respect to an Account Debtor whose total obligations owing to Borrowers exceed 10% (or, in the case of the Dow Chemical Company or any Affiliate thereof, Koch Nitrogen Company, LLC, Coffeyville Resources Nitrogen Fertilizers L.L.C., COVESTRO LLC and Austin Powder Company, 20%) of all Eligible Accounts, to the extent of the obligations owing by such Account Debtor in excess of such percentage,</w:t>
      </w:r>
    </w:p>
    <w:p>
      <w:pPr>
        <w:spacing w:after="0" w:line="18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Accounts with respect to which the Account Debtor is subject to an Insolvency Proceeding, is not Solvent, has gone out of business, or as to which a Borrower has received notice of an imminent Insolvency Proceeding or a material impairment of the financial condition of such Account Debtor,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0" w:name="page71"/>
    <w:bookmarkEnd w:id="70"/>
    <w:p>
      <w:pPr>
        <w:jc w:val="both"/>
        <w:ind w:firstLine="1497"/>
        <w:spacing w:after="0" w:line="279" w:lineRule="auto"/>
        <w:rPr>
          <w:sz w:val="20"/>
          <w:szCs w:val="20"/>
          <w:color w:val="auto"/>
        </w:rPr>
      </w:pPr>
      <w:r>
        <w:rPr>
          <w:rFonts w:ascii="Arial" w:cs="Arial" w:eastAsia="Arial" w:hAnsi="Arial"/>
          <w:sz w:val="19"/>
          <w:szCs w:val="19"/>
          <w:color w:val="auto"/>
        </w:rPr>
        <w:t>Accounts with respect to which the Account Debtor is located in the states of New Jersey, Minnesota, or West Virginia (or any other state that requires a creditor to file a business activity report or similar document in order to bring suit or otherwise enforce its remedies against such Account Debtor in the courts or through any judicial process of such state), unless the applicable Borrower has qualified to do business in New Jersey, Minnesota, West Virginia, or such other states, or has filed a business activities report with the applicable division of taxation, the department of revenue, or with such other state offices, as appropriate, for the then-current year, or is exempt from such filing requirement,</w:t>
      </w:r>
    </w:p>
    <w:p>
      <w:pPr>
        <w:spacing w:after="0" w:line="15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Accounts, the collection of which, Agent, in its Permitted Discretion, believes to be doubtful by reason of the Account Debtor's financial condition, Agent's Lien,</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Accounts that are not subject to a valid and perfected first priority,</w:t>
      </w:r>
    </w:p>
    <w:p>
      <w:pPr>
        <w:spacing w:after="0" w:line="206"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Accounts with respect to which (i) the goods giving rise to such Account have not been shipped and billed (except Accounts of the Borrowers having an aggregate invoice amount for all such Borrowers of up to $1,500,000 with respect to goods that are subject to a bill and hold letter in form and substance satisfactory to Agent) to the Account Debtor, or (ii) the services giving rise to such Account have not been performed and billed to the Account Debtor,</w:t>
      </w:r>
    </w:p>
    <w:p>
      <w:pPr>
        <w:spacing w:after="0" w:line="174"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Accounts that represent the right to receive progress payments or other advance billings that are due prior to the completion of performance by the applicable Borrower of the subject contract for goods or services, or</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Intentionally</w:t>
      </w:r>
      <w:r>
        <w:rPr>
          <w:rFonts w:ascii="Arial" w:cs="Arial" w:eastAsia="Arial" w:hAnsi="Arial"/>
          <w:sz w:val="22"/>
          <w:szCs w:val="22"/>
          <w:i w:val="1"/>
          <w:iCs w:val="1"/>
          <w:u w:val="single" w:color="auto"/>
          <w:color w:val="0000FF"/>
        </w:rPr>
        <w:t>intentionally</w:t>
      </w:r>
      <w:r>
        <w:rPr>
          <w:rFonts w:ascii="Arial" w:cs="Arial" w:eastAsia="Arial" w:hAnsi="Arial"/>
          <w:sz w:val="22"/>
          <w:szCs w:val="22"/>
          <w:color w:val="auto"/>
        </w:rPr>
        <w:t xml:space="preserve"> </w:t>
      </w:r>
      <w:r>
        <w:rPr>
          <w:rFonts w:ascii="Arial" w:cs="Arial" w:eastAsia="Arial" w:hAnsi="Arial"/>
          <w:sz w:val="22"/>
          <w:szCs w:val="22"/>
          <w:i w:val="1"/>
          <w:iCs w:val="1"/>
          <w:color w:val="auto"/>
        </w:rPr>
        <w:t>omitted</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5"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Inventory</w:t>
      </w:r>
      <w:r>
        <w:rPr>
          <w:rFonts w:ascii="Arial" w:cs="Arial" w:eastAsia="Arial" w:hAnsi="Arial"/>
          <w:sz w:val="19"/>
          <w:szCs w:val="19"/>
          <w:color w:val="auto"/>
        </w:rPr>
        <w:t xml:space="preserve">" means Inventory of Borrowers consisting of first quality finished goods held for sale in the ordinary course of Borrowers' business located at one of the business locations of Borrowers set forth on </w:t>
      </w:r>
      <w:r>
        <w:rPr>
          <w:rFonts w:ascii="Arial" w:cs="Arial" w:eastAsia="Arial" w:hAnsi="Arial"/>
          <w:sz w:val="19"/>
          <w:szCs w:val="19"/>
          <w:u w:val="single" w:color="auto"/>
          <w:color w:val="auto"/>
        </w:rPr>
        <w:t>Schedule E</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(or in-transit between any such locations), that complies with each of the representations and warranties respecting Eligible Inventory made by Borrowers in the Loan Documents, and that is not excluded as ineligible by virtue of the one or more of the criteria set forth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criteria may be fixed and revised from time to time by Agent in Agent's Permitted Discretion to address the results of any audit or appraisal performed by Agent from time to time after the Original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 any changes in such criteria shall not be effective until the Agent has provided the Administrative Borrower with at least three (3) Business Days' prior written notice of such change in criteria, it being understood and agreed that the Borrowers may request an explanation of any such changes in criteria and the Agent agrees to provide a reasonable explanation (if so requested), but the imposition of such changes shall not be delayed, withheld, conditioned or contingent on the Agent providing any such explanation and (b) such criteria changes are not related to general collectability issues that are otherwise addressed by advance rates or the reserves which may be assessed by the Agent pursuant to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of this Agreement. In determining the amount to be so included, Inventory shall be valued at the lower of cost or market on a basis consistent with Borrowers' historical accounting practices. An item of Inventory shall not be included in Eligible Inventory if:</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 Borrower does not have good, valid, and marketable title thereto,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1" w:name="page72"/>
    <w:bookmarkEnd w:id="71"/>
    <w:p>
      <w:pPr>
        <w:jc w:val="both"/>
        <w:ind w:firstLine="1497"/>
        <w:spacing w:after="0" w:line="259" w:lineRule="exact"/>
        <w:rPr>
          <w:sz w:val="20"/>
          <w:szCs w:val="20"/>
          <w:color w:val="auto"/>
        </w:rPr>
      </w:pPr>
      <w:r>
        <w:rPr>
          <w:rFonts w:ascii="Arial" w:cs="Arial" w:eastAsia="Arial" w:hAnsi="Arial"/>
          <w:sz w:val="22"/>
          <w:szCs w:val="22"/>
          <w:color w:val="auto"/>
        </w:rPr>
        <w:t xml:space="preserve">it is not located at one of the locations in the United States set forth on </w:t>
      </w:r>
      <w:r>
        <w:rPr>
          <w:rFonts w:ascii="Arial" w:cs="Arial" w:eastAsia="Arial" w:hAnsi="Arial"/>
          <w:sz w:val="22"/>
          <w:szCs w:val="22"/>
          <w:u w:val="single" w:color="auto"/>
          <w:color w:val="auto"/>
        </w:rPr>
        <w:t>Schedule E</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1</w:t>
      </w:r>
      <w:r>
        <w:rPr>
          <w:rFonts w:ascii="Arial" w:cs="Arial" w:eastAsia="Arial" w:hAnsi="Arial"/>
          <w:sz w:val="22"/>
          <w:szCs w:val="22"/>
          <w:color w:val="auto"/>
        </w:rPr>
        <w:t xml:space="preserve"> or in transit from one such location to another such location,</w:t>
      </w:r>
    </w:p>
    <w:p>
      <w:pPr>
        <w:spacing w:after="0" w:line="186"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it is located on real property leased by a Borrower or in a contract warehouse, in each case, unless it is subject to a Collateral Access Agreement executed by the lessor, warehouseman, or other third party, as the case may be, and unless it is segregated or otherwise separately identifiable from goods of others, if any, stored on the premises,</w:t>
      </w:r>
    </w:p>
    <w:p>
      <w:pPr>
        <w:spacing w:after="0" w:line="169" w:lineRule="exact"/>
        <w:rPr>
          <w:sz w:val="20"/>
          <w:szCs w:val="20"/>
          <w:color w:val="auto"/>
        </w:rPr>
      </w:pPr>
    </w:p>
    <w:p>
      <w:pPr>
        <w:ind w:left="1500" w:right="3300"/>
        <w:spacing w:after="0" w:line="504" w:lineRule="auto"/>
        <w:rPr>
          <w:sz w:val="20"/>
          <w:szCs w:val="20"/>
          <w:color w:val="auto"/>
        </w:rPr>
      </w:pPr>
      <w:r>
        <w:rPr>
          <w:rFonts w:ascii="Arial" w:cs="Arial" w:eastAsia="Arial" w:hAnsi="Arial"/>
          <w:sz w:val="19"/>
          <w:szCs w:val="19"/>
          <w:color w:val="auto"/>
        </w:rPr>
        <w:t>it is not subject to a valid and perfected first priority security Agent's Lien, it consists of goods returned or rejected by a Borrower's customers, or</w:t>
      </w:r>
    </w:p>
    <w:p>
      <w:pPr>
        <w:jc w:val="both"/>
        <w:ind w:firstLine="1497"/>
        <w:spacing w:after="0" w:line="297" w:lineRule="auto"/>
        <w:rPr>
          <w:sz w:val="20"/>
          <w:szCs w:val="20"/>
          <w:color w:val="auto"/>
        </w:rPr>
      </w:pPr>
      <w:r>
        <w:rPr>
          <w:rFonts w:ascii="Arial" w:cs="Arial" w:eastAsia="Arial" w:hAnsi="Arial"/>
          <w:sz w:val="19"/>
          <w:szCs w:val="19"/>
          <w:color w:val="auto"/>
        </w:rPr>
        <w:t>it consists of goods that are obsolete or slow moving, restrictive or custom items, work-in-process, raw materials or component parts, or goods that constitute spare parts, packaging and shipping materials, supplies used or consumed in a Borrower's business, bill and hold goods, defective goods, "seconds," or Inventory acquired on consignment.</w:t>
      </w:r>
    </w:p>
    <w:p>
      <w:pPr>
        <w:spacing w:after="0" w:line="134"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Raw Inventory</w:t>
      </w:r>
      <w:r>
        <w:rPr>
          <w:rFonts w:ascii="Arial" w:cs="Arial" w:eastAsia="Arial" w:hAnsi="Arial"/>
          <w:sz w:val="21"/>
          <w:szCs w:val="21"/>
          <w:color w:val="auto"/>
        </w:rPr>
        <w:t>" means Inventory of Borrowers that would qualify as Eligible Inventory but for the fact that it consists of goods that are raw materials or component parts used or consumed in a Borrower's business.</w:t>
      </w:r>
    </w:p>
    <w:p>
      <w:pPr>
        <w:spacing w:after="0" w:line="151"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Transferee</w:t>
      </w:r>
      <w:r>
        <w:rPr>
          <w:rFonts w:ascii="Arial" w:cs="Arial" w:eastAsia="Arial" w:hAnsi="Arial"/>
          <w:sz w:val="19"/>
          <w:szCs w:val="19"/>
          <w:color w:val="auto"/>
        </w:rPr>
        <w:t xml:space="preserve">" means (a) a commercial bank organized under the laws of the United States, or any state thereof, and having total assets in excess of $250,000,000, (b) a commercial bank organized under the laws of any other country which is a member of the Organization for Economic Cooperation and Development or a political subdivision of any such country and which has total assets in excess of $250,000,000,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bank is acting through a branch or agency located in the United States, (c) a finance company, insurance company, or other financial institution or fund that is engaged in making, purchasing, or otherwise investing in commercial loans in the ordinary course of its business and having (together with its Affiliates) total assets in excess of $250,000,000, (d) any Affiliate (other than individuals) of a Lender that was party hereto as of the Restatement Effective Date, or any fund, money market account, investment account or other account managed by a Lender or an Affiliate of a Lender, (e) so long as no Specified Event of Default has occurred and is continuing, any other Person approved by Agent and Administrative Borrower, and (f) during the continuation of a Specified Event of Default, any other Person approved by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 no Disqualified Lender shall be an Eligible Transferee.</w:t>
      </w:r>
    </w:p>
    <w:p>
      <w:pPr>
        <w:spacing w:after="0" w:line="155"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Actions</w:t>
      </w:r>
      <w:r>
        <w:rPr>
          <w:rFonts w:ascii="Arial" w:cs="Arial" w:eastAsia="Arial" w:hAnsi="Arial"/>
          <w:sz w:val="19"/>
          <w:szCs w:val="19"/>
          <w:color w:val="auto"/>
        </w:rPr>
        <w:t>" means any complaint, summons, citation, notice, directive, order, claim, litigation, investigation, judicial or administrative proceeding, judgment, letter, or other communication from any Governmental Authority, or any third party involving violations of Environmental Laws or releases of Hazardous Materials from (a) any assets, properties, or businesses of any Loan Party or any predecessor in interest, (b) from adjoining properties or businesses, or (c) from or onto any facilities which received Hazardous Materials generated by any Loan Party or any predecessor in interest.</w:t>
      </w:r>
    </w:p>
    <w:p>
      <w:pPr>
        <w:spacing w:after="0" w:line="14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w:t>
      </w:r>
      <w:r>
        <w:rPr>
          <w:rFonts w:ascii="Arial" w:cs="Arial" w:eastAsia="Arial" w:hAnsi="Arial"/>
          <w:sz w:val="22"/>
          <w:szCs w:val="22"/>
          <w:color w:val="auto"/>
        </w:rPr>
        <w:t>" means any applicable federal, state, provincial, foreign or local statute, law, rule, regulation, ordinance, code, binding and enforceable guideline, binding and enforceable written policy or rule of common law now or hereafter in effect and in each case as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2" w:name="page73"/>
    <w:bookmarkEnd w:id="72"/>
    <w:p>
      <w:pPr>
        <w:jc w:val="both"/>
        <w:spacing w:after="0" w:line="275" w:lineRule="auto"/>
        <w:rPr>
          <w:sz w:val="20"/>
          <w:szCs w:val="20"/>
          <w:color w:val="auto"/>
        </w:rPr>
      </w:pPr>
      <w:r>
        <w:rPr>
          <w:rFonts w:ascii="Arial" w:cs="Arial" w:eastAsia="Arial" w:hAnsi="Arial"/>
          <w:sz w:val="19"/>
          <w:szCs w:val="19"/>
          <w:color w:val="auto"/>
        </w:rPr>
        <w:t>amended, or any judicial or administrative interpretation thereof, including any judicial or administrative order, consent decree or judgment, to the extent binding on Loan Parties, relating to the environment, employee health and safety, or Hazardous Materials, including CERCLA; RCRA; the Federal Water Pollution Control Act, 33 USC § 1251 et seq; the Toxic Substances Control Act, 15 USC, § 2601 et seq; the Clean Air Act, 42 USC § 7401 et seq.; the Safe Drinking Water Act, 42 USC. § 3803 et seq.; the Oil Pollution Act of 1990, 33 USC. § 2701 et seq.; the Emergency Planning and the Community Right-to-Know Act of 1986, 42 USC. § 11001 et seq.; the Hazardous Material Transportation Act, 49 USC § 1801 et seq.; and the Occupational Safety and Health Act, 29 USC. §651 et seq. (to the extent it regulates occupational exposure to Hazardous Materials); any state and local or foreign counterparts or equivalents, in each case as amended from time to time.</w:t>
      </w:r>
    </w:p>
    <w:p>
      <w:pPr>
        <w:spacing w:after="0" w:line="157"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Liabilities and Costs</w:t>
      </w:r>
      <w:r>
        <w:rPr>
          <w:rFonts w:ascii="Arial" w:cs="Arial" w:eastAsia="Arial" w:hAnsi="Arial"/>
          <w:sz w:val="22"/>
          <w:szCs w:val="22"/>
          <w:color w:val="auto"/>
        </w:rPr>
        <w:t>" means all liabilities, monetary obligations, Remedial Actions, losses, damages, punitive damages, consequential damages, treble damages, costs and expenses (including all reasonable fees, disbursements and expenses of counsel, experts, or consultants, and costs of investigation and feasibility studies), fines, penalties, sanctions, and interest incurred as a result of any claim or demand by any Governmental Authority or any third party, and which relate to any Environmental Action.</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Lien</w:t>
      </w:r>
      <w:r>
        <w:rPr>
          <w:rFonts w:ascii="Arial" w:cs="Arial" w:eastAsia="Arial" w:hAnsi="Arial"/>
          <w:sz w:val="22"/>
          <w:szCs w:val="22"/>
          <w:color w:val="auto"/>
        </w:rPr>
        <w:t>" means any Lien in favor of any Governmental Authority for Environmental Liabilities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and Costs.</w:t>
      </w:r>
    </w:p>
    <w:p>
      <w:pPr>
        <w:spacing w:after="0" w:line="188"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Equipment</w:t>
      </w:r>
      <w:r>
        <w:rPr>
          <w:rFonts w:ascii="Arial" w:cs="Arial" w:eastAsia="Arial" w:hAnsi="Arial"/>
          <w:sz w:val="21"/>
          <w:szCs w:val="21"/>
          <w:color w:val="auto"/>
        </w:rPr>
        <w:t>" means all of Loan Parties' now owned or hereafter acquired right, title, and interest with respect to equipment, machinery, machine tools, motors, furniture, furnishings, fixtures, vehicles (including motor vehicles), tools, parts, goods (other than consumer goods, farm products, or Inventory), wherever located, including all attachments, accessories, accessions, replacements, substitutions, additions, and improvements to any of the foregoing.</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 and any successor statute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thereto.</w:t>
      </w:r>
    </w:p>
    <w:p>
      <w:pPr>
        <w:spacing w:after="0" w:line="188"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 any Person subject to ERISA whose employees are treated as employed by the same employer as the employees of a Loan Party under IRC Section 414(b), (b) any trade or business subject to ERISA whose employees are treated as employed by the same employer as the employees of a Loan Party under IRC Section 414(c), (c) solely for purposes of Section 302 of ERISA and Section 412 of the IRC, any organization subject to ERISA that is a member of an affiliated service group of which a Loan Party is a member under IRC Section 414(m), or (d) solely for purposes of Section 302 of ERISA and Section 412 of the IRC, any Person subject to ERISA that is a party to an arrangement with a Loan Party and whose employees are aggregated with the employees of a Loan Party under IRC Section 414(o).</w:t>
      </w:r>
    </w:p>
    <w:p>
      <w:pPr>
        <w:spacing w:after="0" w:line="152"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"Erroneous Payment" has the meaning specified therefor in Section 17.15.</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"Erroneous Payment Deficiency Assignment" has the meaning specified therefor in Section 17.15.</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"Erroneous Payment Impacted Loans" has the meaning specified therefor in Section 17.15.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3" w:name="page74"/>
    <w:bookmarkEnd w:id="73"/>
    <w:p>
      <w:pPr>
        <w:ind w:left="1500"/>
        <w:spacing w:after="0"/>
        <w:rPr>
          <w:sz w:val="20"/>
          <w:szCs w:val="20"/>
          <w:color w:val="auto"/>
        </w:rPr>
      </w:pPr>
      <w:r>
        <w:rPr>
          <w:rFonts w:ascii="Arial" w:cs="Arial" w:eastAsia="Arial" w:hAnsi="Arial"/>
          <w:sz w:val="22"/>
          <w:szCs w:val="22"/>
          <w:u w:val="single" w:color="auto"/>
          <w:color w:val="0000FF"/>
        </w:rPr>
        <w:t>"Erroneous Payment Return Deficiency" has the meaning specified therefor in Section 17.15.</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"EU Bail-In Legislation Schedule" means the EU Bail-In Legislation Schedule published by the Loan Market Association (or any successor person), as in effect from time to time.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in effect from time to time.</w:t>
      </w:r>
    </w:p>
    <w:p>
      <w:pPr>
        <w:spacing w:after="0" w:line="206" w:lineRule="exact"/>
        <w:rPr>
          <w:sz w:val="20"/>
          <w:szCs w:val="20"/>
          <w:color w:val="auto"/>
        </w:rPr>
      </w:pPr>
    </w:p>
    <w:p>
      <w:pPr>
        <w:ind w:left="150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Accounts</w:t>
      </w:r>
      <w:r>
        <w:rPr>
          <w:rFonts w:ascii="Arial" w:cs="Arial" w:eastAsia="Arial" w:hAnsi="Arial"/>
          <w:sz w:val="22"/>
          <w:szCs w:val="22"/>
          <w:color w:val="auto"/>
        </w:rPr>
        <w:t xml:space="preserve">" means the investment and bank accounts set forth on </w:t>
      </w:r>
      <w:r>
        <w:rPr>
          <w:rFonts w:ascii="Arial" w:cs="Arial" w:eastAsia="Arial" w:hAnsi="Arial"/>
          <w:sz w:val="22"/>
          <w:szCs w:val="22"/>
          <w:u w:val="single" w:color="auto"/>
          <w:color w:val="auto"/>
        </w:rPr>
        <w:t>Schedule A</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1</w:t>
      </w:r>
      <w:r>
        <w:rPr>
          <w:rFonts w:ascii="Arial" w:cs="Arial" w:eastAsia="Arial" w:hAnsi="Arial"/>
          <w:sz w:val="22"/>
          <w:szCs w:val="22"/>
          <w:color w:val="auto"/>
        </w:rPr>
        <w:t xml:space="preserve"> hereto.</w:t>
      </w:r>
    </w:p>
    <w:p>
      <w:pPr>
        <w:spacing w:after="0" w:line="206"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xml:space="preserve">" means, with respect to any Loan Party, any Swap Obligation if, and to the extent that, all or a portion of the guaranty of such Loan Party of (including by virtue of the joint and several liability provisions of </w:t>
      </w:r>
      <w:r>
        <w:rPr>
          <w:rFonts w:ascii="Arial" w:cs="Arial" w:eastAsia="Arial" w:hAnsi="Arial"/>
          <w:sz w:val="19"/>
          <w:szCs w:val="19"/>
          <w:u w:val="single" w:color="auto"/>
          <w:color w:val="auto"/>
        </w:rPr>
        <w:t>Section 2.15</w:t>
      </w:r>
      <w:r>
        <w:rPr>
          <w:rFonts w:ascii="Arial" w:cs="Arial" w:eastAsia="Arial" w:hAnsi="Arial"/>
          <w:sz w:val="19"/>
          <w:szCs w:val="19"/>
          <w:color w:val="auto"/>
        </w:rPr>
        <w:t>),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58"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Taxes</w:t>
      </w:r>
      <w:r>
        <w:rPr>
          <w:rFonts w:ascii="Arial" w:cs="Arial" w:eastAsia="Arial" w:hAnsi="Arial"/>
          <w:sz w:val="21"/>
          <w:szCs w:val="21"/>
          <w:color w:val="auto"/>
        </w:rPr>
        <w:t xml:space="preserve">" means any of the following Taxes imposed on or with respect to a Lender or Agent or required to be withheld or deducted from a payment to a Lender or Agent, (a) Taxes imposed on or measured by net income (however denominated), franchise Taxes, and branch profits Taxes, in each case, (i) imposed as a result of such Lender or Agent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Agreement or Commitment pursuant to a law in effect on the date on which (i) such Lender acquires such interest in the Loan Agreement or Commitment or (ii) such Lender changes its lending office, except in each case to the extent that, pursuant to </w:t>
      </w:r>
      <w:r>
        <w:rPr>
          <w:rFonts w:ascii="Arial" w:cs="Arial" w:eastAsia="Arial" w:hAnsi="Arial"/>
          <w:sz w:val="21"/>
          <w:szCs w:val="21"/>
          <w:u w:val="single" w:color="auto"/>
          <w:color w:val="auto"/>
        </w:rPr>
        <w:t>Section 16.11</w:t>
      </w:r>
      <w:r>
        <w:rPr>
          <w:rFonts w:ascii="Arial" w:cs="Arial" w:eastAsia="Arial" w:hAnsi="Arial"/>
          <w:sz w:val="21"/>
          <w:szCs w:val="21"/>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1"/>
          <w:szCs w:val="21"/>
          <w:u w:val="single" w:color="auto"/>
          <w:color w:val="auto"/>
        </w:rPr>
        <w:t>Section 16.11(a)</w:t>
      </w:r>
      <w:r>
        <w:rPr>
          <w:rFonts w:ascii="Arial" w:cs="Arial" w:eastAsia="Arial" w:hAnsi="Arial"/>
          <w:sz w:val="21"/>
          <w:szCs w:val="21"/>
          <w:color w:val="auto"/>
        </w:rPr>
        <w:t>, and (d) any U.S. federal withholding Taxes imposed under FATCA.</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with respect to any asset or property of a Person, the price which could be negotiated in an arm's length free market transaction, for cash, between 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4" w:name="page75"/>
    <w:bookmarkEnd w:id="74"/>
    <w:p>
      <w:pPr>
        <w:spacing w:after="0"/>
        <w:rPr>
          <w:sz w:val="20"/>
          <w:szCs w:val="20"/>
          <w:color w:val="auto"/>
        </w:rPr>
      </w:pPr>
      <w:r>
        <w:rPr>
          <w:rFonts w:ascii="Arial" w:cs="Arial" w:eastAsia="Arial" w:hAnsi="Arial"/>
          <w:sz w:val="19"/>
          <w:szCs w:val="19"/>
          <w:color w:val="auto"/>
        </w:rPr>
        <w:t>willing seller and a willing and able buyer, neither of whom is under undue pressure or compulsion to complete the transaction.</w:t>
      </w:r>
    </w:p>
    <w:p>
      <w:pPr>
        <w:spacing w:after="0" w:line="24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Family Member</w:t>
      </w:r>
      <w:r>
        <w:rPr>
          <w:rFonts w:ascii="Arial" w:cs="Arial" w:eastAsia="Arial" w:hAnsi="Arial"/>
          <w:sz w:val="22"/>
          <w:szCs w:val="22"/>
          <w:color w:val="auto"/>
        </w:rPr>
        <w:t>" means, with respect to any individual, any other individual having a relationship by blood (to the second degree of consanguinity), marriage, or adoption to such individual.</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Entities</w:t>
      </w:r>
      <w:r>
        <w:rPr>
          <w:rFonts w:ascii="Arial" w:cs="Arial" w:eastAsia="Arial" w:hAnsi="Arial"/>
          <w:sz w:val="22"/>
          <w:szCs w:val="22"/>
          <w:color w:val="auto"/>
        </w:rPr>
        <w:t>" means, with respect to any individual, any trust, corporation, limited liability company, or partnership for which (i) all of the beneficiaries, shareholders, members, or partners, as the case may be, are Family Members of such individual, and (ii) such individual or a Family Member of such individual is the controlling trustee, shareholder, member, or partner of such entity.</w:t>
      </w:r>
    </w:p>
    <w:p>
      <w:pPr>
        <w:spacing w:after="0" w:line="185"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FATCA</w:t>
      </w:r>
      <w:r>
        <w:rPr>
          <w:rFonts w:ascii="Arial" w:cs="Arial" w:eastAsia="Arial" w:hAnsi="Arial"/>
          <w:sz w:val="19"/>
          <w:szCs w:val="19"/>
          <w:color w:val="auto"/>
        </w:rPr>
        <w:t xml:space="preserve"> " means Sections 1471 through 1474 of the IRC,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IRC.</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FCPA</w:t>
      </w:r>
      <w:r>
        <w:rPr>
          <w:rFonts w:ascii="Arial" w:cs="Arial" w:eastAsia="Arial" w:hAnsi="Arial"/>
          <w:sz w:val="19"/>
          <w:szCs w:val="19"/>
          <w:color w:val="auto"/>
        </w:rPr>
        <w:t>" means the Foreign Corrupt Practices Act of 1977, as amended, and the rules and regulations thereunder.</w:t>
      </w:r>
    </w:p>
    <w:p>
      <w:pPr>
        <w:spacing w:after="0" w:line="241"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Rate</w:t>
      </w:r>
      <w:r>
        <w:rPr>
          <w:rFonts w:ascii="Arial" w:cs="Arial" w:eastAsia="Arial" w:hAnsi="Arial"/>
          <w:sz w:val="22"/>
          <w:szCs w:val="22"/>
          <w:color w:val="auto"/>
        </w:rPr>
        <w:t xml:space="preserve">" means, for any period, a fluctuating interest rate </w:t>
      </w:r>
      <w:r>
        <w:rPr>
          <w:rFonts w:ascii="Arial" w:cs="Arial" w:eastAsia="Arial" w:hAnsi="Arial"/>
          <w:sz w:val="22"/>
          <w:szCs w:val="22"/>
          <w:i w:val="1"/>
          <w:iCs w:val="1"/>
          <w:color w:val="auto"/>
        </w:rPr>
        <w:t>per annum</w:t>
      </w:r>
      <w:r>
        <w:rPr>
          <w:rFonts w:ascii="Arial" w:cs="Arial" w:eastAsia="Arial" w:hAnsi="Arial"/>
          <w:sz w:val="22"/>
          <w:szCs w:val="22"/>
          <w:color w:val="auto"/>
        </w:rPr>
        <w:t xml:space="preserve">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Federal Funds Rate shall be deemed to be zero).</w:t>
      </w:r>
    </w:p>
    <w:p>
      <w:pPr>
        <w:spacing w:after="0" w:line="188"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Fee Letter</w:t>
      </w:r>
      <w:r>
        <w:rPr>
          <w:rFonts w:ascii="Arial" w:cs="Arial" w:eastAsia="Arial" w:hAnsi="Arial"/>
          <w:sz w:val="21"/>
          <w:szCs w:val="21"/>
          <w:color w:val="auto"/>
        </w:rPr>
        <w:t>" means that certain fee letter, dated as of the Original Closing Date, between Borrowers and Agent, in form and substance satisfactory to Agent, as amended, supplemented or otherwise modified from time to time.</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FEIN</w:t>
      </w:r>
      <w:r>
        <w:rPr>
          <w:rFonts w:ascii="Arial" w:cs="Arial" w:eastAsia="Arial" w:hAnsi="Arial"/>
          <w:sz w:val="22"/>
          <w:szCs w:val="22"/>
          <w:color w:val="auto"/>
        </w:rPr>
        <w:t>" means Federal Employer Identification Number.</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Covenant Trigger Event</w:t>
      </w:r>
      <w:r>
        <w:rPr>
          <w:rFonts w:ascii="Arial" w:cs="Arial" w:eastAsia="Arial" w:hAnsi="Arial"/>
          <w:sz w:val="22"/>
          <w:szCs w:val="22"/>
          <w:color w:val="auto"/>
        </w:rPr>
        <w:t>" means the occurrence of the date on which Availability is less than 10.0% of the Total Commitment.</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Covenant Trigger Period</w:t>
      </w:r>
      <w:r>
        <w:rPr>
          <w:rFonts w:ascii="Arial" w:cs="Arial" w:eastAsia="Arial" w:hAnsi="Arial"/>
          <w:sz w:val="22"/>
          <w:szCs w:val="22"/>
          <w:color w:val="auto"/>
        </w:rPr>
        <w:t>" means the period commencing on the date on which an Financial Covenant Trigger Event occurs and ending on the date following the date on which Availability is greater than the greater of $10,000,000 of the Total Commitment for at least thirty (30) consecutive days.</w:t>
      </w:r>
    </w:p>
    <w:p>
      <w:pPr>
        <w:spacing w:after="0" w:line="186"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means, for any period, the ratio of (i) EBITDA for such period minus Capital Expenditures made (to the extent not already incurred in a prior period) or incurred during such period, to (ii) the sum of (A) all principal of Indebtedness of Parent and its Subsidiaries scheduled to be paid during such period (not including (w) the final scheduled payment of the Obligations at the Maturity Date, (x) the LSB Notes at the final maturity date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5" w:name="page76"/>
    <w:bookmarkEnd w:id="75"/>
    <w:p>
      <w:pPr>
        <w:jc w:val="both"/>
        <w:spacing w:after="0" w:line="282" w:lineRule="auto"/>
        <w:rPr>
          <w:sz w:val="20"/>
          <w:szCs w:val="20"/>
          <w:color w:val="auto"/>
        </w:rPr>
      </w:pPr>
      <w:r>
        <w:rPr>
          <w:rFonts w:ascii="Arial" w:cs="Arial" w:eastAsia="Arial" w:hAnsi="Arial"/>
          <w:sz w:val="19"/>
          <w:szCs w:val="19"/>
          <w:color w:val="auto"/>
        </w:rPr>
        <w:t>applicable thereto, (y) principal payments on CARES Debt other than CARES Unforgiven Debt, or (z) Indebtedness consisting of the financing of insurance premiums in the ordinary course of business not in excess of the amount of such premiums to the extent that such amounts are expensed and therefor reduce EBITDA), plus (B) Consolidated Net Interest Expense of Parent and its Subsidiaries for such period, plus (C) all amounts required to be paid by Parent and its Subsidiaries on Capitalized Lease Obligations having a scheduled due date during such period (this clause (ii), "</w:t>
      </w:r>
      <w:r>
        <w:rPr>
          <w:rFonts w:ascii="Arial" w:cs="Arial" w:eastAsia="Arial" w:hAnsi="Arial"/>
          <w:sz w:val="19"/>
          <w:szCs w:val="19"/>
          <w:u w:val="single" w:color="auto"/>
          <w:color w:val="auto"/>
        </w:rPr>
        <w:t>Fixed Charges</w:t>
      </w:r>
      <w:r>
        <w:rPr>
          <w:rFonts w:ascii="Arial" w:cs="Arial" w:eastAsia="Arial" w:hAnsi="Arial"/>
          <w:sz w:val="19"/>
          <w:szCs w:val="19"/>
          <w:color w:val="auto"/>
        </w:rPr>
        <w:t>").</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"Floor" means a rate of interest equal to 0%.</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 Lender that is not a "United States Person" as defined in Section 7701(a)(30)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IRC.</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Date</w:t>
      </w:r>
      <w:r>
        <w:rPr>
          <w:rFonts w:ascii="Arial" w:cs="Arial" w:eastAsia="Arial" w:hAnsi="Arial"/>
          <w:sz w:val="22"/>
          <w:szCs w:val="22"/>
          <w:color w:val="auto"/>
        </w:rPr>
        <w:t>" means the date on which a Borrowing occurs.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Losses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2.13(b)(ii)</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as in effect from time to time in the United States, consistently applied.</w:t>
      </w:r>
    </w:p>
    <w:p>
      <w:pPr>
        <w:spacing w:after="0" w:line="175"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General Intangibles</w:t>
      </w:r>
      <w:r>
        <w:rPr>
          <w:rFonts w:ascii="Arial" w:cs="Arial" w:eastAsia="Arial" w:hAnsi="Arial"/>
          <w:sz w:val="21"/>
          <w:szCs w:val="21"/>
          <w:color w:val="auto"/>
        </w:rPr>
        <w:t>" means all of Loan Parties' now owned or hereafter acquired right, title, and interest with respect to "general intangibles" as that term is defined in the Code (including payment intangibles, contract rights, rights to payment, proprietary rights, rights arising under common law, statutes, or regulations, choses or things in action, goodwill, patents, trade names, trademarks, servicemarks, copyrights, blueprints, drawings, purchase orders, customer lists, monies due or recoverable from pension funds, route lists, rights to payment and other rights under any royalty or licensing agreements, infringement claims, computer programs, information contained on computer disks or tapes, software, literature, reports, catalogs, money, deposit accounts, insurance premium rebates, tax refunds, and tax refund claims), and any and all supporting obligations in respect thereof.</w:t>
      </w:r>
    </w:p>
    <w:p>
      <w:pPr>
        <w:spacing w:after="0" w:line="18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Governing Documents</w:t>
      </w:r>
      <w:r>
        <w:rPr>
          <w:rFonts w:ascii="Arial" w:cs="Arial" w:eastAsia="Arial" w:hAnsi="Arial"/>
          <w:sz w:val="22"/>
          <w:szCs w:val="22"/>
          <w:color w:val="auto"/>
        </w:rPr>
        <w:t>" means, with respect to any Person, the certificate or articles of incorporation, by-laws, or other organizational documents of such Person.</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federal, state, local, or other governmental or administrative body, instrumentality, department, or agency or any court, tribunal, administrative hearing body, arbitration panel, commission, or other similar dispute- resolving panel or body.</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Guaranties</w:t>
      </w:r>
      <w:r>
        <w:rPr>
          <w:rFonts w:ascii="Arial" w:cs="Arial" w:eastAsia="Arial" w:hAnsi="Arial"/>
          <w:sz w:val="19"/>
          <w:szCs w:val="19"/>
          <w:color w:val="auto"/>
        </w:rPr>
        <w:t xml:space="preserve">" means, collectively, the guaranties made by the Guarantors party hereto contained in </w:t>
      </w:r>
      <w:r>
        <w:rPr>
          <w:rFonts w:ascii="Arial" w:cs="Arial" w:eastAsia="Arial" w:hAnsi="Arial"/>
          <w:sz w:val="19"/>
          <w:szCs w:val="19"/>
          <w:u w:val="single" w:color="auto"/>
          <w:color w:val="auto"/>
        </w:rPr>
        <w:t>Section 18</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means any Subsidiary of the Parent that becomes a Guarantor hereunder or delivers a Guaranty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Agent.</w:t>
      </w:r>
    </w:p>
    <w:p>
      <w:pPr>
        <w:spacing w:after="0" w:line="18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 substances that are defined or listed in, or otherwise classified pursuant to, any applicable laws or regulations as "hazardous substances," "hazardous materials," "hazardous wastes," "toxic substances," or any other formulation intended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6" w:name="page77"/>
    <w:bookmarkEnd w:id="76"/>
    <w:p>
      <w:pPr>
        <w:jc w:val="both"/>
        <w:spacing w:after="0" w:line="235" w:lineRule="auto"/>
        <w:rPr>
          <w:sz w:val="20"/>
          <w:szCs w:val="20"/>
          <w:color w:val="auto"/>
        </w:rPr>
      </w:pPr>
      <w:r>
        <w:rPr>
          <w:rFonts w:ascii="Arial" w:cs="Arial" w:eastAsia="Arial" w:hAnsi="Arial"/>
          <w:sz w:val="22"/>
          <w:szCs w:val="22"/>
          <w:color w:val="auto"/>
        </w:rPr>
        <w:t>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 (d) asbestos in any form or electrical equipment that contains any oil or dielectric fluid containing levels of polychlorinated biphenyls in excess of 50 parts per million.</w:t>
      </w:r>
    </w:p>
    <w:p>
      <w:pPr>
        <w:spacing w:after="0" w:line="18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Agreement</w:t>
      </w:r>
      <w:r>
        <w:rPr>
          <w:rFonts w:ascii="Arial" w:cs="Arial" w:eastAsia="Arial" w:hAnsi="Arial"/>
          <w:sz w:val="22"/>
          <w:szCs w:val="22"/>
          <w:color w:val="auto"/>
        </w:rPr>
        <w:t>" means a "swap agreement" as that term is defined in the Section 101(53B)(A) of the Bankruptcy Code..</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Obligations</w:t>
      </w:r>
      <w:r>
        <w:rPr>
          <w:rFonts w:ascii="Arial" w:cs="Arial" w:eastAsia="Arial" w:hAnsi="Arial"/>
          <w:sz w:val="22"/>
          <w:szCs w:val="22"/>
          <w:color w:val="auto"/>
        </w:rPr>
        <w:t>" means any and all obligations or liabilities, whether absolute or contingent, due or to become due, now existing or hereafter arising, of each Loan Party and its Subsidiaries arising under, owing pursuant to, or existing in respect of Hedge Agreements entered into with one or more of the Hedge Providers.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Provider</w:t>
      </w:r>
      <w:r>
        <w:rPr>
          <w:rFonts w:ascii="Arial" w:cs="Arial" w:eastAsia="Arial" w:hAnsi="Arial"/>
          <w:sz w:val="22"/>
          <w:szCs w:val="22"/>
          <w:color w:val="auto"/>
        </w:rPr>
        <w:t>" means Wells Fargo or any of its Affiliates.</w:t>
      </w:r>
    </w:p>
    <w:p>
      <w:pPr>
        <w:spacing w:after="0" w:line="20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 all obligations of a Loan Party for borrowed money, (b) all obligations of a Loan Party evidenced by bonds, debentures, notes, or other similar instruments and all reimbursement or other obligations of a Loan Party in respect of letters of credit, bankers acceptances, interest rate swaps, or other financial products, (c) all Capitalized Lease Obligations, (d) all obligations or liabilities of others secured by a Lien on any asset of a Loan Party, irrespective of whether such obligation or liability is assumed, (e) all obligations of a Loan Party for the deferred purchase price of assets (other than trade debt incurred in the ordinary course of a Loan Parties' business and repayable in accordance with customary trade practices), and</w:t>
      </w:r>
    </w:p>
    <w:p>
      <w:pPr>
        <w:spacing w:after="0" w:line="1" w:lineRule="exact"/>
        <w:rPr>
          <w:sz w:val="20"/>
          <w:szCs w:val="20"/>
          <w:color w:val="auto"/>
        </w:rPr>
      </w:pPr>
    </w:p>
    <w:p>
      <w:pPr>
        <w:jc w:val="both"/>
        <w:ind w:firstLine="8"/>
        <w:spacing w:after="0" w:line="234" w:lineRule="auto"/>
        <w:tabs>
          <w:tab w:leader="none" w:pos="275"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obligation of a Loan Party guaranteeing or intended to guarantee (whether directly or indirectly guaranteed, endorsed, co-made, discounted, or sold with recourse to a Loan Party) any obligation of the type described in clauses (a) through (e) above of any other Person.</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Person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Loan Party under any Loan Document and (b) to the extent not otherwise described in (a),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88"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Proceeding</w:t>
      </w:r>
      <w:r>
        <w:rPr>
          <w:rFonts w:ascii="Arial" w:cs="Arial" w:eastAsia="Arial" w:hAnsi="Arial"/>
          <w:sz w:val="22"/>
          <w:szCs w:val="22"/>
          <w:color w:val="auto"/>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7" w:name="page78"/>
    <w:bookmarkEnd w:id="77"/>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Intangible Assets</w:t>
      </w:r>
      <w:r>
        <w:rPr>
          <w:rFonts w:ascii="Arial" w:cs="Arial" w:eastAsia="Arial" w:hAnsi="Arial"/>
          <w:sz w:val="22"/>
          <w:szCs w:val="22"/>
          <w:color w:val="auto"/>
        </w:rPr>
        <w:t>" means, with respect to any Person, that portion of the book value of all of such Person's assets that would be treated as intangibles under GAAP.</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means that certain Intercreditor Agreement, to be dated as of the date of issuance of the LSB Notes, by and between Agent and Wilmington Trust, National Association, in its capacity as collateral agent under the Notes Documents (as defined therein).</w:t>
      </w:r>
    </w:p>
    <w:p>
      <w:pPr>
        <w:spacing w:after="0" w:line="186"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w:t>
      </w:r>
      <w:r>
        <w:rPr>
          <w:rFonts w:ascii="Arial" w:cs="Arial" w:eastAsia="Arial" w:hAnsi="Arial"/>
          <w:sz w:val="19"/>
          <w:szCs w:val="19"/>
          <w:color w:val="FF0000"/>
          <w:strike w:val="1"/>
        </w:rPr>
        <w:t>each LIBOR Rate</w:t>
      </w:r>
      <w:r>
        <w:rPr>
          <w:rFonts w:ascii="Arial" w:cs="Arial" w:eastAsia="Arial" w:hAnsi="Arial"/>
          <w:sz w:val="19"/>
          <w:szCs w:val="19"/>
          <w:u w:val="single" w:color="auto"/>
          <w:color w:val="0000FF"/>
        </w:rPr>
        <w:t>any SOFR</w:t>
      </w:r>
      <w:r>
        <w:rPr>
          <w:rFonts w:ascii="Arial" w:cs="Arial" w:eastAsia="Arial" w:hAnsi="Arial"/>
          <w:sz w:val="19"/>
          <w:szCs w:val="19"/>
          <w:color w:val="auto"/>
        </w:rPr>
        <w:t xml:space="preserve"> Loan, a period commencing on the date of the making of such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 Loan (or the continuation of a SOFR Loan or the conversion of a Base</w:t>
      </w:r>
      <w:r>
        <w:rPr>
          <w:rFonts w:ascii="Arial" w:cs="Arial" w:eastAsia="Arial" w:hAnsi="Arial"/>
          <w:sz w:val="19"/>
          <w:szCs w:val="19"/>
          <w:color w:val="auto"/>
        </w:rPr>
        <w:t xml:space="preserve"> Rate Loan </w:t>
      </w:r>
      <w:r>
        <w:rPr>
          <w:rFonts w:ascii="Arial" w:cs="Arial" w:eastAsia="Arial" w:hAnsi="Arial"/>
          <w:sz w:val="19"/>
          <w:szCs w:val="19"/>
          <w:u w:val="single" w:color="auto"/>
          <w:color w:val="0000FF"/>
        </w:rPr>
        <w:t>to a SOFR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Loan)</w:t>
      </w:r>
      <w:r>
        <w:rPr>
          <w:rFonts w:ascii="Arial" w:cs="Arial" w:eastAsia="Arial" w:hAnsi="Arial"/>
          <w:sz w:val="19"/>
          <w:szCs w:val="19"/>
          <w:color w:val="0000FF"/>
        </w:rPr>
        <w:t xml:space="preserve"> </w:t>
      </w:r>
      <w:r>
        <w:rPr>
          <w:rFonts w:ascii="Arial" w:cs="Arial" w:eastAsia="Arial" w:hAnsi="Arial"/>
          <w:sz w:val="19"/>
          <w:szCs w:val="19"/>
          <w:color w:val="000000"/>
        </w:rPr>
        <w:t>and ending 1</w:t>
      </w:r>
      <w:r>
        <w:rPr>
          <w:rFonts w:ascii="Arial" w:cs="Arial" w:eastAsia="Arial" w:hAnsi="Arial"/>
          <w:sz w:val="19"/>
          <w:szCs w:val="19"/>
          <w:color w:val="FF0000"/>
          <w:strike w:val="1"/>
        </w:rPr>
        <w:t>, 2,</w:t>
      </w:r>
      <w:r>
        <w:rPr>
          <w:rFonts w:ascii="Arial" w:cs="Arial" w:eastAsia="Arial" w:hAnsi="Arial"/>
          <w:sz w:val="19"/>
          <w:szCs w:val="19"/>
          <w:color w:val="0000FF"/>
        </w:rPr>
        <w:t xml:space="preserve"> </w:t>
      </w:r>
      <w:r>
        <w:rPr>
          <w:rFonts w:ascii="Arial" w:cs="Arial" w:eastAsia="Arial" w:hAnsi="Arial"/>
          <w:sz w:val="19"/>
          <w:szCs w:val="19"/>
          <w:color w:val="000000"/>
        </w:rPr>
        <w:t>or 3 months thereafter;</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u w:val="single" w:color="auto"/>
          <w:color w:val="FF0000"/>
          <w:strike w:val="1"/>
        </w:rPr>
        <w:t>however</w:t>
      </w:r>
      <w:r>
        <w:rPr>
          <w:rFonts w:ascii="Arial" w:cs="Arial" w:eastAsia="Arial" w:hAnsi="Arial"/>
          <w:sz w:val="19"/>
          <w:szCs w:val="19"/>
          <w:color w:val="FF0000"/>
          <w:strike w:val="1"/>
        </w:rPr>
        <w:t>, that (a) if any Interest Period would end on a day that is not a</w:t>
      </w:r>
      <w:r>
        <w:rPr>
          <w:rFonts w:ascii="Arial" w:cs="Arial" w:eastAsia="Arial" w:hAnsi="Arial"/>
          <w:sz w:val="19"/>
          <w:szCs w:val="19"/>
          <w:color w:val="0000FF"/>
        </w:rPr>
        <w:t xml:space="preserve"> </w:t>
      </w:r>
      <w:r>
        <w:rPr>
          <w:rFonts w:ascii="Arial" w:cs="Arial" w:eastAsia="Arial" w:hAnsi="Arial"/>
          <w:sz w:val="19"/>
          <w:szCs w:val="19"/>
          <w:color w:val="FF0000"/>
          <w:strike w:val="1"/>
        </w:rPr>
        <w:t>Business Day, such Interest Period shall be extended (subject to clauses (c)-(e) below) to the next succeeding Business Day, (b</w:t>
      </w:r>
      <w:r>
        <w:rPr>
          <w:rFonts w:ascii="Arial" w:cs="Arial" w:eastAsia="Arial" w:hAnsi="Arial"/>
          <w:sz w:val="19"/>
          <w:szCs w:val="19"/>
          <w:u w:val="single" w:color="auto"/>
          <w:color w:val="0000FF"/>
          <w:strike w:val="1"/>
        </w:rPr>
        <w:t>that (a</w:t>
      </w:r>
      <w:r>
        <w:rPr>
          <w:rFonts w:ascii="Arial" w:cs="Arial" w:eastAsia="Arial" w:hAnsi="Arial"/>
          <w:sz w:val="19"/>
          <w:szCs w:val="19"/>
          <w:color w:val="000000"/>
          <w:strike w:val="1"/>
        </w:rPr>
        <w:t>) interest shall accrue at the applicable rate based upon</w:t>
      </w:r>
      <w:r>
        <w:rPr>
          <w:rFonts w:ascii="Arial" w:cs="Arial" w:eastAsia="Arial" w:hAnsi="Arial"/>
          <w:sz w:val="19"/>
          <w:szCs w:val="19"/>
          <w:color w:val="FF0000"/>
          <w:strike w:val="1"/>
        </w:rPr>
        <w:t xml:space="preserve"> the LIBOR Rate</w:t>
      </w:r>
      <w:r>
        <w:rPr>
          <w:rFonts w:ascii="Arial" w:cs="Arial" w:eastAsia="Arial" w:hAnsi="Arial"/>
          <w:sz w:val="19"/>
          <w:szCs w:val="19"/>
          <w:u w:val="single" w:color="auto"/>
          <w:color w:val="0000FF"/>
          <w:strike w:val="1"/>
        </w:rPr>
        <w:t>Adjusted Term SOFR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from and including the first</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day of each Interest Period to, but excluding, the day on which any Interest Period expires, (</w:t>
      </w:r>
      <w:r>
        <w:rPr>
          <w:rFonts w:ascii="Arial" w:cs="Arial" w:eastAsia="Arial" w:hAnsi="Arial"/>
          <w:sz w:val="19"/>
          <w:szCs w:val="19"/>
          <w:color w:val="FF0000"/>
          <w:strike w:val="1"/>
        </w:rPr>
        <w:t>c</w:t>
      </w:r>
      <w:r>
        <w:rPr>
          <w:rFonts w:ascii="Arial" w:cs="Arial" w:eastAsia="Arial" w:hAnsi="Arial"/>
          <w:sz w:val="19"/>
          <w:szCs w:val="19"/>
          <w:u w:val="single" w:color="auto"/>
          <w:color w:val="0000FF"/>
          <w:strike w:val="1"/>
        </w:rPr>
        <w:t>b</w:t>
      </w:r>
      <w:r>
        <w:rPr>
          <w:rFonts w:ascii="Arial" w:cs="Arial" w:eastAsia="Arial" w:hAnsi="Arial"/>
          <w:sz w:val="19"/>
          <w:szCs w:val="19"/>
          <w:color w:val="000000"/>
          <w:strike w:val="1"/>
        </w:rPr>
        <w:t>) any Interest Period that would end on a day that is not a Business Day shall be extended to the next succeeding Business Day unless such Business Day falls in another calendar month, in which case such Interest Period shall end on the next preceding Business Day, (</w:t>
      </w:r>
      <w:r>
        <w:rPr>
          <w:rFonts w:ascii="Arial" w:cs="Arial" w:eastAsia="Arial" w:hAnsi="Arial"/>
          <w:sz w:val="19"/>
          <w:szCs w:val="19"/>
          <w:color w:val="FF0000"/>
          <w:strike w:val="1"/>
        </w:rPr>
        <w:t>d</w:t>
      </w:r>
      <w:r>
        <w:rPr>
          <w:rFonts w:ascii="Arial" w:cs="Arial" w:eastAsia="Arial" w:hAnsi="Arial"/>
          <w:sz w:val="19"/>
          <w:szCs w:val="19"/>
          <w:u w:val="single" w:color="auto"/>
          <w:color w:val="0000FF"/>
          <w:strike w:val="1"/>
        </w:rPr>
        <w:t>c</w:t>
      </w:r>
      <w:r>
        <w:rPr>
          <w:rFonts w:ascii="Arial" w:cs="Arial" w:eastAsia="Arial" w:hAnsi="Arial"/>
          <w:sz w:val="19"/>
          <w:szCs w:val="19"/>
          <w:color w:val="000000"/>
          <w:strike w:val="1"/>
        </w:rPr>
        <w:t>)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1</w:t>
      </w:r>
      <w:r>
        <w:rPr>
          <w:rFonts w:ascii="Arial" w:cs="Arial" w:eastAsia="Arial" w:hAnsi="Arial"/>
          <w:sz w:val="19"/>
          <w:szCs w:val="19"/>
          <w:color w:val="FF0000"/>
          <w:strike w:val="1"/>
        </w:rPr>
        <w:t>, 2,</w:t>
      </w:r>
      <w:r>
        <w:rPr>
          <w:rFonts w:ascii="Arial" w:cs="Arial" w:eastAsia="Arial" w:hAnsi="Arial"/>
          <w:sz w:val="19"/>
          <w:szCs w:val="19"/>
          <w:color w:val="000000"/>
          <w:strike w:val="1"/>
        </w:rPr>
        <w:t xml:space="preserve"> or 3 months after the date on which the Interest Period began, as applicable, </w:t>
      </w:r>
      <w:r>
        <w:rPr>
          <w:rFonts w:ascii="Arial" w:cs="Arial" w:eastAsia="Arial" w:hAnsi="Arial"/>
          <w:sz w:val="19"/>
          <w:szCs w:val="19"/>
          <w:color w:val="FF0000"/>
          <w:strike w:val="1"/>
        </w:rPr>
        <w:t>and</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e</w:t>
      </w:r>
      <w:r>
        <w:rPr>
          <w:rFonts w:ascii="Arial" w:cs="Arial" w:eastAsia="Arial" w:hAnsi="Arial"/>
          <w:sz w:val="19"/>
          <w:szCs w:val="19"/>
          <w:u w:val="single" w:color="auto"/>
          <w:color w:val="0000FF"/>
          <w:strike w:val="1"/>
        </w:rPr>
        <w:t>d</w:t>
      </w:r>
      <w:r>
        <w:rPr>
          <w:rFonts w:ascii="Arial" w:cs="Arial" w:eastAsia="Arial" w:hAnsi="Arial"/>
          <w:sz w:val="19"/>
          <w:szCs w:val="19"/>
          <w:color w:val="000000"/>
          <w:strike w:val="1"/>
        </w:rPr>
        <w:t xml:space="preserve">) Borrowers (or Administrative Borrower on behalf thereof) may not elect an Interest Period which will end after the Maturity Date </w:t>
      </w:r>
      <w:r>
        <w:rPr>
          <w:rFonts w:ascii="Arial" w:cs="Arial" w:eastAsia="Arial" w:hAnsi="Arial"/>
          <w:sz w:val="19"/>
          <w:szCs w:val="19"/>
          <w:u w:val="single" w:color="auto"/>
          <w:color w:val="0000FF"/>
          <w:strike w:val="1"/>
        </w:rPr>
        <w:t>and (e) no tenor that has been removed from this definition pursuant to Section 2.13(d)(iii)(D) shall be available for specification in any SOFR Notice or conversion or continuation notice</w:t>
      </w:r>
      <w:r>
        <w:rPr>
          <w:rFonts w:ascii="Arial" w:cs="Arial" w:eastAsia="Arial" w:hAnsi="Arial"/>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-196215</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1" w:lineRule="exact"/>
        <w:rPr>
          <w:sz w:val="20"/>
          <w:szCs w:val="20"/>
          <w:color w:val="auto"/>
        </w:rPr>
      </w:pPr>
    </w:p>
    <w:p>
      <w:pPr>
        <w:jc w:val="both"/>
        <w:ind w:firstLine="1497"/>
        <w:spacing w:after="0" w:line="259" w:lineRule="exact"/>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In-Transit Inventory</w:t>
      </w:r>
      <w:r>
        <w:rPr>
          <w:rFonts w:ascii="Arial" w:cs="Arial" w:eastAsia="Arial" w:hAnsi="Arial"/>
          <w:sz w:val="19"/>
          <w:szCs w:val="19"/>
          <w:color w:val="auto"/>
        </w:rPr>
        <w:t xml:space="preserve">" means Eligible Inventory that is in-transit (via rail car or truck) between any of the locations set forth on </w:t>
      </w:r>
      <w:r>
        <w:rPr>
          <w:rFonts w:ascii="Arial" w:cs="Arial" w:eastAsia="Arial" w:hAnsi="Arial"/>
          <w:sz w:val="19"/>
          <w:szCs w:val="19"/>
          <w:u w:val="single" w:color="auto"/>
          <w:color w:val="auto"/>
        </w:rPr>
        <w:t>Schedule E</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with respect to which Agent has received reports in form and substance satisfactory to Agent.</w:t>
      </w:r>
    </w:p>
    <w:p>
      <w:pPr>
        <w:spacing w:after="0" w:line="18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means all Loan Parties' now owned or hereafter acquired right, title, and interest with respect to inventory, including goods held for sale or lease or to be furnished under a contract of service, goods that are leased by a Loan Party as lessor, goods that are furnished by a Loan Party under a contract of service, and raw materials, work in process, or materials used or consumed in a Loan Parties' business.</w:t>
      </w:r>
    </w:p>
    <w:p>
      <w:pPr>
        <w:spacing w:after="0" w:line="185"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w:t>
      </w:r>
      <w:r>
        <w:rPr>
          <w:rFonts w:ascii="Arial" w:cs="Arial" w:eastAsia="Arial" w:hAnsi="Arial"/>
          <w:sz w:val="21"/>
          <w:szCs w:val="21"/>
          <w:color w:val="auto"/>
        </w:rPr>
        <w:t>" means, with respect to any Person, any investment by such Person in any other Person (including Affiliates) in the form of loans, guarantees, advances, or capital contributions (excluding (a) commission, travel, and similar advances to officers and employees of such Person made in the ordinary course of business, and (b) bona fide Accounts arising from the sale of goods or rendition of services in the ordinary course of business consistent with past practice), purchases or other acquisitions for consideration of Indebtedness or Stock, and any other items that are or would be classified as investments on a balance sheet prepared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8" w:name="page79"/>
    <w:bookmarkEnd w:id="78"/>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Property</w:t>
      </w:r>
      <w:r>
        <w:rPr>
          <w:rFonts w:ascii="Arial" w:cs="Arial" w:eastAsia="Arial" w:hAnsi="Arial"/>
          <w:sz w:val="22"/>
          <w:szCs w:val="22"/>
          <w:color w:val="auto"/>
        </w:rPr>
        <w:t>" means all of the Loan Parties' now owned or hereafter acquired right, title, and interest with respect to "investment property" as that term is defined in the Code, and any and all supporting obligations in respect thereof.</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IRC</w:t>
      </w:r>
      <w:r>
        <w:rPr>
          <w:rFonts w:ascii="Arial" w:cs="Arial" w:eastAsia="Arial" w:hAnsi="Arial"/>
          <w:sz w:val="22"/>
          <w:szCs w:val="22"/>
          <w:color w:val="auto"/>
        </w:rPr>
        <w:t>" means the Internal Revenue Code of 1986, as in effect from time to time.</w:t>
      </w:r>
    </w:p>
    <w:p>
      <w:pPr>
        <w:spacing w:after="0" w:line="206"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ISP</w:t>
      </w:r>
      <w:r>
        <w:rPr>
          <w:rFonts w:ascii="Arial" w:cs="Arial" w:eastAsia="Arial" w:hAnsi="Arial"/>
          <w:sz w:val="21"/>
          <w:szCs w:val="21"/>
          <w:color w:val="auto"/>
        </w:rPr>
        <w:t>" means, with respect to any Letter of Credit, the International Standby Practices 1998 (International Chamber of Commerce Publication No. 590) and any version or revision thereof accepted by the Issuing Bank for use.</w:t>
      </w:r>
    </w:p>
    <w:p>
      <w:pPr>
        <w:spacing w:after="0" w:line="151"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Issuer Document</w:t>
      </w:r>
      <w:r>
        <w:rPr>
          <w:rFonts w:ascii="Arial" w:cs="Arial" w:eastAsia="Arial" w:hAnsi="Arial"/>
          <w:sz w:val="22"/>
          <w:szCs w:val="22"/>
          <w:color w:val="auto"/>
        </w:rPr>
        <w:t>" means, with respect to any Letter of Credit, a letter of credit application, a letter of credit agreement, or any other document, agreement or instrument entered into (or to be entered into) by a Borrower in favor of Issuing Bank and relating to such Letter of Credit.</w:t>
      </w:r>
    </w:p>
    <w:p>
      <w:pPr>
        <w:spacing w:after="0" w:line="186"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xml:space="preserve">" means WFCF, Wells Fargo or any other Lender that, at the request of Borrowers and with the consent of Agent (not to be unreasonably withheld, conditioned or delayed), agrees, in such Lender's sole discretion, to become an Issuing Bank for the purpose of issuing Letters of Credit pursuant to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of this Agreement.</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w:t>
      </w:r>
      <w:r>
        <w:rPr>
          <w:rFonts w:ascii="Arial" w:cs="Arial" w:eastAsia="Arial" w:hAnsi="Arial"/>
          <w:sz w:val="22"/>
          <w:szCs w:val="22"/>
          <w:color w:val="auto"/>
        </w:rPr>
        <w:t>" means a letter of credit (as that term is defined in the Code) issued by Issuing Bank.</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the Issuing Bank pursuant to a Letter of Credit.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Undertaking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w:t>
      </w:r>
      <w:r>
        <w:rPr>
          <w:rFonts w:ascii="Arial" w:cs="Arial" w:eastAsia="Arial" w:hAnsi="Arial"/>
          <w:sz w:val="21"/>
          <w:szCs w:val="21"/>
          <w:color w:val="auto"/>
        </w:rPr>
        <w:t xml:space="preserve">" and " </w:t>
      </w:r>
      <w:r>
        <w:rPr>
          <w:rFonts w:ascii="Arial" w:cs="Arial" w:eastAsia="Arial" w:hAnsi="Arial"/>
          <w:sz w:val="21"/>
          <w:szCs w:val="21"/>
          <w:u w:val="single" w:color="auto"/>
          <w:color w:val="auto"/>
        </w:rPr>
        <w:t>Lenders</w:t>
      </w:r>
      <w:r>
        <w:rPr>
          <w:rFonts w:ascii="Arial" w:cs="Arial" w:eastAsia="Arial" w:hAnsi="Arial"/>
          <w:sz w:val="21"/>
          <w:szCs w:val="21"/>
          <w:color w:val="auto"/>
        </w:rPr>
        <w:t xml:space="preserve">" have the respective meanings set forth in the preamble to this Agreement, and shall include any other Person made a party to this Agreement in accordance with the provisions of </w:t>
      </w:r>
      <w:r>
        <w:rPr>
          <w:rFonts w:ascii="Arial" w:cs="Arial" w:eastAsia="Arial" w:hAnsi="Arial"/>
          <w:sz w:val="21"/>
          <w:szCs w:val="21"/>
          <w:u w:val="single" w:color="auto"/>
          <w:color w:val="auto"/>
        </w:rPr>
        <w:t>Section 14.1</w:t>
      </w:r>
      <w:r>
        <w:rPr>
          <w:rFonts w:ascii="Arial" w:cs="Arial" w:eastAsia="Arial" w:hAnsi="Arial"/>
          <w:sz w:val="21"/>
          <w:szCs w:val="21"/>
          <w:color w:val="auto"/>
        </w:rPr>
        <w:t>.</w:t>
      </w:r>
    </w:p>
    <w:p>
      <w:pPr>
        <w:spacing w:after="0" w:line="15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Group</w:t>
      </w:r>
      <w:r>
        <w:rPr>
          <w:rFonts w:ascii="Arial" w:cs="Arial" w:eastAsia="Arial" w:hAnsi="Arial"/>
          <w:sz w:val="22"/>
          <w:szCs w:val="22"/>
          <w:color w:val="auto"/>
        </w:rPr>
        <w:t>" means, individually and collectively, each of the Lenders (including the Issuing Bank), the Bank Product Provider and Agent.</w:t>
      </w:r>
    </w:p>
    <w:p>
      <w:pPr>
        <w:spacing w:after="0" w:line="175"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Group Expenses</w:t>
      </w:r>
      <w:r>
        <w:rPr>
          <w:rFonts w:ascii="Arial" w:cs="Arial" w:eastAsia="Arial" w:hAnsi="Arial"/>
          <w:sz w:val="19"/>
          <w:szCs w:val="19"/>
          <w:color w:val="auto"/>
        </w:rPr>
        <w:t>" means all (a) out-of-pocket costs or expenses (including taxes, and insurance premiums) required to be paid by a Loan Party under any of the Loan Documents that are paid or incurred by any one or more members of the Lender Group, (b) fees or charges paid or incurred by any one or more members of Lender Group in connection with any one or more members of the Lender Group's transactions with Loan Party under the Loan Documents, including, fees or charges for photocopying, notarization, couriers and messengers, telecommunication, public record searches (including tax lien, judgment, and UCC searches and including searches with the patent and trademark office, the copyright office), filing, recording, (including, without limitation, mortgage recordation taxes and other similar fees or taxes in connection with the recordation or filing or any mortgage from time to time together with any penalties, interest or costs arising therefrom or related thereto) publication, appraisal (including periodic Collateral appraisals or business valuations to the extent of the fees and charges (and up to the amount of any limitation) contained in this Agreement), and environmental audits, (c) costs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9" w:name="page80"/>
    <w:bookmarkEnd w:id="79"/>
    <w:p>
      <w:pPr>
        <w:jc w:val="both"/>
        <w:spacing w:after="0" w:line="270" w:lineRule="auto"/>
        <w:rPr>
          <w:sz w:val="20"/>
          <w:szCs w:val="20"/>
          <w:color w:val="auto"/>
        </w:rPr>
      </w:pPr>
      <w:r>
        <w:rPr>
          <w:rFonts w:ascii="Arial" w:cs="Arial" w:eastAsia="Arial" w:hAnsi="Arial"/>
          <w:sz w:val="19"/>
          <w:szCs w:val="19"/>
          <w:color w:val="auto"/>
        </w:rPr>
        <w:t>and expenses incurred by any one or more members of Lender Group in the disbursement of funds to or for the account of Loan Parties' (by wire transfer or otherwise), (d) charges paid or incurred by any one or more members of Lender Group resulting from the dishonor of checks, (e) reasonable costs and expenses paid or incurred by any one or more members of the Lender Group to correct any default or enforce any provision of the Loan Documents, or in gaining possession of, maintaining, handling, preserving, storing, shipping, selling, preparing for sale, or advertising to sell the Collateral, or any portion thereof, irrespective of whether a sale is consummated, (f) audit fees and expenses of any one or more members of Lender Group related to audit examinations of the Books to the extent of the fees and charges (and up to the amount of any limitation) contained in this Agreement, (g) reasonable costs and expenses of third party claims or any other suit paid or incurred by any one or more members of the Lender Group in enforcing or defending the Loan Documents or in connection with the transactions contemplated by the Loan Documents, (h) Agent's reasonable and documented costs and expenses (including reasonable and documented attorneys' fees and due diligence expenses) incurred in drafting, reviewing, administering, or amending, waiving, or modifying the Loan Documents, (i) any one or more members of Lender Group's reasonable fees and expenses (including attorneys' fees) incurred in terminating, enforcing (including attorneys' fees and expenses incurred in connection with a "workout," a "restructuring," or an Insolvency Proceeding concerning any Loan Party or in exercising rights or remedies under the Loan Documents), or defending the Loan Documents, irrespective of whether suit is brought, or in taking any Remedial Action concerning the Collateral, and (j) Agent's reasonable and documented customary fees and charges imposed or incurred in connection with any background checks or OFAC/PEP searches related to any Loan Party or its Subsidiaries.</w:t>
      </w:r>
    </w:p>
    <w:p>
      <w:pPr>
        <w:spacing w:after="0" w:line="200" w:lineRule="exact"/>
        <w:rPr>
          <w:sz w:val="20"/>
          <w:szCs w:val="20"/>
          <w:color w:val="auto"/>
        </w:rPr>
      </w:pPr>
    </w:p>
    <w:p>
      <w:pPr>
        <w:spacing w:after="0" w:line="21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Lender-Related Person</w:t>
      </w:r>
      <w:r>
        <w:rPr>
          <w:rFonts w:ascii="Arial" w:cs="Arial" w:eastAsia="Arial" w:hAnsi="Arial"/>
          <w:sz w:val="22"/>
          <w:szCs w:val="22"/>
          <w:color w:val="auto"/>
        </w:rPr>
        <w:t>" means, with respect to any Lender, such Lender, together with such Lender's Affiliates, and the officers, directors, employees, and agents of such Lender.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 L/C or an L/C Undertaking, as the context requires.</w:t>
      </w:r>
    </w:p>
    <w:p>
      <w:pPr>
        <w:spacing w:after="0" w:line="20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Collateralization</w:t>
      </w:r>
      <w:r>
        <w:rPr>
          <w:rFonts w:ascii="Arial" w:cs="Arial" w:eastAsia="Arial" w:hAnsi="Arial"/>
          <w:sz w:val="19"/>
          <w:szCs w:val="19"/>
          <w:color w:val="auto"/>
        </w:rPr>
        <w:t xml:space="preserve">" means either (a) providing cash collateral (pursuant to documentation reasonably satisfactory to Agent (including that Agent has a first priority perfected Lien in such cash collateral), including provisions that specify that the Letter of Credit Fees and all commissions, fees, charges and expenses provided for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2.12(k)</w:t>
      </w:r>
      <w:r>
        <w:rPr>
          <w:rFonts w:ascii="Arial" w:cs="Arial" w:eastAsia="Arial" w:hAnsi="Arial"/>
          <w:sz w:val="19"/>
          <w:szCs w:val="19"/>
          <w:color w:val="auto"/>
        </w:rPr>
        <w:t xml:space="preserve"> of this Agreement (including any fronting fees) will continue to accrue while the Letters of Credit are outstanding) to be held by Agent for the benefit of the Revolving Lenders in an amount equal to 103% of the then existing Letter of Credit Usage,</w:t>
      </w:r>
    </w:p>
    <w:p>
      <w:pPr>
        <w:spacing w:after="0" w:line="4" w:lineRule="exact"/>
        <w:rPr>
          <w:sz w:val="20"/>
          <w:szCs w:val="20"/>
          <w:color w:val="auto"/>
        </w:rPr>
      </w:pPr>
    </w:p>
    <w:p>
      <w:pPr>
        <w:jc w:val="both"/>
        <w:ind w:firstLine="8"/>
        <w:spacing w:after="0" w:line="275" w:lineRule="auto"/>
        <w:tabs>
          <w:tab w:leader="none" w:pos="309" w:val="left"/>
        </w:tabs>
        <w:numPr>
          <w:ilvl w:val="0"/>
          <w:numId w:val="37"/>
        </w:numPr>
        <w:rPr>
          <w:rFonts w:ascii="Arial" w:cs="Arial" w:eastAsia="Arial" w:hAnsi="Arial"/>
          <w:sz w:val="19"/>
          <w:szCs w:val="19"/>
          <w:color w:val="auto"/>
        </w:rPr>
      </w:pPr>
      <w:r>
        <w:rPr>
          <w:rFonts w:ascii="Arial" w:cs="Arial" w:eastAsia="Arial" w:hAnsi="Arial"/>
          <w:sz w:val="19"/>
          <w:szCs w:val="19"/>
          <w:color w:val="auto"/>
        </w:rPr>
        <w:t>delivering to Agent documentation executed by all beneficiaries under the Letters of Credit, in form and substance reasonably satisfactory to Agent and Issuing Bank, terminating all of such beneficiaries' rights under the Letters of Credit, or (c) providing Agent with a standby letter of credit, in form and substance reasonably satisfactory to Agent, from a commercial bank acceptable to Agent (in its sole discretion) in an amount equal to 103% of the then existing Letter of Credit Usage (it being understood that the Letter of Credit Fee and all fronting fees set forth in this Agreement will continue to accrue while the Letters of Credit are outstanding and that any such fees that accrue must be an amount that can be drawn under any such standby letter of credit).</w:t>
      </w:r>
    </w:p>
    <w:p>
      <w:pPr>
        <w:spacing w:after="0" w:line="154"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Exposure</w:t>
      </w:r>
      <w:r>
        <w:rPr>
          <w:rFonts w:ascii="Arial" w:cs="Arial" w:eastAsia="Arial" w:hAnsi="Arial"/>
          <w:sz w:val="22"/>
          <w:szCs w:val="22"/>
          <w:color w:val="auto"/>
        </w:rPr>
        <w:t xml:space="preserve">" means, as of any date of determination with respect to any Lender, such Lender's participation in the Letter of Credit Usage pursuant to </w:t>
      </w:r>
      <w:r>
        <w:rPr>
          <w:rFonts w:ascii="Arial" w:cs="Arial" w:eastAsia="Arial" w:hAnsi="Arial"/>
          <w:sz w:val="22"/>
          <w:szCs w:val="22"/>
          <w:u w:val="single" w:color="auto"/>
          <w:color w:val="auto"/>
        </w:rPr>
        <w:t>Section 2.12(e)</w:t>
      </w:r>
      <w:r>
        <w:rPr>
          <w:rFonts w:ascii="Arial" w:cs="Arial" w:eastAsia="Arial" w:hAnsi="Arial"/>
          <w:sz w:val="22"/>
          <w:szCs w:val="22"/>
          <w:color w:val="auto"/>
        </w:rPr>
        <w:t xml:space="preserve"> on such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0" w:name="page81"/>
    <w:bookmarkEnd w:id="80"/>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xml:space="preserve">" means the fee described in </w:t>
      </w:r>
      <w:r>
        <w:rPr>
          <w:rFonts w:ascii="Arial" w:cs="Arial" w:eastAsia="Arial" w:hAnsi="Arial"/>
          <w:sz w:val="22"/>
          <w:szCs w:val="22"/>
          <w:u w:val="single" w:color="auto"/>
          <w:color w:val="auto"/>
        </w:rPr>
        <w:t>Section 2.6(b)</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Indemnified Costs</w:t>
      </w:r>
      <w:r>
        <w:rPr>
          <w:rFonts w:ascii="Arial" w:cs="Arial" w:eastAsia="Arial" w:hAnsi="Arial"/>
          <w:sz w:val="19"/>
          <w:szCs w:val="19"/>
          <w:color w:val="auto"/>
        </w:rPr>
        <w:t xml:space="preserve">" has the meaning specified therefor in </w:t>
      </w:r>
      <w:r>
        <w:rPr>
          <w:rFonts w:ascii="Arial" w:cs="Arial" w:eastAsia="Arial" w:hAnsi="Arial"/>
          <w:sz w:val="19"/>
          <w:szCs w:val="19"/>
          <w:u w:val="single" w:color="auto"/>
          <w:color w:val="auto"/>
        </w:rPr>
        <w:t>Section 2.12(f)</w:t>
      </w:r>
      <w:r>
        <w:rPr>
          <w:rFonts w:ascii="Arial" w:cs="Arial" w:eastAsia="Arial" w:hAnsi="Arial"/>
          <w:sz w:val="19"/>
          <w:szCs w:val="19"/>
          <w:color w:val="auto"/>
        </w:rPr>
        <w:t xml:space="preserve"> of this Agreement.</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Related Person</w:t>
      </w:r>
      <w:r>
        <w:rPr>
          <w:rFonts w:ascii="Arial" w:cs="Arial" w:eastAsia="Arial" w:hAnsi="Arial"/>
          <w:sz w:val="21"/>
          <w:szCs w:val="21"/>
          <w:color w:val="auto"/>
        </w:rPr>
        <w:t xml:space="preserve">" has the meaning specified therefor in </w:t>
      </w:r>
      <w:r>
        <w:rPr>
          <w:rFonts w:ascii="Arial" w:cs="Arial" w:eastAsia="Arial" w:hAnsi="Arial"/>
          <w:sz w:val="21"/>
          <w:szCs w:val="21"/>
          <w:u w:val="single" w:color="auto"/>
          <w:color w:val="auto"/>
        </w:rPr>
        <w:t>Section 2.12(f)</w:t>
      </w:r>
      <w:r>
        <w:rPr>
          <w:rFonts w:ascii="Arial" w:cs="Arial" w:eastAsia="Arial" w:hAnsi="Arial"/>
          <w:sz w:val="21"/>
          <w:szCs w:val="21"/>
          <w:color w:val="auto"/>
        </w:rPr>
        <w:t xml:space="preserve"> of this Agreement.</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Sublimit</w:t>
      </w:r>
      <w:r>
        <w:rPr>
          <w:rFonts w:ascii="Arial" w:cs="Arial" w:eastAsia="Arial" w:hAnsi="Arial"/>
          <w:sz w:val="22"/>
          <w:szCs w:val="22"/>
          <w:color w:val="auto"/>
        </w:rPr>
        <w:t>" means $10,000,000.</w:t>
      </w:r>
    </w:p>
    <w:p>
      <w:pPr>
        <w:spacing w:after="0" w:line="206"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Letter of Credit Usage</w:t>
      </w:r>
      <w:r>
        <w:rPr>
          <w:rFonts w:ascii="Arial" w:cs="Arial" w:eastAsia="Arial" w:hAnsi="Arial"/>
          <w:sz w:val="21"/>
          <w:szCs w:val="21"/>
          <w:color w:val="auto"/>
        </w:rPr>
        <w:t xml:space="preserve">" means, as of any date of determination, the sum of (a) the aggregate undrawn amount of all outstanding Letters of Credit, </w:t>
      </w:r>
      <w:r>
        <w:rPr>
          <w:rFonts w:ascii="Arial" w:cs="Arial" w:eastAsia="Arial" w:hAnsi="Arial"/>
          <w:sz w:val="21"/>
          <w:szCs w:val="21"/>
          <w:i w:val="1"/>
          <w:iCs w:val="1"/>
          <w:u w:val="single" w:color="auto"/>
          <w:color w:val="auto"/>
        </w:rPr>
        <w:t>plus</w:t>
      </w:r>
      <w:r>
        <w:rPr>
          <w:rFonts w:ascii="Arial" w:cs="Arial" w:eastAsia="Arial" w:hAnsi="Arial"/>
          <w:sz w:val="21"/>
          <w:szCs w:val="21"/>
          <w:color w:val="auto"/>
        </w:rPr>
        <w:t xml:space="preserve"> (b) the aggregate amount of outstanding reimbursement obligations with respect to Letters of Credit which remain unreimbursed or which have not been paid through a Advance.</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LIBOR Deadline</w:t>
      </w:r>
      <w:r>
        <w:rPr>
          <w:rFonts w:ascii="Arial" w:cs="Arial" w:eastAsia="Arial" w:hAnsi="Arial"/>
          <w:sz w:val="22"/>
          <w:szCs w:val="22"/>
          <w:color w:val="FF0000"/>
          <w:strike w:val="1"/>
        </w:rPr>
        <w:t xml:space="preserve">" has the meaning set forth in </w:t>
      </w:r>
      <w:r>
        <w:rPr>
          <w:rFonts w:ascii="Arial" w:cs="Arial" w:eastAsia="Arial" w:hAnsi="Arial"/>
          <w:sz w:val="22"/>
          <w:szCs w:val="22"/>
          <w:u w:val="single" w:color="auto"/>
          <w:color w:val="FF0000"/>
          <w:strike w:val="1"/>
        </w:rPr>
        <w:t>Section 2.13(b)(i)</w:t>
      </w:r>
      <w:r>
        <w:rPr>
          <w:rFonts w:ascii="Arial" w:cs="Arial" w:eastAsia="Arial" w:hAnsi="Arial"/>
          <w:sz w:val="22"/>
          <w:szCs w:val="22"/>
          <w:color w:val="FF0000"/>
          <w:strike w:val="1"/>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LIBOR Notice</w:t>
      </w:r>
      <w:r>
        <w:rPr>
          <w:rFonts w:ascii="Arial" w:cs="Arial" w:eastAsia="Arial" w:hAnsi="Arial"/>
          <w:sz w:val="22"/>
          <w:szCs w:val="22"/>
          <w:color w:val="FF0000"/>
          <w:strike w:val="1"/>
        </w:rPr>
        <w:t xml:space="preserve">" means a written notice in the form of </w:t>
      </w:r>
      <w:r>
        <w:rPr>
          <w:rFonts w:ascii="Arial" w:cs="Arial" w:eastAsia="Arial" w:hAnsi="Arial"/>
          <w:sz w:val="22"/>
          <w:szCs w:val="22"/>
          <w:u w:val="single" w:color="auto"/>
          <w:color w:val="FF0000"/>
          <w:strike w:val="1"/>
        </w:rPr>
        <w:t>Exhibit L-1</w:t>
      </w:r>
      <w:r>
        <w:rPr>
          <w:rFonts w:ascii="Arial" w:cs="Arial" w:eastAsia="Arial" w:hAnsi="Arial"/>
          <w:sz w:val="22"/>
          <w:szCs w:val="22"/>
          <w:color w:val="FF0000"/>
          <w:strike w:val="1"/>
        </w:rPr>
        <w:t>.</w:t>
      </w:r>
    </w:p>
    <w:p>
      <w:pPr>
        <w:spacing w:after="0" w:line="206"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LIBOR Rate</w:t>
      </w:r>
      <w:r>
        <w:rPr>
          <w:rFonts w:ascii="Arial" w:cs="Arial" w:eastAsia="Arial" w:hAnsi="Arial"/>
          <w:sz w:val="19"/>
          <w:szCs w:val="19"/>
          <w:color w:val="FF0000"/>
          <w:strike w:val="1"/>
        </w:rPr>
        <w:t xml:space="preserve">" means the rate </w:t>
      </w:r>
      <w:r>
        <w:rPr>
          <w:rFonts w:ascii="Arial" w:cs="Arial" w:eastAsia="Arial" w:hAnsi="Arial"/>
          <w:sz w:val="19"/>
          <w:szCs w:val="19"/>
          <w:i w:val="1"/>
          <w:iCs w:val="1"/>
          <w:color w:val="FF0000"/>
          <w:strike w:val="1"/>
        </w:rPr>
        <w:t>per annum</w:t>
      </w:r>
      <w:r>
        <w:rPr>
          <w:rFonts w:ascii="Arial" w:cs="Arial" w:eastAsia="Arial" w:hAnsi="Arial"/>
          <w:sz w:val="19"/>
          <w:szCs w:val="19"/>
          <w:color w:val="FF0000"/>
          <w:strike w:val="1"/>
        </w:rPr>
        <w:t xml:space="preserve"> as published by ICE Benchmark Administration Limited (or any successor page or other commercially available source as the Agent may designate from time to time) as of 11:00 a.m., London time, two Business Days prior to the commencement of the requested Interest Period, for a term, and in an amount, comparable to the Interest Period and the amount of the LIBOR Rate Loan requested (whether as an initial LIBOR Rate Loan or as a continuation of a LIBOR Rate Loan or as a conversion of a Base Rate Loan to a LIBOR Rate Loan) by Borrowers in accordance with this Agreement (and, if any such published rate is below zero, then the LIBOR Rate shall be deemed to be zero). Each determination of the LIBOR Rate shall be made by the Agent and shall be conclusive in the absence of manifest error.</w:t>
      </w:r>
    </w:p>
    <w:p>
      <w:pPr>
        <w:spacing w:after="0" w:line="152" w:lineRule="exact"/>
        <w:rPr>
          <w:sz w:val="20"/>
          <w:szCs w:val="20"/>
          <w:color w:val="auto"/>
        </w:rPr>
      </w:pPr>
    </w:p>
    <w:p>
      <w:pPr>
        <w:ind w:left="150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LIBOR Rate Loan</w:t>
      </w:r>
      <w:r>
        <w:rPr>
          <w:rFonts w:ascii="Arial" w:cs="Arial" w:eastAsia="Arial" w:hAnsi="Arial"/>
          <w:sz w:val="19"/>
          <w:szCs w:val="19"/>
          <w:color w:val="FF0000"/>
          <w:strike w:val="1"/>
        </w:rPr>
        <w:t>" means each portion of an Advance that bears interest at a rate determined by reference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the LIBOR Rate.</w:t>
      </w:r>
    </w:p>
    <w:p>
      <w:pPr>
        <w:spacing w:after="0" w:line="188"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LIBOR Rate Margin</w:t>
      </w:r>
      <w:r>
        <w:rPr>
          <w:rFonts w:ascii="Arial" w:cs="Arial" w:eastAsia="Arial" w:hAnsi="Arial"/>
          <w:sz w:val="21"/>
          <w:szCs w:val="21"/>
          <w:color w:val="FF0000"/>
          <w:strike w:val="1"/>
        </w:rPr>
        <w:t>" means, as of any date of determination, (i) if Availability is greater than $22,500,000, 1.50 percentage points, and (ii) if Availability is less than or equal to $22,500,000, 1.75 percentage points.</w:t>
      </w:r>
    </w:p>
    <w:p>
      <w:pPr>
        <w:spacing w:after="0" w:line="151"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any interest in an asset securing an obligation owed to, or a claim by, any Person other than the owner of the asset, whether such interest shall be based on the common law, statute, or contract, whether such interest shall be recorded or perfected, and whether such interest shall be contingent upon the occurrence of some future event or events or the existence of some future circumstance or circumstances, including the lien or security interest arising from a mortgage, deed of trust, encumbrance, pledge, hypothecation, assignment, deposit arrangement, security agreement, conditional sale or trust receipt, or from a lease, consignment, or bailment for security purposes and also including reservations, exceptions, encroachments, easements, rights-of-way, covenants, conditions, restrictions, leases, and other title exceptions and encumbrances affecting Real Property.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means any Revolving Loan, Swing Loan, Agent Advance, or Overadvance made (or to be made)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hereunder.</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Account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this Agreement, the Cash Management Agreements, the Contribution Agreement, the Disbursement Letter, the Fee Letter, the Guaranties, the Letters of Credit, the Officers' Certificate, the Patent Security Agreement, the Trademark Security Agreement, any note or notes executed by a Borrower in connection with this Agreement and payable to a member of the Lender Group, and any other agreement entered into, now or in the future, by any Loan Party and the Lender Group in connection with this Agreement.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Party</w:t>
      </w:r>
      <w:r>
        <w:rPr>
          <w:rFonts w:ascii="Arial" w:cs="Arial" w:eastAsia="Arial" w:hAnsi="Arial"/>
          <w:sz w:val="22"/>
          <w:szCs w:val="22"/>
          <w:color w:val="auto"/>
        </w:rPr>
        <w:t>" means any Borrower and any Guarantor.</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LSB Notes</w:t>
      </w:r>
      <w:r>
        <w:rPr>
          <w:rFonts w:ascii="Arial" w:cs="Arial" w:eastAsia="Arial" w:hAnsi="Arial"/>
          <w:sz w:val="22"/>
          <w:szCs w:val="22"/>
          <w:color w:val="auto"/>
        </w:rPr>
        <w:t>" means the general senior secured notes of Parent maturing not earlier than 2026 in the aggregate principal amount not to exceed $800,000,000.</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as defined in Regulation U of the Board of Governors as in effect from time to time.</w:t>
      </w:r>
    </w:p>
    <w:p>
      <w:pPr>
        <w:spacing w:after="0" w:line="206"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Material Adverse Change</w:t>
      </w:r>
      <w:r>
        <w:rPr>
          <w:rFonts w:ascii="Arial" w:cs="Arial" w:eastAsia="Arial" w:hAnsi="Arial"/>
          <w:sz w:val="21"/>
          <w:szCs w:val="21"/>
          <w:color w:val="auto"/>
        </w:rPr>
        <w:t>" means (a) a material adverse change in the business, operations, results of operations, assets, liabilities or financial condition of Loan Parties taken as a whole, (b) a material impairment of the ability of Loan Parties, taken as a whole, to perform their obligations under the Loan Documents or of the Lender Group's ability to enforce the Obligations or realize upon the Collateral, or (c) a material impairment of the enforceability or priority of the Agent's Liens with respect to the Collateral as a result of an action or failure to act on the part of a Loan Party.</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3.4</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Revolver Amount</w:t>
      </w:r>
      <w:r>
        <w:rPr>
          <w:rFonts w:ascii="Arial" w:cs="Arial" w:eastAsia="Arial" w:hAnsi="Arial"/>
          <w:sz w:val="22"/>
          <w:szCs w:val="22"/>
          <w:color w:val="auto"/>
        </w:rPr>
        <w:t>" means $65,000,000.</w:t>
      </w:r>
    </w:p>
    <w:p>
      <w:pPr>
        <w:spacing w:after="0" w:line="206"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Negotiable Collateral</w:t>
      </w:r>
      <w:r>
        <w:rPr>
          <w:rFonts w:ascii="Arial" w:cs="Arial" w:eastAsia="Arial" w:hAnsi="Arial"/>
          <w:sz w:val="19"/>
          <w:szCs w:val="19"/>
          <w:color w:val="auto"/>
        </w:rPr>
        <w:t>" means all of Loan Parties' now owned and hereafter acquired right, title, and interest with respect to letters of credit, letter of credit rights, instruments, promissory notes, drafts, documents, and chattel paper (including electronic chattel paper and tangible chattel paper), and any and all supporting obligations in respect thereof.</w:t>
      </w:r>
    </w:p>
    <w:p>
      <w:pPr>
        <w:spacing w:after="0" w:line="13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Orderly Liquidation Value</w:t>
      </w:r>
      <w:r>
        <w:rPr>
          <w:rFonts w:ascii="Arial" w:cs="Arial" w:eastAsia="Arial" w:hAnsi="Arial"/>
          <w:sz w:val="22"/>
          <w:szCs w:val="22"/>
          <w:color w:val="auto"/>
        </w:rPr>
        <w:t>" means, with respect to an item of Eligible Inventory and Eligible Raw Inventory, as of any date of determination, the orderly liquidation value thereof as determined by Agent in its Permitted Discretion, which determination may be made by Agent in reliance on periodic appraisals.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 Priority Collateral</w:t>
      </w:r>
      <w:r>
        <w:rPr>
          <w:rFonts w:ascii="Arial" w:cs="Arial" w:eastAsia="Arial" w:hAnsi="Arial"/>
          <w:sz w:val="22"/>
          <w:szCs w:val="22"/>
          <w:color w:val="auto"/>
        </w:rPr>
        <w:t>" has the meaning set forth in the Intercreditor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each Lender other than a Defaulting Lender.</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Non-Recourse Debt</w:t>
      </w:r>
      <w:r>
        <w:rPr>
          <w:rFonts w:ascii="Arial" w:cs="Arial" w:eastAsia="Arial" w:hAnsi="Arial"/>
          <w:sz w:val="22"/>
          <w:szCs w:val="22"/>
          <w:color w:val="auto"/>
        </w:rPr>
        <w:t>" means Indebtedness: (a) as to which neither the Parent nor any of its Subsidiaries (x) provides credit support of any kind (including any undertaking,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2" w:name="page83"/>
    <w:bookmarkEnd w:id="82"/>
    <w:p>
      <w:pPr>
        <w:spacing w:after="0"/>
        <w:rPr>
          <w:sz w:val="20"/>
          <w:szCs w:val="20"/>
          <w:color w:val="auto"/>
        </w:rPr>
      </w:pPr>
      <w:r>
        <w:rPr>
          <w:rFonts w:ascii="Arial" w:cs="Arial" w:eastAsia="Arial" w:hAnsi="Arial"/>
          <w:sz w:val="19"/>
          <w:szCs w:val="19"/>
          <w:color w:val="auto"/>
        </w:rPr>
        <w:t>agreement or instrument that would constitute Indebtedness) or (y) is directly or indirectly liable as a guarantor or otherwise; and</w:t>
      </w:r>
    </w:p>
    <w:p>
      <w:pPr>
        <w:spacing w:after="0" w:line="43" w:lineRule="exact"/>
        <w:rPr>
          <w:sz w:val="20"/>
          <w:szCs w:val="20"/>
          <w:color w:val="auto"/>
        </w:rPr>
      </w:pPr>
    </w:p>
    <w:p>
      <w:pPr>
        <w:ind w:firstLine="8"/>
        <w:spacing w:after="0" w:line="308" w:lineRule="auto"/>
        <w:tabs>
          <w:tab w:leader="none" w:pos="329" w:val="left"/>
        </w:tabs>
        <w:numPr>
          <w:ilvl w:val="0"/>
          <w:numId w:val="38"/>
        </w:numPr>
        <w:rPr>
          <w:rFonts w:ascii="Arial" w:cs="Arial" w:eastAsia="Arial" w:hAnsi="Arial"/>
          <w:sz w:val="19"/>
          <w:szCs w:val="19"/>
          <w:color w:val="auto"/>
        </w:rPr>
      </w:pPr>
      <w:r>
        <w:rPr>
          <w:rFonts w:ascii="Arial" w:cs="Arial" w:eastAsia="Arial" w:hAnsi="Arial"/>
          <w:sz w:val="19"/>
          <w:szCs w:val="19"/>
          <w:color w:val="auto"/>
        </w:rPr>
        <w:t>as to which the lenders or investors of such Indebtedness will have no recourse to the equity interests or the assets of the Parent or any of its Restricted Subsidiaries (other than the equity interests or assets of an Unrestricted Subsidiary).</w:t>
      </w:r>
    </w:p>
    <w:p>
      <w:pPr>
        <w:spacing w:after="0" w:line="123"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 all loans, Advances, debts, principal, interest (including any interest that, but for the provisions of the Bankruptcy Code, would have accrued), contingent reimbursement obligations with respect to outstanding Letters of Credit, premiums, liabilities (including all amounts charged to Borrowers' Loan Account pursuant hereto), obligations, fees (including the fees provided for in the Fee Letter), charges, costs, Lender Group Expenses (including any fees or expenses that, but for the provisions of the Bankruptcy Code, would have accrued), guaranties, covenants, and duties of any kind and description owing by the Loan Parties to the Lender Group pursuant to or evidenced by the Loan Documents and irrespective of whether for the payment of money, whether direct or indirect, absolute or contingent, due or to become due, now existing or hereafter arising, and including all interest not paid when due and all Lender Group Expenses that Loan Parties are required to pay or reimburse by the Loan Documents, by law, or otherwise, and (b) all Bank Product Obligations. Any reference in this Agreement or in the Loan Documents to the Obligations shall include all amendments, changes, extensions, modifications, renewals, replacements, substitutions, and supplements, thereto and thereof, as applicable, both prior and subsequent to any Insolvency Proceeding. Notwithstanding anything to the contrary contained in the foregoing definition, the Obligations shall exclude any Excluded Swap Obligation.</w:t>
      </w:r>
    </w:p>
    <w:p>
      <w:pPr>
        <w:spacing w:after="0" w:line="200" w:lineRule="exact"/>
        <w:rPr>
          <w:sz w:val="20"/>
          <w:szCs w:val="20"/>
          <w:color w:val="auto"/>
        </w:rPr>
      </w:pPr>
    </w:p>
    <w:p>
      <w:pPr>
        <w:spacing w:after="0" w:line="20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Office of Foreign Assets Control of the U.S. Department of the Treasury.</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means the representations and warranties of officers form submitted by Agent to Administrative Borrower, together with Loan Parties' completed responses to the inquiries set forth therein, the form and substance of such responses to be satisfactory to Agent.</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Lease Obligations</w:t>
      </w:r>
      <w:r>
        <w:rPr>
          <w:rFonts w:ascii="Arial" w:cs="Arial" w:eastAsia="Arial" w:hAnsi="Arial"/>
          <w:sz w:val="22"/>
          <w:szCs w:val="22"/>
          <w:color w:val="auto"/>
        </w:rPr>
        <w:t>" means all obligations for the payment of rent for any real or personal property under leases or agreements to lease, other than Capitalized Lease Obligations.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Closing Date</w:t>
      </w:r>
      <w:r>
        <w:rPr>
          <w:rFonts w:ascii="Arial" w:cs="Arial" w:eastAsia="Arial" w:hAnsi="Arial"/>
          <w:sz w:val="22"/>
          <w:szCs w:val="22"/>
          <w:color w:val="auto"/>
        </w:rPr>
        <w:t>" means April 13, 2001, the date on which the Original Loan Agreement became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effective.</w:t>
      </w:r>
    </w:p>
    <w:p>
      <w:pPr>
        <w:spacing w:after="0" w:line="18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Loan Agreement</w:t>
      </w:r>
      <w:r>
        <w:rPr>
          <w:rFonts w:ascii="Arial" w:cs="Arial" w:eastAsia="Arial" w:hAnsi="Arial"/>
          <w:sz w:val="22"/>
          <w:szCs w:val="22"/>
          <w:color w:val="auto"/>
        </w:rPr>
        <w:t>" means the Loan and Security Agreement, dated as of April 13, 2001, by and among the Loan Parties that were party thereto, the Agent and the Lenders that were party thereto, as amended, restated or otherwise modified prior to the date of this Agreement.</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Revolver Facility</w:t>
      </w:r>
      <w:r>
        <w:rPr>
          <w:rFonts w:ascii="Arial" w:cs="Arial" w:eastAsia="Arial" w:hAnsi="Arial"/>
          <w:sz w:val="22"/>
          <w:szCs w:val="22"/>
          <w:color w:val="auto"/>
        </w:rPr>
        <w:t>" has the meaning set forth in the recitals to this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Revolver Indebtedness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2.1(h)</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3" w:name="page84"/>
    <w:bookmarkEnd w:id="83"/>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Originating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14.1(e)</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Lender or Agent, Taxes imposed as a result of a present or former connection between such Lender or Agent and the jurisdiction imposing such Tax (other than connections arising from such Lender or Agent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Overadvance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has the meaning set forth in the preamble to this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14.1(e)</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Security Agreement</w:t>
      </w:r>
      <w:r>
        <w:rPr>
          <w:rFonts w:ascii="Arial" w:cs="Arial" w:eastAsia="Arial" w:hAnsi="Arial"/>
          <w:sz w:val="22"/>
          <w:szCs w:val="22"/>
          <w:color w:val="auto"/>
        </w:rPr>
        <w:t>" means a patent security agreement executed and delivered by certain Loan Parties and Agent, the form and substance of which is satisfactory to Agent.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"Payment Recipient" has the meaning set forth in Section 17.15.</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Discretion</w:t>
      </w:r>
      <w:r>
        <w:rPr>
          <w:rFonts w:ascii="Arial" w:cs="Arial" w:eastAsia="Arial" w:hAnsi="Arial"/>
          <w:sz w:val="22"/>
          <w:szCs w:val="22"/>
          <w:color w:val="auto"/>
        </w:rPr>
        <w:t>" means a determination made in good faith and in the exercise of reasonable (from the perspective of a secured asset-based lender) business judgment.</w:t>
      </w:r>
    </w:p>
    <w:p>
      <w:pPr>
        <w:spacing w:after="0" w:line="175" w:lineRule="exact"/>
        <w:rPr>
          <w:sz w:val="20"/>
          <w:szCs w:val="20"/>
          <w:color w:val="auto"/>
        </w:rPr>
      </w:pPr>
    </w:p>
    <w:p>
      <w:pPr>
        <w:jc w:val="both"/>
        <w:ind w:firstLine="1497"/>
        <w:spacing w:after="0" w:line="24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Dispositions</w:t>
      </w:r>
      <w:r>
        <w:rPr>
          <w:rFonts w:ascii="Arial" w:cs="Arial" w:eastAsia="Arial" w:hAnsi="Arial"/>
          <w:sz w:val="19"/>
          <w:szCs w:val="19"/>
          <w:color w:val="auto"/>
        </w:rPr>
        <w:t xml:space="preserve">" means (a) sales or other dispositions by the Loan Parties of Equipment that is substantially worn, damaged, or obsolete in the ordinary course of the applicable Loan Parties' business, (b) sales by the Loan Parties of Inventory to buyers in the ordinary course of business, (c) the use or transfer of money or Cash Equivalents by the Loan Parties in a manner that is not prohibited by the terms of this Agreement or the other Loan Documents, (d) the licensing by the Loan Parties, on a non-exclusive basis, of patents, trademarks, copyrights, and other intellectual property rights in the ordinary course of the applicable Loan Parties business, (e) sales, transfers leases or other dispositions of assets by any Loan Party or any of its Subsidiaries to any other Loan Parties, (f) sales or other dispositions by the Loan Parties of Accounts which are not Eligible Accounts,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consideration payable in connection with the sale or disposition of such non-Eligible Accounts shall be in cash and shall equal no less than 100% of the aggregate original invoice amount of such Accounts and (ii) the proceeds from such sales or dispositions shall be deposited in a Cash Management Account and applied to the Obligations, and (g) the dispositions set forth on </w:t>
      </w:r>
      <w:r>
        <w:rPr>
          <w:rFonts w:ascii="Arial" w:cs="Arial" w:eastAsia="Arial" w:hAnsi="Arial"/>
          <w:sz w:val="19"/>
          <w:szCs w:val="19"/>
          <w:u w:val="single" w:color="auto"/>
          <w:color w:val="auto"/>
        </w:rPr>
        <w:t>Schedule P</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2</w:t>
      </w:r>
      <w:r>
        <w:rPr>
          <w:rFonts w:ascii="Arial" w:cs="Arial" w:eastAsia="Arial" w:hAnsi="Arial"/>
          <w:sz w:val="19"/>
          <w:szCs w:val="19"/>
          <w:color w:val="auto"/>
        </w:rPr>
        <w:t>.</w:t>
      </w:r>
    </w:p>
    <w:p>
      <w:pPr>
        <w:spacing w:after="0" w:line="200" w:lineRule="exact"/>
        <w:rPr>
          <w:sz w:val="20"/>
          <w:szCs w:val="20"/>
          <w:color w:val="auto"/>
        </w:rPr>
      </w:pPr>
    </w:p>
    <w:p>
      <w:pPr>
        <w:spacing w:after="0" w:line="204" w:lineRule="exact"/>
        <w:rPr>
          <w:sz w:val="20"/>
          <w:szCs w:val="20"/>
          <w:color w:val="auto"/>
        </w:rPr>
      </w:pPr>
    </w:p>
    <w:p>
      <w:pPr>
        <w:jc w:val="both"/>
        <w:ind w:firstLine="1497"/>
        <w:spacing w:after="0"/>
        <w:rPr>
          <w:sz w:val="20"/>
          <w:szCs w:val="20"/>
          <w:color w:val="auto"/>
        </w:rPr>
      </w:pPr>
      <w:r>
        <w:rPr>
          <w:rFonts w:ascii="Arial" w:cs="Arial" w:eastAsia="Arial" w:hAnsi="Arial"/>
          <w:sz w:val="22"/>
          <w:szCs w:val="22"/>
          <w:u w:val="single" w:color="auto"/>
          <w:color w:val="auto"/>
        </w:rPr>
        <w:t>"Permitted Holders</w:t>
      </w:r>
      <w:r>
        <w:rPr>
          <w:rFonts w:ascii="Arial" w:cs="Arial" w:eastAsia="Arial" w:hAnsi="Arial"/>
          <w:sz w:val="22"/>
          <w:szCs w:val="22"/>
          <w:color w:val="auto"/>
        </w:rPr>
        <w:t>" means Eldridge Industries LLC, together with any funds, limited partnerships and investment vehicles controlled, managed or advised, directly or indirectly or by contract or otherwise, by, or under common control with, Eldridge Industries LLC, including, for the avoidance of doubt, LSB Funding LLC.</w:t>
      </w:r>
    </w:p>
    <w:p>
      <w:pPr>
        <w:spacing w:after="0" w:line="186"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Permitted Investments</w:t>
      </w:r>
      <w:r>
        <w:rPr>
          <w:rFonts w:ascii="Arial" w:cs="Arial" w:eastAsia="Arial" w:hAnsi="Arial"/>
          <w:sz w:val="19"/>
          <w:szCs w:val="19"/>
          <w:color w:val="auto"/>
        </w:rPr>
        <w:t>" means (a) Investments in Cash Equivalents, (b) Investments in negotiable instruments for collection, (c) advances made in connection with purchases of goods or services in the ordinary course of business, (d) Investments by any Loan Party in any other Loan Party, (e) guarantees by a Loan Party of Indebtedness permitted under</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4" w:name="page85"/>
    <w:bookmarkEnd w:id="84"/>
    <w:p>
      <w:pPr>
        <w:jc w:val="both"/>
        <w:spacing w:after="0" w:line="279" w:lineRule="auto"/>
        <w:rPr>
          <w:sz w:val="20"/>
          <w:szCs w:val="20"/>
          <w:color w:val="auto"/>
        </w:rPr>
      </w:pPr>
      <w:r>
        <w:rPr>
          <w:rFonts w:ascii="Arial" w:cs="Arial" w:eastAsia="Arial" w:hAnsi="Arial"/>
          <w:sz w:val="19"/>
          <w:szCs w:val="19"/>
          <w:u w:val="single" w:color="auto"/>
          <w:color w:val="auto"/>
        </w:rPr>
        <w:t>Section 7.1(m)</w:t>
      </w:r>
      <w:r>
        <w:rPr>
          <w:rFonts w:ascii="Arial" w:cs="Arial" w:eastAsia="Arial" w:hAnsi="Arial"/>
          <w:sz w:val="19"/>
          <w:szCs w:val="19"/>
          <w:color w:val="auto"/>
        </w:rPr>
        <w:t xml:space="preserve">, (f) guarantees permitted under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(g) other Investments set forth on </w:t>
      </w:r>
      <w:r>
        <w:rPr>
          <w:rFonts w:ascii="Arial" w:cs="Arial" w:eastAsia="Arial" w:hAnsi="Arial"/>
          <w:sz w:val="19"/>
          <w:szCs w:val="19"/>
          <w:u w:val="single" w:color="auto"/>
          <w:color w:val="auto"/>
        </w:rPr>
        <w:t>Schedule 7.13</w:t>
      </w:r>
      <w:r>
        <w:rPr>
          <w:rFonts w:ascii="Arial" w:cs="Arial" w:eastAsia="Arial" w:hAnsi="Arial"/>
          <w:sz w:val="19"/>
          <w:szCs w:val="19"/>
          <w:color w:val="auto"/>
        </w:rPr>
        <w:t xml:space="preserve"> hereto, (h) Investments made by any Loan Party in the Parent, (i) Investments in any newly created Subsidiary by means of purchase or other acquisition of the equity interests of such Subsidiary including by way of merger,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there is no investment of Collateral, (j) Investments in joint ventures in an aggregate amount not exceeding $35,000,000 at any one time outstanding, (k) Investments in respect of Hedge Obligations and Third Party Hedge Obligations, and (l) other Investments, so long as, both immediately before and after giving effect to the making of any such Investments, the Covenant Condition has been satisfied.</w:t>
      </w:r>
    </w:p>
    <w:p>
      <w:pPr>
        <w:spacing w:after="0" w:line="150" w:lineRule="exact"/>
        <w:rPr>
          <w:sz w:val="20"/>
          <w:szCs w:val="20"/>
          <w:color w:val="auto"/>
        </w:rPr>
      </w:pPr>
    </w:p>
    <w:p>
      <w:pPr>
        <w:jc w:val="both"/>
        <w:ind w:firstLine="1497"/>
        <w:spacing w:after="0" w:line="245"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means (a) Liens held by Agent for the benefit of Agent and the Lenders, (b) Liens for unpaid taxes that either (i) are not yet delinquent, or (ii) do not constitute an Event of Default hereunder and are the subject of Permitted Protests, (c) Liens set forth on </w:t>
      </w:r>
      <w:r>
        <w:rPr>
          <w:rFonts w:ascii="Arial" w:cs="Arial" w:eastAsia="Arial" w:hAnsi="Arial"/>
          <w:sz w:val="19"/>
          <w:szCs w:val="19"/>
          <w:u w:val="single" w:color="auto"/>
          <w:color w:val="auto"/>
        </w:rPr>
        <w:t>Schedule P</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(d) the interests of lessors under operating leases, (e) purchase money Liens or the interests of lessors under Capital Leases to the extent that such Liens or interests secure Permitted Purchase Money Indebtedness and so long as such Lien attaches only to the asset purchased or acquired and the proceeds thereof, (f) Liens arising by operation of law in favor of warehousemen, landlords, carriers, mechanics, materialmen, laborers, or suppliers, incurred in the ordinary course of Loan Parties' business and not in connection with the borrowing of money, and which Liens either (i) are for sums not yet delinquent, or (ii) are the subject of Permitted Protests, (g) Liens arising from deposits made in connection with obtaining worker's compensation or other unemployment insurance, social security and other similar laws, (h) Liens or deposits to secure performance of bids, tenders, or leases incurred in the ordinary course of Loan Parties' business and not in connection with the borrowing of money, (i) Liens granted as security for surety, payment, performance or appeal bonds in connection with obtaining such bonds in the ordinary course of Loan Parties' business, (j) Liens resulting from any judgment or award that is not an Event of Default hereunder, (k) with respect to any Real Property, easements, exceptions, reservations, encroachments, restrictions, rights of way, zoning restrictions and other similar title policy exceptions or encumbrances that do not materially interfere with or impair the use or operation thereof by the Loan Parties; (l) [</w:t>
      </w:r>
      <w:r>
        <w:rPr>
          <w:rFonts w:ascii="Arial" w:cs="Arial" w:eastAsia="Arial" w:hAnsi="Arial"/>
          <w:sz w:val="19"/>
          <w:szCs w:val="19"/>
          <w:i w:val="1"/>
          <w:iCs w:val="1"/>
          <w:color w:val="auto"/>
        </w:rPr>
        <w:t>intentionally omitted</w:t>
      </w:r>
      <w:r>
        <w:rPr>
          <w:rFonts w:ascii="Arial" w:cs="Arial" w:eastAsia="Arial" w:hAnsi="Arial"/>
          <w:sz w:val="19"/>
          <w:szCs w:val="19"/>
          <w:color w:val="auto"/>
        </w:rPr>
        <w:t xml:space="preserve">]; (m) Liens securing Indebtedness permitted under </w:t>
      </w:r>
      <w:r>
        <w:rPr>
          <w:rFonts w:ascii="Arial" w:cs="Arial" w:eastAsia="Arial" w:hAnsi="Arial"/>
          <w:sz w:val="19"/>
          <w:szCs w:val="19"/>
          <w:u w:val="single" w:color="auto"/>
          <w:color w:val="auto"/>
        </w:rPr>
        <w:t>Section 7.1(l)</w:t>
      </w:r>
      <w:r>
        <w:rPr>
          <w:rFonts w:ascii="Arial" w:cs="Arial" w:eastAsia="Arial" w:hAnsi="Arial"/>
          <w:sz w:val="19"/>
          <w:szCs w:val="19"/>
          <w:color w:val="auto"/>
        </w:rPr>
        <w:t>; (n) [</w:t>
      </w:r>
      <w:r>
        <w:rPr>
          <w:rFonts w:ascii="Arial" w:cs="Arial" w:eastAsia="Arial" w:hAnsi="Arial"/>
          <w:sz w:val="19"/>
          <w:szCs w:val="19"/>
          <w:i w:val="1"/>
          <w:iCs w:val="1"/>
          <w:color w:val="auto"/>
        </w:rPr>
        <w:t>intentionally omitted</w:t>
      </w:r>
      <w:r>
        <w:rPr>
          <w:rFonts w:ascii="Arial" w:cs="Arial" w:eastAsia="Arial" w:hAnsi="Arial"/>
          <w:sz w:val="19"/>
          <w:szCs w:val="19"/>
          <w:color w:val="auto"/>
        </w:rPr>
        <w:t>]; (o) [</w:t>
      </w:r>
      <w:r>
        <w:rPr>
          <w:rFonts w:ascii="Arial" w:cs="Arial" w:eastAsia="Arial" w:hAnsi="Arial"/>
          <w:sz w:val="19"/>
          <w:szCs w:val="19"/>
          <w:i w:val="1"/>
          <w:iCs w:val="1"/>
          <w:color w:val="auto"/>
        </w:rPr>
        <w:t>intentionally omitted</w:t>
      </w:r>
      <w:r>
        <w:rPr>
          <w:rFonts w:ascii="Arial" w:cs="Arial" w:eastAsia="Arial" w:hAnsi="Arial"/>
          <w:sz w:val="19"/>
          <w:szCs w:val="19"/>
          <w:color w:val="auto"/>
        </w:rPr>
        <w:t>]; (p) Liens arising in connection with Third Party Hedging Obligations; (q) Liens securing the LSB Notes so long as such Liens are subject to an intercreditor agreement in form and substance satisfactory to the Agent, and (ii) such Liens are subject to an intercreditor agreement in form and substance satisfactory to the Agent; (r) purported Liens evidenced by the filing of precautionary Uniform Commercial Code financing statements (or any similar precautionary filings) relating solely to operating leases of personal property entered into in the ordinary course of business and (s) other Liens securing obligations or Indebtedness not in excess of $50,000,000 in the aggregate at any one time outstanding.</w:t>
      </w:r>
    </w:p>
    <w:p>
      <w:pPr>
        <w:spacing w:after="0" w:line="200" w:lineRule="exact"/>
        <w:rPr>
          <w:sz w:val="20"/>
          <w:szCs w:val="20"/>
          <w:color w:val="auto"/>
        </w:rPr>
      </w:pPr>
    </w:p>
    <w:p>
      <w:pPr>
        <w:spacing w:after="0" w:line="219"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Protest</w:t>
      </w:r>
      <w:r>
        <w:rPr>
          <w:rFonts w:ascii="Arial" w:cs="Arial" w:eastAsia="Arial" w:hAnsi="Arial"/>
          <w:sz w:val="21"/>
          <w:szCs w:val="21"/>
          <w:color w:val="auto"/>
        </w:rPr>
        <w:t xml:space="preserve"> " means the right of the applicable Loan Party to protest any Lien (other than any such Lien that secures the Obligations), taxes (other than payroll taxes or taxes that are the subject of a United States federal tax lien), or rental payment,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a reserve with respect to such obligation is established on the Books in such amount as is required under GAAP, (b) any such protest is instituted promptly and prosecuted diligently by the applicable Loan Party in good faith, and (c) Agent is satisfied in its Permitted Discretion that, while any such protest is pending, there will be no impairment of the enforceability, validity, or priority of any of the Agent's Liens.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5" w:name="page86"/>
    <w:bookmarkEnd w:id="85"/>
    <w:p>
      <w:pPr>
        <w:jc w:val="both"/>
        <w:ind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Purchase Money Indebtedness</w:t>
      </w:r>
      <w:r>
        <w:rPr>
          <w:rFonts w:ascii="Arial" w:cs="Arial" w:eastAsia="Arial" w:hAnsi="Arial"/>
          <w:sz w:val="19"/>
          <w:szCs w:val="19"/>
          <w:color w:val="auto"/>
        </w:rPr>
        <w:t>" means, as of any date of determination, Purchase Money Indebtedness outstanding as of such date of determination not to exceed the greater of (x) $35,000,000 and (y) 5.5% of the total consolidated assets of the Loan Parties and their Subsidiaries as reflected on their balance sheet in accordance with GAAP.</w:t>
      </w:r>
    </w:p>
    <w:p>
      <w:pPr>
        <w:spacing w:after="0" w:line="134"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Projections</w:t>
      </w:r>
      <w:r>
        <w:rPr>
          <w:rFonts w:ascii="Arial" w:cs="Arial" w:eastAsia="Arial" w:hAnsi="Arial"/>
          <w:sz w:val="19"/>
          <w:szCs w:val="19"/>
          <w:color w:val="auto"/>
        </w:rPr>
        <w:t>" means Parent's annually prepared forecasted (a) balance sheets, (b) profit and loss statements, and</w:t>
      </w:r>
    </w:p>
    <w:p>
      <w:pPr>
        <w:spacing w:after="0" w:line="43" w:lineRule="exact"/>
        <w:rPr>
          <w:sz w:val="20"/>
          <w:szCs w:val="20"/>
          <w:color w:val="auto"/>
        </w:rPr>
      </w:pPr>
    </w:p>
    <w:p>
      <w:pPr>
        <w:ind w:firstLine="8"/>
        <w:spacing w:after="0" w:line="236" w:lineRule="auto"/>
        <w:tabs>
          <w:tab w:leader="none" w:pos="299" w:val="left"/>
        </w:tabs>
        <w:numPr>
          <w:ilvl w:val="0"/>
          <w:numId w:val="39"/>
        </w:numPr>
        <w:rPr>
          <w:rFonts w:ascii="Arial" w:cs="Arial" w:eastAsia="Arial" w:hAnsi="Arial"/>
          <w:sz w:val="22"/>
          <w:szCs w:val="22"/>
          <w:color w:val="auto"/>
        </w:rPr>
      </w:pPr>
      <w:r>
        <w:rPr>
          <w:rFonts w:ascii="Arial" w:cs="Arial" w:eastAsia="Arial" w:hAnsi="Arial"/>
          <w:sz w:val="22"/>
          <w:szCs w:val="22"/>
          <w:color w:val="auto"/>
        </w:rPr>
        <w:t>cash flow statements, all prepared on a consistent basis with Parent's historical financial statements, together with appropriate supporting details and a statement of underlying assumptions.</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Share</w:t>
      </w:r>
      <w:r>
        <w:rPr>
          <w:rFonts w:ascii="Arial" w:cs="Arial" w:eastAsia="Arial" w:hAnsi="Arial"/>
          <w:sz w:val="22"/>
          <w:szCs w:val="22"/>
          <w:color w:val="auto"/>
        </w:rPr>
        <w:t>" means:</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with respect to a Lender's obligation to make Advances and receive payments of principal, interest, fees, costs, and expenses with respect thereto, the percentage obtained by dividing (i) such Lender's Revolver Commitment, by (ii) the aggregate Revolver Commitments of all Lenders,</w:t>
      </w:r>
    </w:p>
    <w:p>
      <w:pPr>
        <w:spacing w:after="0" w:line="186"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9"/>
          <w:szCs w:val="19"/>
          <w:color w:val="auto"/>
        </w:rPr>
        <w:t>with respect to a Lender's obligation to participate in Letters of Credit, to reimburse the Issuing Bank, and to receive payments of fees with respect thereto, the percentage obtained by dividing (i) such Lender's Revolver Commitment, by</w:t>
      </w:r>
    </w:p>
    <w:p>
      <w:pPr>
        <w:spacing w:after="0" w:line="1" w:lineRule="exact"/>
        <w:rPr>
          <w:sz w:val="20"/>
          <w:szCs w:val="20"/>
          <w:color w:val="auto"/>
        </w:rPr>
      </w:pPr>
    </w:p>
    <w:p>
      <w:pPr>
        <w:ind w:left="1500" w:right="6320" w:hanging="1492"/>
        <w:spacing w:after="0" w:line="447" w:lineRule="auto"/>
        <w:tabs>
          <w:tab w:leader="none" w:pos="321"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aggregate Revolver Commitments of all Lenders, [</w:t>
      </w:r>
      <w:r>
        <w:rPr>
          <w:rFonts w:ascii="Arial" w:cs="Arial" w:eastAsia="Arial" w:hAnsi="Arial"/>
          <w:sz w:val="21"/>
          <w:szCs w:val="21"/>
          <w:i w:val="1"/>
          <w:iCs w:val="1"/>
          <w:color w:val="auto"/>
        </w:rPr>
        <w:t>intentionally omitted</w:t>
      </w:r>
      <w:r>
        <w:rPr>
          <w:rFonts w:ascii="Arial" w:cs="Arial" w:eastAsia="Arial" w:hAnsi="Arial"/>
          <w:sz w:val="21"/>
          <w:szCs w:val="21"/>
          <w:color w:val="auto"/>
        </w:rPr>
        <w:t>], and</w:t>
      </w:r>
    </w:p>
    <w:p>
      <w:pPr>
        <w:jc w:val="both"/>
        <w:ind w:firstLine="1497"/>
        <w:spacing w:after="0" w:line="252" w:lineRule="auto"/>
        <w:rPr>
          <w:sz w:val="20"/>
          <w:szCs w:val="20"/>
          <w:color w:val="auto"/>
        </w:rPr>
      </w:pPr>
      <w:r>
        <w:rPr>
          <w:rFonts w:ascii="Arial" w:cs="Arial" w:eastAsia="Arial" w:hAnsi="Arial"/>
          <w:sz w:val="21"/>
          <w:szCs w:val="21"/>
          <w:color w:val="auto"/>
        </w:rPr>
        <w:t xml:space="preserve">with respect to all other matters (including the indemnification obligations arising under </w:t>
      </w:r>
      <w:r>
        <w:rPr>
          <w:rFonts w:ascii="Arial" w:cs="Arial" w:eastAsia="Arial" w:hAnsi="Arial"/>
          <w:sz w:val="21"/>
          <w:szCs w:val="21"/>
          <w:u w:val="single" w:color="auto"/>
          <w:color w:val="auto"/>
        </w:rPr>
        <w:t>Section 16.7</w:t>
      </w:r>
      <w:r>
        <w:rPr>
          <w:rFonts w:ascii="Arial" w:cs="Arial" w:eastAsia="Arial" w:hAnsi="Arial"/>
          <w:sz w:val="21"/>
          <w:szCs w:val="21"/>
          <w:color w:val="auto"/>
        </w:rPr>
        <w:t xml:space="preserve"> ), the percentage obtained by dividing (i) such Lender's Total Commitment, by (ii) the aggregate amount of Total Commitments of all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each case, in the event all Commitments have been terminated, Pro Rata Share shall be determined according to the Commitments in effect immediately prior to such termination.</w:t>
      </w:r>
    </w:p>
    <w:p>
      <w:pPr>
        <w:spacing w:after="0" w:line="17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Money Indebtedness</w:t>
      </w:r>
      <w:r>
        <w:rPr>
          <w:rFonts w:ascii="Arial" w:cs="Arial" w:eastAsia="Arial" w:hAnsi="Arial"/>
          <w:sz w:val="22"/>
          <w:szCs w:val="22"/>
          <w:color w:val="auto"/>
        </w:rPr>
        <w:t>" means Indebtedness (other than the Obligations, but including Capitalized Lease Obligations), incurred at the time of, or within 180 days after, the acquisition of any assets for the purpose of financing all or any part of the acquisition cost thereof.</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"QFC" has the meaning assigned to the term "qualified financial contract" in, and shall be interpreted in accordance with, 12 U.S.C. § 5390(c)(8)(D).</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"QFC Credit Support" has the meaning specified therefor in Section 17.14 of this Agreement.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w:t>
      </w:r>
      <w:r>
        <w:rPr>
          <w:rFonts w:ascii="Arial" w:cs="Arial" w:eastAsia="Arial" w:hAnsi="Arial"/>
          <w:sz w:val="22"/>
          <w:szCs w:val="22"/>
          <w:color w:val="auto"/>
        </w:rPr>
        <w:t>" means any estates or interests in real property now owned or hereafter acquired by any Loan Party and the improvements thereto.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6" w:name="page87"/>
    <w:bookmarkEnd w:id="86"/>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w:t>
      </w:r>
      <w:r>
        <w:rPr>
          <w:rFonts w:ascii="Arial" w:cs="Arial" w:eastAsia="Arial" w:hAnsi="Arial"/>
          <w:sz w:val="22"/>
          <w:szCs w:val="22"/>
          <w:color w:val="auto"/>
        </w:rPr>
        <w:t>" means information that is inscribed on a tangible medium or which is stored in an electronic or other medium and is retrievable in perceivable form.</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u w:val="single" w:color="auto"/>
          <w:color w:val="0000FF"/>
        </w:rPr>
        <w:t>"Relevant Governmental Body" means the Board of Governors or the Federal Reserve Bank of New York, or a committee officially endorsed or convened by the Board of Governors or the Federal Reserve Bank of New York, or any successor thereto.</w:t>
      </w:r>
    </w:p>
    <w:p>
      <w:pPr>
        <w:spacing w:after="0" w:line="186"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Remedial Action</w:t>
      </w:r>
      <w:r>
        <w:rPr>
          <w:rFonts w:ascii="Arial" w:cs="Arial" w:eastAsia="Arial" w:hAnsi="Arial"/>
          <w:sz w:val="19"/>
          <w:szCs w:val="19"/>
          <w:color w:val="auto"/>
        </w:rPr>
        <w:t>" 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perform any pre-remedial studies, investigations, or post-remedial operation and maintenance activities, or (d) conduct any other actions authorized by 42 USC § 9601.</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16.17</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Reporting Trigger Event</w:t>
      </w:r>
      <w:r>
        <w:rPr>
          <w:rFonts w:ascii="Arial" w:cs="Arial" w:eastAsia="Arial" w:hAnsi="Arial"/>
          <w:sz w:val="22"/>
          <w:szCs w:val="22"/>
          <w:color w:val="auto"/>
        </w:rPr>
        <w:t>" means the occurrence of the date on which Availability, for a period of three (3) consecutive Business Days, has been less than 15% of the Total Commitment.</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Reporting Trigger Period</w:t>
      </w:r>
      <w:r>
        <w:rPr>
          <w:rFonts w:ascii="Arial" w:cs="Arial" w:eastAsia="Arial" w:hAnsi="Arial"/>
          <w:sz w:val="22"/>
          <w:szCs w:val="22"/>
          <w:color w:val="auto"/>
        </w:rPr>
        <w:t>" means the period commencing on the date on which a Reporting Trigger Event occurs and ending on the date following the date on which Availability is greater than 15% of the Total Commitment for at least thirty (30) consecutive days.</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Required Lenders</w:t>
      </w:r>
      <w:r>
        <w:rPr>
          <w:rFonts w:ascii="Arial" w:cs="Arial" w:eastAsia="Arial" w:hAnsi="Arial"/>
          <w:sz w:val="22"/>
          <w:szCs w:val="22"/>
          <w:color w:val="auto"/>
        </w:rPr>
        <w:t>" means, at any time, Lenders whose Pro Rata Shares aggregate more than 50% of the Total Commitments, or if the Commitments have been terminated irrevocably, more than 50% of the Obligations (other than Bank Product Obligations) then outstanding.</w:t>
      </w:r>
    </w:p>
    <w:p>
      <w:pPr>
        <w:spacing w:after="0" w:line="186"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 Percentage</w:t>
      </w:r>
      <w:r>
        <w:rPr>
          <w:rFonts w:ascii="Arial" w:cs="Arial" w:eastAsia="Arial" w:hAnsi="Arial"/>
          <w:sz w:val="19"/>
          <w:szCs w:val="19"/>
          <w:color w:val="auto"/>
        </w:rPr>
        <w:t>" means, on any day, for any Lender, the maximum percentage prescribed by the Board of Governors of the Federal Reserve System (or any successor Governmental Authority) for determining the reserve requirements (including any basic, supplemental, marginal, or emergency reserves) that are in effect on such date with respect to eurocurrency funding (currently referred to as "eurocurrency liabilities") of that Lender, but so long as such Lender is not required or directed under applicable regulations to maintain such reserves, the Reserve Percentage shall be zero.</w:t>
      </w:r>
    </w:p>
    <w:p>
      <w:pPr>
        <w:spacing w:after="0" w:line="14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"Resolution Authority" means an EEA Resolution Authority or, with respect to any UK Financial Institution, a UK Resolution Authority.</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Restatement Effective Date</w:t>
      </w:r>
      <w:r>
        <w:rPr>
          <w:rFonts w:ascii="Arial" w:cs="Arial" w:eastAsia="Arial" w:hAnsi="Arial"/>
          <w:sz w:val="22"/>
          <w:szCs w:val="22"/>
          <w:color w:val="auto"/>
        </w:rPr>
        <w:t>" has the meaning set forth in the preamble to this Agreement.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Revolver Commitment</w:t>
      </w:r>
      <w:r>
        <w:rPr>
          <w:rFonts w:ascii="Arial" w:cs="Arial" w:eastAsia="Arial" w:hAnsi="Arial"/>
          <w:sz w:val="22"/>
          <w:szCs w:val="22"/>
          <w:color w:val="auto"/>
        </w:rPr>
        <w:t xml:space="preserve">" means, with respect to each Lender, its Revolver Commitment, and, with respect to all Lenders, their Revolver Commitments, in each case as such Dollar amounts are set forth beside such Lender's name under the applicable heading on </w:t>
      </w:r>
      <w:r>
        <w:rPr>
          <w:rFonts w:ascii="Arial" w:cs="Arial" w:eastAsia="Arial" w:hAnsi="Arial"/>
          <w:sz w:val="22"/>
          <w:szCs w:val="22"/>
          <w:u w:val="single" w:color="auto"/>
          <w:color w:val="auto"/>
        </w:rPr>
        <w:t>Schedule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7" w:name="page88"/>
    <w:bookmarkEnd w:id="87"/>
    <w:p>
      <w:pPr>
        <w:jc w:val="both"/>
        <w:spacing w:after="0" w:line="259" w:lineRule="exact"/>
        <w:rPr>
          <w:sz w:val="20"/>
          <w:szCs w:val="20"/>
          <w:color w:val="auto"/>
        </w:rPr>
      </w:pPr>
      <w:r>
        <w:rPr>
          <w:rFonts w:ascii="Arial" w:cs="Arial" w:eastAsia="Arial" w:hAnsi="Arial"/>
          <w:sz w:val="22"/>
          <w:szCs w:val="22"/>
          <w:u w:val="single" w:color="auto"/>
          <w:color w:val="auto"/>
        </w:rPr>
        <w:t>C</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1</w:t>
      </w:r>
      <w:r>
        <w:rPr>
          <w:rFonts w:ascii="Arial" w:cs="Arial" w:eastAsia="Arial" w:hAnsi="Arial"/>
          <w:sz w:val="22"/>
          <w:szCs w:val="22"/>
          <w:color w:val="auto"/>
        </w:rPr>
        <w:t xml:space="preserve"> or on the signature page of the Assignment and Acceptance pursuant to which such Lender became a Lender hereunder in accordance with the provisions of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Revolver Usage</w:t>
      </w:r>
      <w:r>
        <w:rPr>
          <w:rFonts w:ascii="Arial" w:cs="Arial" w:eastAsia="Arial" w:hAnsi="Arial"/>
          <w:sz w:val="22"/>
          <w:szCs w:val="22"/>
          <w:color w:val="auto"/>
        </w:rPr>
        <w:t xml:space="preserve"> " means, as of any date of determination, the sum of (a) the then extant amount of outstanding Advances, plus (b) the then extant amount of the Letter of Credit Usage.</w:t>
      </w:r>
    </w:p>
    <w:p>
      <w:pPr>
        <w:spacing w:after="0" w:line="175"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Risk Participation Liability</w:t>
      </w:r>
      <w:r>
        <w:rPr>
          <w:rFonts w:ascii="Arial" w:cs="Arial" w:eastAsia="Arial" w:hAnsi="Arial"/>
          <w:sz w:val="22"/>
          <w:szCs w:val="22"/>
          <w:color w:val="auto"/>
        </w:rPr>
        <w:t>" means, as to each Letter of Credit, all reimbursement obligations of Loan Parties to the Issuing Bank with respect to an L/C Undertaking, consisting of (a) the amount available to be drawn or which may become available to be drawn, (b) all amounts that have been paid by the Issuing Bank to the Underlying Issuer to the extent not reimbursed by the Loan Parties, whether by the making of an Advance or otherwise, and (c) all accrued and unpaid interest, fees, and expenses payable with respect thereto.</w:t>
      </w:r>
    </w:p>
    <w:p>
      <w:pPr>
        <w:spacing w:after="0" w:line="187"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Entity</w:t>
      </w:r>
      <w:r>
        <w:rPr>
          <w:rFonts w:ascii="Arial" w:cs="Arial" w:eastAsia="Arial" w:hAnsi="Arial"/>
          <w:sz w:val="22"/>
          <w:szCs w:val="22"/>
          <w:color w:val="auto"/>
        </w:rPr>
        <w:t>" means (a) a country or territory or a government of a country or territory, (b) an agency of the government of a country or territory, (c) an organization directly or indirectly controlled by a country or territory or its government, in each case of clauses (a) through (c) that is a target of Sanctions, including a target of any country sanctions program administered and enforced by OFAC.</w:t>
      </w:r>
    </w:p>
    <w:p>
      <w:pPr>
        <w:spacing w:after="0" w:line="185"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 and any successor thereto.</w:t>
      </w:r>
    </w:p>
    <w:p>
      <w:pPr>
        <w:spacing w:after="0" w:line="206"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or (e) any other Governmental Authority in any jurisdiction in which (i) any Loan Party or any of their Subsidiaries is located or conducts business, (ii) in which any of the credit proceeds will be used, or (iii) from which repayment of the credit will be derived.</w:t>
      </w:r>
    </w:p>
    <w:p>
      <w:pPr>
        <w:spacing w:after="0" w:line="15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 Date</w:t>
      </w:r>
      <w:r>
        <w:rPr>
          <w:rFonts w:ascii="Arial" w:cs="Arial" w:eastAsia="Arial" w:hAnsi="Arial"/>
          <w:sz w:val="22"/>
          <w:szCs w:val="22"/>
          <w:color w:val="auto"/>
        </w:rPr>
        <w:t>" means February 26, 2019.</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Account</w:t>
      </w:r>
      <w:r>
        <w:rPr>
          <w:rFonts w:ascii="Arial" w:cs="Arial" w:eastAsia="Arial" w:hAnsi="Arial"/>
          <w:sz w:val="22"/>
          <w:szCs w:val="22"/>
          <w:color w:val="auto"/>
        </w:rPr>
        <w:t>" means a "securities account" as that term is defined in the Code.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Settlement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2.3(f)(i)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8" w:name="page89"/>
    <w:bookmarkEnd w:id="88"/>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Settlement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2.3(f)(i)</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"Sixth Amendment Date" means May 26, 2023.</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Small Business Administration</w:t>
      </w:r>
      <w:r>
        <w:rPr>
          <w:rFonts w:ascii="Arial" w:cs="Arial" w:eastAsia="Arial" w:hAnsi="Arial"/>
          <w:sz w:val="22"/>
          <w:szCs w:val="22"/>
          <w:color w:val="auto"/>
        </w:rPr>
        <w:t>" means the U.S. Small Business Administration.</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u w:val="single" w:color="auto"/>
          <w:color w:val="0000FF"/>
        </w:rPr>
        <w:t>"SOFR" means a rate equal to the secured overnight financing rate as administered by the SOFR Administrator.</w:t>
      </w:r>
    </w:p>
    <w:p>
      <w:pPr>
        <w:spacing w:after="0" w:line="24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"SOFR Administrator" means the Federal Reserve Bank of New York (or a successor administrator of the secured overnight financing rate).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"SOFR Deadline" has the meaning specified therefor in Section 2.13(b)(i) of this Agreement.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"SOFR Loan" means each portion of an Advance that bears interest at a rate determined by reference to Adjusted Term SOFR (other than pursuant to clause (c) of the definition of "Base Rate").</w:t>
      </w:r>
    </w:p>
    <w:p>
      <w:pPr>
        <w:spacing w:after="0" w:line="175"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u w:val="single" w:color="auto"/>
          <w:color w:val="0000FF"/>
        </w:rPr>
        <w:t>"SOFR Margin" means, as of any date of determination, (i) if Availability is greater than $22,500,000, 1.50 percentage points, and (ii) if Availability is less than or equal to $22,500,000, 1.75 percentage points.</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"SOFR Notice" means a written notice in the form of Exhibit S-1 to this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"SOFR Option" has the meaning specified therefor in Section 2.13(a) of this Agreement.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Solvent</w:t>
      </w:r>
      <w:r>
        <w:rPr>
          <w:rFonts w:ascii="Arial" w:cs="Arial" w:eastAsia="Arial" w:hAnsi="Arial"/>
          <w:sz w:val="22"/>
          <w:szCs w:val="22"/>
          <w:color w:val="auto"/>
        </w:rPr>
        <w:t>" means, with respect to any Person on a particular date, that such Person is not insolvent (as such term is defined in the Uniform Fraudulent Transfer Act).</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Borrowers</w:t>
      </w:r>
      <w:r>
        <w:rPr>
          <w:rFonts w:ascii="Arial" w:cs="Arial" w:eastAsia="Arial" w:hAnsi="Arial"/>
          <w:sz w:val="22"/>
          <w:szCs w:val="22"/>
          <w:color w:val="auto"/>
        </w:rPr>
        <w:t>" means El Dorado Chemical Company, an Oklahoma corporation, Cherokee Nitrogen LLC, an Oklahoma corporation, Pryor Chemical Company, an Oklahoma corporation, El Dorado Nitric LLC, an Oklahoma limited liability company, El Dorado Nitrogen LP, a Texas limited partnership and EDC Ag Products Company LLC, an Oklahoma limited liability company.</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Event of Default</w:t>
      </w:r>
      <w:r>
        <w:rPr>
          <w:rFonts w:ascii="Arial" w:cs="Arial" w:eastAsia="Arial" w:hAnsi="Arial"/>
          <w:sz w:val="22"/>
          <w:szCs w:val="22"/>
          <w:color w:val="auto"/>
        </w:rPr>
        <w:t xml:space="preserve">" means an Event of Default pursuant to </w:t>
      </w:r>
      <w:r>
        <w:rPr>
          <w:rFonts w:ascii="Arial" w:cs="Arial" w:eastAsia="Arial" w:hAnsi="Arial"/>
          <w:sz w:val="22"/>
          <w:szCs w:val="22"/>
          <w:u w:val="single" w:color="auto"/>
          <w:color w:val="auto"/>
        </w:rPr>
        <w:t>Sections 8.1</w:t>
      </w:r>
      <w:r>
        <w:rPr>
          <w:rFonts w:ascii="Arial" w:cs="Arial" w:eastAsia="Arial" w:hAnsi="Arial"/>
          <w:sz w:val="22"/>
          <w:szCs w:val="22"/>
          <w:color w:val="auto"/>
        </w:rPr>
        <w:t xml:space="preserve">, </w:t>
      </w:r>
      <w:r>
        <w:rPr>
          <w:rFonts w:ascii="Arial" w:cs="Arial" w:eastAsia="Arial" w:hAnsi="Arial"/>
          <w:sz w:val="22"/>
          <w:szCs w:val="22"/>
          <w:u w:val="single" w:color="auto"/>
          <w:color w:val="auto"/>
        </w:rPr>
        <w:t>8.2</w:t>
      </w:r>
      <w:r>
        <w:rPr>
          <w:rFonts w:ascii="Arial" w:cs="Arial" w:eastAsia="Arial" w:hAnsi="Arial"/>
          <w:sz w:val="22"/>
          <w:szCs w:val="22"/>
          <w:color w:val="auto"/>
        </w:rPr>
        <w:t xml:space="preserve">, </w:t>
      </w:r>
      <w:r>
        <w:rPr>
          <w:rFonts w:ascii="Arial" w:cs="Arial" w:eastAsia="Arial" w:hAnsi="Arial"/>
          <w:sz w:val="22"/>
          <w:szCs w:val="22"/>
          <w:u w:val="single" w:color="auto"/>
          <w:color w:val="auto"/>
        </w:rPr>
        <w:t>8.4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8.5</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Permitted Investment</w:t>
      </w:r>
      <w:r>
        <w:rPr>
          <w:rFonts w:ascii="Arial" w:cs="Arial" w:eastAsia="Arial" w:hAnsi="Arial"/>
          <w:sz w:val="22"/>
          <w:szCs w:val="22"/>
          <w:color w:val="auto"/>
        </w:rPr>
        <w:t>" means any and all of the following:</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marketable direct obligations issued or unconditionally guaranteed by the United States or issued by any agency thereof and backed by the full faith and credit of the United States, in each case maturing within two years from the date of acquisition thereof;</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marketable direct obligations of Fannie Mae or Freddie Mac, in each case maturing within two years from the date of acquisition thereof;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9" w:name="page90"/>
    <w:bookmarkEnd w:id="89"/>
    <w:p>
      <w:pPr>
        <w:jc w:val="both"/>
        <w:ind w:firstLine="1497"/>
        <w:spacing w:after="0" w:line="287" w:lineRule="auto"/>
        <w:rPr>
          <w:sz w:val="20"/>
          <w:szCs w:val="20"/>
          <w:color w:val="auto"/>
        </w:rPr>
      </w:pPr>
      <w:r>
        <w:rPr>
          <w:rFonts w:ascii="Arial" w:cs="Arial" w:eastAsia="Arial" w:hAnsi="Arial"/>
          <w:sz w:val="19"/>
          <w:szCs w:val="19"/>
          <w:color w:val="auto"/>
        </w:rPr>
        <w:t>repurchase agreements, reverse repurchase agreements, or obligations that have a term not to exceed thirty (30) days with respect to any security described in clause (a) or (b) above, and that are entered into with a depository institution or trust company (acting as a principal) rated in the highest available short-term rating category by each of at least two Nationally Recognized Statistical Rating Organizations (each an "</w:t>
      </w:r>
      <w:r>
        <w:rPr>
          <w:rFonts w:ascii="Arial" w:cs="Arial" w:eastAsia="Arial" w:hAnsi="Arial"/>
          <w:sz w:val="19"/>
          <w:szCs w:val="19"/>
          <w:u w:val="single" w:color="auto"/>
          <w:color w:val="auto"/>
        </w:rPr>
        <w:t>NRSRO</w:t>
      </w:r>
      <w:r>
        <w:rPr>
          <w:rFonts w:ascii="Arial" w:cs="Arial" w:eastAsia="Arial" w:hAnsi="Arial"/>
          <w:sz w:val="19"/>
          <w:szCs w:val="19"/>
          <w:color w:val="auto"/>
        </w:rPr>
        <w:t>") at the time of that investment;</w:t>
      </w:r>
    </w:p>
    <w:p>
      <w:pPr>
        <w:spacing w:after="0" w:line="143"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certificates of deposit maturing within two years from the date of acquisition thereof, and that are (i) issued by any bank organized under the laws of the United States or any state thereof to the extent that those deposits are fully insured by the FDIC or (ii) secured by any security described in clause (a) or (b) above;</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commercial paper maturing no more than two years from the date of acquisition thereof and, at the time of that acquisition, and having a short-term unsecured debt rating in the highest available rating category of at least two of NRSROs at the time of that investment;</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debt securities that bear interest or are sold at a discount, that are issued by any corporation incorporated under the laws of the United States or any state thereof, and that, at the time of that investment, are rated AA or higher (or the equivalent thereof) by at least two NRSROs;</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debt securities that bear interest or are sold at a discount, that are issued by any municipality existing under the laws of any state of the United States, and that, at the time of that investment, are rated AA or higher (or the equivalent thereof) by at least two NRSROs;</w:t>
      </w:r>
    </w:p>
    <w:p>
      <w:pPr>
        <w:spacing w:after="0" w:line="186"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floating-rate bonds that bear interest or are sold at a discount that, at the time of that investment, are (i) rated AA or higher (or the equivalent thereof) by at least two NRSROs or (ii) secured by an irrevocable, unconditional, standby letter of credit issued by a commercial bank that (X) is issued by a commercial bank that, at the time of issuance of the said letter of credit, has a long-term unsecured debt rating of AA or higher (or the equivalent thereof) from at least two NRSROs and (Y) has a drawing amount at least equal to one hundred percent (100%) of the face values of the floating-rate bonds that it is securing; and</w:t>
      </w:r>
    </w:p>
    <w:p>
      <w:pPr>
        <w:spacing w:after="0" w:line="14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money market funds having ratings in the highest available rating categories of at least two NRSROs at the time of that investment.</w:t>
      </w:r>
    </w:p>
    <w:p>
      <w:pPr>
        <w:spacing w:after="0" w:line="175"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Letter of Credit Practice</w:t>
      </w:r>
      <w:r>
        <w:rPr>
          <w:rFonts w:ascii="Arial" w:cs="Arial" w:eastAsia="Arial" w:hAnsi="Arial"/>
          <w:sz w:val="19"/>
          <w:szCs w:val="19"/>
          <w:color w:val="auto"/>
        </w:rPr>
        <w:t>" means, for Issuing Bank, any domestic or foreign law or letter of credit practices applicable in the city in which Issuing Bank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w:t>
      </w:r>
    </w:p>
    <w:p>
      <w:pPr>
        <w:spacing w:after="0" w:line="3" w:lineRule="exact"/>
        <w:rPr>
          <w:sz w:val="20"/>
          <w:szCs w:val="20"/>
          <w:color w:val="auto"/>
        </w:rPr>
      </w:pPr>
    </w:p>
    <w:p>
      <w:pPr>
        <w:ind w:firstLine="8"/>
        <w:spacing w:after="0" w:line="236" w:lineRule="auto"/>
        <w:tabs>
          <w:tab w:leader="none" w:pos="333" w:val="left"/>
        </w:tabs>
        <w:numPr>
          <w:ilvl w:val="0"/>
          <w:numId w:val="41"/>
        </w:numPr>
        <w:rPr>
          <w:rFonts w:ascii="Arial" w:cs="Arial" w:eastAsia="Arial" w:hAnsi="Arial"/>
          <w:sz w:val="22"/>
          <w:szCs w:val="22"/>
          <w:color w:val="auto"/>
        </w:rPr>
      </w:pPr>
      <w:r>
        <w:rPr>
          <w:rFonts w:ascii="Arial" w:cs="Arial" w:eastAsia="Arial" w:hAnsi="Arial"/>
          <w:sz w:val="22"/>
          <w:szCs w:val="22"/>
          <w:color w:val="auto"/>
        </w:rPr>
        <w:t>which laws or letter of credit practices are required or permitted under ISP or UCP, as chosen in the applicable Letter of Credit.</w:t>
      </w:r>
    </w:p>
    <w:p>
      <w:pPr>
        <w:spacing w:after="0" w:line="187"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Stock</w:t>
      </w:r>
      <w:r>
        <w:rPr>
          <w:rFonts w:ascii="Arial" w:cs="Arial" w:eastAsia="Arial" w:hAnsi="Arial"/>
          <w:sz w:val="22"/>
          <w:szCs w:val="22"/>
          <w:color w:val="auto"/>
        </w:rPr>
        <w:t>" means all shares, options, warrants, interests, participations, or other equivalents (regardless of how designated) of or in a Person, whether voting or nonvoting, including common stock, preferred stock, or any other "equity security" (as such term is defined in Rule 3a11-1 of the General Rules and Regulations promulgated by the SEC under the Exchange Act).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0" w:name="page91"/>
    <w:bookmarkEnd w:id="90"/>
    <w:p>
      <w:pPr>
        <w:jc w:val="both"/>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of a Person means a corporation, partnership, limited liability company, or other entity in which that Person directly or indirectly owns or controls the shares of Stock having ordinary voting power to elect a majority of the board of directors (or appoint other comparable managers) of such corporation, partnership, limited liability company, or other entity. All references to a "Subsidiary" or "Subsidiaries" in this Agreement and the other Loan Documents shall exclude any Unrestricted Subsidiaries once such Subsidiary is properly designated as such and meets the requirements set forth in the definition of "Unrestricted Subsidiary".</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Summit</w:t>
      </w:r>
      <w:r>
        <w:rPr>
          <w:rFonts w:ascii="Arial" w:cs="Arial" w:eastAsia="Arial" w:hAnsi="Arial"/>
          <w:sz w:val="21"/>
          <w:szCs w:val="21"/>
          <w:color w:val="auto"/>
        </w:rPr>
        <w:t>" means Summit Machine Tool Manufacturing L.L.C., an Oklahoma limited liability company.</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"Supported QFC" has the meaning specified therefor in Section 17.14 of this Agreement.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Obligation</w:t>
      </w:r>
      <w:r>
        <w:rPr>
          <w:rFonts w:ascii="Arial" w:cs="Arial" w:eastAsia="Arial" w:hAnsi="Arial"/>
          <w:sz w:val="22"/>
          <w:szCs w:val="22"/>
          <w:color w:val="auto"/>
        </w:rPr>
        <w:t>" means, with respect to any Loan Party, any obligation to pay or perform under any agreement, contract or transaction that constitutes a "swap" within the meaning of section 1a(47) of the Commodity Exchange Act.</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Lender</w:t>
      </w:r>
      <w:r>
        <w:rPr>
          <w:rFonts w:ascii="Arial" w:cs="Arial" w:eastAsia="Arial" w:hAnsi="Arial"/>
          <w:sz w:val="22"/>
          <w:szCs w:val="22"/>
          <w:color w:val="auto"/>
        </w:rPr>
        <w:t xml:space="preserve"> " means WFCF or any other Lender that, at the request of Administrative Borrower and with the consent of Agent agrees, in such Lender's sole discretion, to become the Swing Lender hereunder.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Loan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2.3(d)(i)</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Loan Exposure</w:t>
      </w:r>
      <w:r>
        <w:rPr>
          <w:rFonts w:ascii="Arial" w:cs="Arial" w:eastAsia="Arial" w:hAnsi="Arial"/>
          <w:sz w:val="22"/>
          <w:szCs w:val="22"/>
          <w:color w:val="auto"/>
        </w:rPr>
        <w:t>" means, as of any date of determination with respect to any Lender, such Lender's Pro Rata Share of the Swing Loans on such date.</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"Term SOFR" means,</w:t>
      </w:r>
    </w:p>
    <w:p>
      <w:pPr>
        <w:spacing w:after="0" w:line="206" w:lineRule="exact"/>
        <w:rPr>
          <w:sz w:val="20"/>
          <w:szCs w:val="20"/>
          <w:color w:val="auto"/>
        </w:rPr>
      </w:pPr>
    </w:p>
    <w:p>
      <w:pPr>
        <w:jc w:val="both"/>
        <w:ind w:firstLine="1505"/>
        <w:spacing w:after="0" w:line="273" w:lineRule="auto"/>
        <w:tabs>
          <w:tab w:leader="none" w:pos="2036" w:val="left"/>
        </w:tabs>
        <w:numPr>
          <w:ilvl w:val="0"/>
          <w:numId w:val="4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1" w:name="page92"/>
    <w:bookmarkEnd w:id="91"/>
    <w:p>
      <w:pPr>
        <w:jc w:val="both"/>
        <w:ind w:firstLine="1505"/>
        <w:spacing w:after="0" w:line="245" w:lineRule="auto"/>
        <w:tabs>
          <w:tab w:leader="none" w:pos="2036" w:val="left"/>
        </w:tabs>
        <w:numPr>
          <w:ilvl w:val="0"/>
          <w:numId w:val="43"/>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"Term SOFR Adjustment" means, for any calculation, 0.10% per annum.</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"Term SOFR Administrator" means CME Group Benchmark Administration Limited (CBA) (or a successor administrator of the Term SOFR Reference Rate selected by Agent in its reasonable discretion).</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"Term SOFR Reference Rate" means the forward-looking term rate based on SOFR.</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Amendment Date</w:t>
      </w:r>
      <w:r>
        <w:rPr>
          <w:rFonts w:ascii="Arial" w:cs="Arial" w:eastAsia="Arial" w:hAnsi="Arial"/>
          <w:sz w:val="22"/>
          <w:szCs w:val="22"/>
          <w:color w:val="auto"/>
        </w:rPr>
        <w:t>" means April 20, 2020.</w:t>
      </w:r>
    </w:p>
    <w:p>
      <w:pPr>
        <w:spacing w:after="0" w:line="206"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 Hedge Agreement</w:t>
      </w:r>
      <w:r>
        <w:rPr>
          <w:rFonts w:ascii="Arial" w:cs="Arial" w:eastAsia="Arial" w:hAnsi="Arial"/>
          <w:sz w:val="19"/>
          <w:szCs w:val="19"/>
          <w:color w:val="auto"/>
        </w:rPr>
        <w:t>" means any and all transactions, agreements, or documents now existing or hereafter entered into between any Loan Party or its Subsidiaries and any party other than a Bank Product Provider, which provide for an interest rate, credit, commodity or equity swap, cap, floor, collar, forward foreign exchange transaction, currency swap, cross currency rate swap, currency option, or any combination of, or option with respect to, these or similar transactions, for the purpose of hedging that Loan Parties' or its Subsidiaries' exposure to fluctuations in interest or exchange rates, loan, credit exchange, security or currency valuations or commodity prices, and not for speculative purposes.</w:t>
      </w:r>
    </w:p>
    <w:p>
      <w:pPr>
        <w:spacing w:after="0" w:line="150"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Hedge Obligations</w:t>
      </w:r>
      <w:r>
        <w:rPr>
          <w:rFonts w:ascii="Arial" w:cs="Arial" w:eastAsia="Arial" w:hAnsi="Arial"/>
          <w:sz w:val="22"/>
          <w:szCs w:val="22"/>
          <w:color w:val="auto"/>
        </w:rPr>
        <w:t>" means any and all obligations or liabilities, whether absolute or contingent, due or to become due, now existing or hereafter arising, of each Loan Party and its Subsidiaries arising under, owing pursuant to, or existing in respect of Third Party Hedge Agreements.</w:t>
      </w:r>
    </w:p>
    <w:p>
      <w:pPr>
        <w:spacing w:after="0" w:line="186" w:lineRule="exact"/>
        <w:rPr>
          <w:sz w:val="20"/>
          <w:szCs w:val="20"/>
          <w:color w:val="auto"/>
        </w:rPr>
      </w:pPr>
    </w:p>
    <w:p>
      <w:pPr>
        <w:jc w:val="both"/>
        <w:ind w:firstLine="1497"/>
        <w:spacing w:after="0" w:line="251"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Commitment</w:t>
      </w:r>
      <w:r>
        <w:rPr>
          <w:rFonts w:ascii="Arial" w:cs="Arial" w:eastAsia="Arial" w:hAnsi="Arial"/>
          <w:sz w:val="21"/>
          <w:szCs w:val="21"/>
          <w:color w:val="auto"/>
        </w:rPr>
        <w:t xml:space="preserve">" means, with respect to each Lender, its Total Commitment, and, with respect to all Lenders, their Total Commitments, in each case as such Dollar amounts are set forth beside such Lender's name under the applicable heading on </w:t>
      </w:r>
      <w:r>
        <w:rPr>
          <w:rFonts w:ascii="Arial" w:cs="Arial" w:eastAsia="Arial" w:hAnsi="Arial"/>
          <w:sz w:val="21"/>
          <w:szCs w:val="21"/>
          <w:u w:val="single" w:color="auto"/>
          <w:color w:val="auto"/>
        </w:rPr>
        <w:t>Schedule C</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1</w:t>
      </w:r>
      <w:r>
        <w:rPr>
          <w:rFonts w:ascii="Arial" w:cs="Arial" w:eastAsia="Arial" w:hAnsi="Arial"/>
          <w:sz w:val="21"/>
          <w:szCs w:val="21"/>
          <w:color w:val="auto"/>
        </w:rPr>
        <w:t xml:space="preserve"> attached hereto or on the signature page of the Assignment and Acceptance pursuant to which such Lender became a Lender hereunder in accordance with the provisions of </w:t>
      </w:r>
      <w:r>
        <w:rPr>
          <w:rFonts w:ascii="Arial" w:cs="Arial" w:eastAsia="Arial" w:hAnsi="Arial"/>
          <w:sz w:val="21"/>
          <w:szCs w:val="21"/>
          <w:u w:val="single" w:color="auto"/>
          <w:color w:val="auto"/>
        </w:rPr>
        <w:t>Section 14.1</w:t>
      </w:r>
      <w:r>
        <w:rPr>
          <w:rFonts w:ascii="Arial" w:cs="Arial" w:eastAsia="Arial" w:hAnsi="Arial"/>
          <w:sz w:val="21"/>
          <w:szCs w:val="21"/>
          <w:color w:val="auto"/>
        </w:rPr>
        <w:t>.</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Trademark Security Agreement</w:t>
      </w:r>
      <w:r>
        <w:rPr>
          <w:rFonts w:ascii="Arial" w:cs="Arial" w:eastAsia="Arial" w:hAnsi="Arial"/>
          <w:sz w:val="22"/>
          <w:szCs w:val="22"/>
          <w:color w:val="auto"/>
        </w:rPr>
        <w:t>" means a trademark security agreement executed and delivered by certain Loan Parties and Agent, the form and substance of which is satisfactory to Agent.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2" w:name="page93"/>
    <w:bookmarkEnd w:id="92"/>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UCP</w:t>
      </w:r>
      <w:r>
        <w:rPr>
          <w:rFonts w:ascii="Arial" w:cs="Arial" w:eastAsia="Arial" w:hAnsi="Arial"/>
          <w:sz w:val="22"/>
          <w:szCs w:val="22"/>
          <w:color w:val="auto"/>
        </w:rPr>
        <w:t>" means, with respect to any Letter of Credit, the Uniform Customs and Practice for Documentary Credits 2007 Revision, International Chamber of Commerce Publication No. 600 and any version or revision thereof accepted by Issuing Bank for use.</w:t>
      </w:r>
    </w:p>
    <w:p>
      <w:pPr>
        <w:spacing w:after="0" w:line="18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u w:val="single" w:color="auto"/>
          <w:color w:val="0000FF"/>
        </w:rPr>
        <w:t>"UK Financial Institution"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"UK Resolution Authority" means the Bank of England or any other public administrative authority having responsibility for the resolution of any UK Financial Institution.</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"Unadjusted Benchmark Replacement" means the applicable Benchmark Replacement excluding the related Benchmark Replacement Adjustment.</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Underlying Issuer</w:t>
      </w:r>
      <w:r>
        <w:rPr>
          <w:rFonts w:ascii="Arial" w:cs="Arial" w:eastAsia="Arial" w:hAnsi="Arial"/>
          <w:sz w:val="22"/>
          <w:szCs w:val="22"/>
          <w:color w:val="auto"/>
        </w:rPr>
        <w:t xml:space="preserve"> " means a third Person which is the beneficiary of an L/C Undertaking and which has issued a letter of credit at the request of the Issuing Bank for the benefit of Loan Parties.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Underlying Letter of Credit</w:t>
      </w:r>
      <w:r>
        <w:rPr>
          <w:rFonts w:ascii="Arial" w:cs="Arial" w:eastAsia="Arial" w:hAnsi="Arial"/>
          <w:sz w:val="22"/>
          <w:szCs w:val="22"/>
          <w:color w:val="auto"/>
        </w:rPr>
        <w:t>" means a letter of credit that has been issued by an Underlying Issuer.</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means any subsidiary of the Parent that (i) is acquired or formed after the Restatement Effective Date (except as set forth below), (ii) is designated in writing to the Agent as an Unrestricted Subsidiary and (iii) satisfies each of the following conditions: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such Subsidiary is not a Loan Party,</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such Subsidiary has no Indebtedness other than Non-Recourse Debt, except for (i) the guaranty by the Parent of Indebtedness incurred by Zena under the Zena Credit Documents, to the extent such guaranty is permitted hereunder and (ii) Indebtedness of Zena in respect of its guaranty of the LSB Notes;</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such Subsidiary is not party to any agreement, contract, arrangement or understanding with the Parent or any of its Subsidiaries unless the terms of any such agreement, contract, arrangement or understanding are in compliance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7.14</w:t>
      </w:r>
      <w:r>
        <w:rPr>
          <w:rFonts w:ascii="Arial" w:cs="Arial" w:eastAsia="Arial" w:hAnsi="Arial"/>
          <w:sz w:val="22"/>
          <w:szCs w:val="22"/>
          <w:color w:val="auto"/>
        </w:rPr>
        <w:t>,</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neither the Parent nor any of its Subsidiaries has any direct or indirect obligation (x) to subscribe for additional equity interests in such Subsidiary or (y) to maintain or preserve such Subsidiary's financial condition or to cause such Subsidiary to achieve any specified levels of operating results,</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such Subsidiary has not guaranteed or otherwise directly or indirectly provided credit support (including by granting Liens on its assets) for any Indebtedness of the Parent or any of its Subsidiaries, other than the guaranty by Zena of the Parent's obligations under the LSB Notes,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color w:val="auto"/>
        </w:rPr>
        <w:t>such Subsidiary does not and will not commingle its funds or assets with those of the Parent or its Subsidiaries;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any Investment made after the Restatement Effective Date by the Parent and its Subsidiaries in such Subsidiary, when aggregated with all other Investments by the Parent and its Restricted Subsidiaries in all other Unrestricted Subsidiaries, does not exceed the amounts permitted under clauses (l), (m), (n) and (o) of the definition of Permitted Investments.</w:t>
      </w:r>
    </w:p>
    <w:p>
      <w:pPr>
        <w:spacing w:after="0" w:line="134"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As of the Restatement Effective Date, the Parent hereby continues to designate Zena as an Unrestricted Subsidiary and confirms and acknowledges that Zena satisfies the requirements set forth in clauses (a) through (g) above. The Parent may designate any newly created (or acquired) Subsidiary of the Parent to be an Unrestricted Subsidiary by notifying the Agent in writing of such designation.</w:t>
      </w:r>
    </w:p>
    <w:p>
      <w:pPr>
        <w:spacing w:after="0" w:line="185"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u w:val="single" w:color="auto"/>
          <w:color w:val="0000FF"/>
        </w:rPr>
        <w:t>"U.S. Government Securities Business Day" means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 provided, that for purposes of notice requirements in Sections 2.3(a), 2.3(c) and 2.13(b), in each case, such day is also a Business Day.</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9"/>
          <w:szCs w:val="19"/>
          <w:u w:val="single" w:color="auto"/>
          <w:color w:val="0000FF"/>
        </w:rPr>
        <w:t>"U.S. Special Resolution Regimes" has the meaning specified therefor in Section 17.14 of this Agreement.</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Voidable Transfer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17.7</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Wells Fargo</w:t>
      </w:r>
      <w:r>
        <w:rPr>
          <w:rFonts w:ascii="Arial" w:cs="Arial" w:eastAsia="Arial" w:hAnsi="Arial"/>
          <w:sz w:val="22"/>
          <w:szCs w:val="22"/>
          <w:color w:val="auto"/>
        </w:rPr>
        <w:t>" means Wells Fargo Bank, National Association, a national banking association.</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WFCF</w:t>
      </w:r>
      <w:r>
        <w:rPr>
          <w:rFonts w:ascii="Arial" w:cs="Arial" w:eastAsia="Arial" w:hAnsi="Arial"/>
          <w:sz w:val="22"/>
          <w:szCs w:val="22"/>
          <w:color w:val="auto"/>
        </w:rPr>
        <w:t>" has the meaning set forth in the preamble to this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any Loan Party and the Agent.</w:t>
      </w:r>
    </w:p>
    <w:p>
      <w:pPr>
        <w:spacing w:after="0" w:line="206" w:lineRule="exact"/>
        <w:rPr>
          <w:sz w:val="20"/>
          <w:szCs w:val="20"/>
          <w:color w:val="auto"/>
        </w:rPr>
      </w:pPr>
    </w:p>
    <w:p>
      <w:pPr>
        <w:jc w:val="both"/>
        <w:ind w:firstLine="1497"/>
        <w:spacing w:after="0" w:line="233" w:lineRule="auto"/>
        <w:rPr>
          <w:sz w:val="20"/>
          <w:szCs w:val="20"/>
          <w:color w:val="auto"/>
        </w:rPr>
      </w:pPr>
      <w:r>
        <w:rPr>
          <w:rFonts w:ascii="Arial" w:cs="Arial" w:eastAsia="Arial" w:hAnsi="Arial"/>
          <w:sz w:val="22"/>
          <w:szCs w:val="22"/>
          <w:u w:val="single" w:color="auto"/>
          <w:color w:val="0000FF"/>
        </w:rPr>
        <w:t>"Write-Down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Zena</w:t>
      </w:r>
      <w:r>
        <w:rPr>
          <w:rFonts w:ascii="Arial" w:cs="Arial" w:eastAsia="Arial" w:hAnsi="Arial"/>
          <w:sz w:val="22"/>
          <w:szCs w:val="22"/>
          <w:color w:val="auto"/>
        </w:rPr>
        <w:t>" means Zena Energy L.L.C., an Oklahoma limited liability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4" w:name="page95"/>
    <w:bookmarkEnd w:id="94"/>
    <w:p>
      <w:pPr>
        <w:jc w:val="both"/>
        <w:ind w:firstLine="14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Zena Credit Documents</w:t>
      </w:r>
      <w:r>
        <w:rPr>
          <w:rFonts w:ascii="Arial" w:cs="Arial" w:eastAsia="Arial" w:hAnsi="Arial"/>
          <w:sz w:val="19"/>
          <w:szCs w:val="19"/>
          <w:color w:val="auto"/>
        </w:rPr>
        <w:t>" means (i) that certain Promissory Note, dated February 1, 2013, in the principal face amount of $35,000,000, executed by Zena in favor of International Bank of Commerce ("</w:t>
      </w:r>
      <w:r>
        <w:rPr>
          <w:rFonts w:ascii="Arial" w:cs="Arial" w:eastAsia="Arial" w:hAnsi="Arial"/>
          <w:sz w:val="19"/>
          <w:szCs w:val="19"/>
          <w:u w:val="single" w:color="auto"/>
          <w:color w:val="auto"/>
        </w:rPr>
        <w:t>IBC</w:t>
      </w:r>
      <w:r>
        <w:rPr>
          <w:rFonts w:ascii="Arial" w:cs="Arial" w:eastAsia="Arial" w:hAnsi="Arial"/>
          <w:sz w:val="19"/>
          <w:szCs w:val="19"/>
          <w:color w:val="auto"/>
        </w:rPr>
        <w:t>"), and (ii) that certain Leasehold Mortgage, Security Agreement, Assignment and Fixture Filing, dated February 1, 2013 from Zena to IBC, in each case entered into in connection with the acquisition or development of working interests in certain natural gas properties, together with the related documents thereto, in each case as such agreements may be amended (including any amendment and restatement thereof), supplemented or otherwise modified from time to time, including one or more promissory notes, credit agreements, loan agreements, indentures or similar agreements extending the maturity of, refinancing, replacing, renewing or otherwise restructuring all or any portion of the Indebtedness under such agreement or agreements or any successor or replacement agreement or agreements and whether by the same or any other lender or group of lenders.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Accounting Terms</w:t>
      </w:r>
    </w:p>
    <w:p>
      <w:pPr>
        <w:spacing w:after="0" w:line="212" w:lineRule="exact"/>
        <w:rPr>
          <w:sz w:val="20"/>
          <w:szCs w:val="20"/>
          <w:color w:val="auto"/>
        </w:rPr>
      </w:pPr>
    </w:p>
    <w:p>
      <w:pPr>
        <w:jc w:val="both"/>
        <w:ind w:firstLine="8"/>
        <w:spacing w:after="0" w:line="252" w:lineRule="auto"/>
        <w:tabs>
          <w:tab w:leader="none" w:pos="163" w:val="left"/>
        </w:tabs>
        <w:numPr>
          <w:ilvl w:val="0"/>
          <w:numId w:val="44"/>
        </w:numPr>
        <w:rPr>
          <w:rFonts w:ascii="Arial" w:cs="Arial" w:eastAsia="Arial" w:hAnsi="Arial"/>
          <w:sz w:val="21"/>
          <w:szCs w:val="21"/>
          <w:color w:val="auto"/>
        </w:rPr>
      </w:pPr>
      <w:r>
        <w:rPr>
          <w:rFonts w:ascii="Arial" w:cs="Arial" w:eastAsia="Arial" w:hAnsi="Arial"/>
          <w:sz w:val="21"/>
          <w:szCs w:val="21"/>
          <w:color w:val="auto"/>
        </w:rPr>
        <w:t>All accounting terms not specifically defined herein shall be construed in accordance with GAAP. When used herein, the term "financial statements" shall include the notes and schedules thereto. Whenever the terms "Borrowers", "Guarantors", "Loan Parties" or the term "Parent" is used in respect of a financial covenant or a related definition, it shall be understood to mean Parent and its Subsidiaries on a consolidated basis unless the context clearly requires otherwise.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Code</w:t>
      </w:r>
    </w:p>
    <w:p>
      <w:pPr>
        <w:spacing w:after="0" w:line="212" w:lineRule="exact"/>
        <w:rPr>
          <w:sz w:val="20"/>
          <w:szCs w:val="20"/>
          <w:color w:val="auto"/>
        </w:rPr>
      </w:pPr>
    </w:p>
    <w:p>
      <w:pPr>
        <w:ind w:firstLine="8"/>
        <w:spacing w:after="0" w:line="250" w:lineRule="auto"/>
        <w:tabs>
          <w:tab w:leader="none" w:pos="179"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terms used in this Agreement that are defined in the Code shall be construed and defined as set forth in the Code unless otherwise defined herein.</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Construction</w:t>
      </w:r>
    </w:p>
    <w:p>
      <w:pPr>
        <w:spacing w:after="0" w:line="212" w:lineRule="exact"/>
        <w:rPr>
          <w:sz w:val="20"/>
          <w:szCs w:val="20"/>
          <w:color w:val="auto"/>
        </w:rPr>
      </w:pPr>
    </w:p>
    <w:p>
      <w:pPr>
        <w:jc w:val="both"/>
        <w:ind w:firstLine="8"/>
        <w:spacing w:after="0" w:line="271" w:lineRule="auto"/>
        <w:tabs>
          <w:tab w:leader="none" w:pos="188"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Unless the context of this Agreement or any other Loan Document clearly requires otherwise, references to the plural include the singular, references to the singular include the plural, the term "including" is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the other Loan Documents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Any reference herein to any Person shall be construed to include such Person's successors and assigns. Any requirement of a writing contained herein or in the other Loan Documents shall be satisfied by the transmission of a Record and any Record transmitted shall constitute a representation and warranty as to the accuracy and completeness of the information contained therein. All accounting terms not specifically defined herein shall be construed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Borrowers notify Agent that Borrowers request an amendment to any provision hereof to eliminate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5" w:name="page96"/>
    <w:bookmarkEnd w:id="95"/>
    <w:p>
      <w:pPr>
        <w:jc w:val="both"/>
        <w:spacing w:after="0" w:line="245" w:lineRule="auto"/>
        <w:rPr>
          <w:sz w:val="20"/>
          <w:szCs w:val="20"/>
          <w:color w:val="auto"/>
        </w:rPr>
      </w:pPr>
      <w:r>
        <w:rPr>
          <w:rFonts w:ascii="Arial" w:cs="Arial" w:eastAsia="Arial" w:hAnsi="Arial"/>
          <w:sz w:val="21"/>
          <w:szCs w:val="21"/>
          <w:color w:val="auto"/>
        </w:rPr>
        <w:t>the effect of any change in GAAP occurring or required to be implemented after the Restatement Effective Date or in the application thereof on the operation of such provision (or if Agent notifies Borrowers that the Required Lenders request an amendment to any provision hereof for such purpose), regardless of whether any such notice is given before or after such change in GAAP occurs or is required to be implemented or in the application thereof, then Agent, Borrowers and the Lenders agree that they will negotiate in good faith amendments to the provisions of this Agreement that are affected by such change in GAAP with the intent of having the respective positions of the Lenders and Borrowers after such change in GAAP conform as nearly as possible to their respective positions as of the Restatement Effective Date and, until any such amendments have been agreed upon by Agent, Borrowers and the Required Lenders, the provisions in this Agreement shall be calculated as if no such change in GAAP had occurred.</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Schedules and Exhibits</w:t>
      </w:r>
    </w:p>
    <w:p>
      <w:pPr>
        <w:spacing w:after="0" w:line="212"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All of the schedules and exhibits attached to this Agreement shall be deemed incorporated herein by reference.</w:t>
      </w:r>
    </w:p>
    <w:p>
      <w:pPr>
        <w:spacing w:after="0" w:line="200"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b w:val="1"/>
          <w:bCs w:val="1"/>
          <w:color w:val="FF0000"/>
          <w:strike w:val="1"/>
        </w:rPr>
        <w:t xml:space="preserve">1.6   </w:t>
      </w:r>
      <w:r>
        <w:rPr>
          <w:rFonts w:ascii="Arial" w:cs="Arial" w:eastAsia="Arial" w:hAnsi="Arial"/>
          <w:sz w:val="22"/>
          <w:szCs w:val="22"/>
          <w:b w:val="1"/>
          <w:bCs w:val="1"/>
          <w:u w:val="single" w:color="auto"/>
          <w:color w:val="000000"/>
          <w:strike w:val="1"/>
        </w:rPr>
        <w:t>Time References</w:t>
      </w:r>
    </w:p>
    <w:p>
      <w:pPr>
        <w:spacing w:after="0" w:line="212" w:lineRule="exact"/>
        <w:rPr>
          <w:sz w:val="20"/>
          <w:szCs w:val="20"/>
          <w:color w:val="auto"/>
        </w:rPr>
      </w:pPr>
    </w:p>
    <w:p>
      <w:pPr>
        <w:jc w:val="both"/>
        <w:ind w:firstLine="8"/>
        <w:spacing w:after="0" w:line="282" w:lineRule="auto"/>
        <w:tabs>
          <w:tab w:leader="none" w:pos="167"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Unless the context of this Agreement or any other Loan Document clearly requires otherwise, all references to time of day refer to Pacific standard time or Pacific daylight saving time, as in effect in Los Angeles, California on such day. For purposes of the computation of a period of time from a specified date to a later specified date, unless otherwise expressly provided, the word "from" means "from and including" and the words "to" and "until" each means "to and including";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 computation of fees or interest payable to Agent or any Lender, such period shall in any event consist of at least one full day.</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0000FF"/>
        </w:rPr>
        <w:t>Rates</w:t>
      </w:r>
    </w:p>
    <w:p>
      <w:pPr>
        <w:spacing w:after="0" w:line="212" w:lineRule="exact"/>
        <w:rPr>
          <w:sz w:val="20"/>
          <w:szCs w:val="20"/>
          <w:color w:val="auto"/>
        </w:rPr>
      </w:pPr>
    </w:p>
    <w:p>
      <w:pPr>
        <w:jc w:val="both"/>
        <w:ind w:firstLine="8"/>
        <w:spacing w:after="0" w:line="271" w:lineRule="auto"/>
        <w:tabs>
          <w:tab w:leader="none" w:pos="163" w:val="left"/>
        </w:tabs>
        <w:numPr>
          <w:ilvl w:val="0"/>
          <w:numId w:val="49"/>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Agent does not warrant or accept any responsibility for, and shall not have any liability with respect to, (a) the continuation of, administration of, submission of, calculation of or any other matter related to the Term SOFR Reference Rate, Adjusted Term SOFR,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Section 2.13(d)(iii),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Agent and its affiliates or other related entities may engage in transactions that affect the calculation of the Term SOFR Reference Rate, Adjusted Term SOFR, Term SOFR, any alternative, successor or replacement rate (including any Benchmark Replacement) or any relevant adjustments thereto and such transactions may be adverse to a Borrower. Agent may select information sources or services in its reasonable discretion to ascertain the Term SOFR Reference Rate, Adjusted Term SOFR or Term SOFR, or any other Benchmark, any component definition thereof or rates referred to in the definition thereof, in each case pursuant to the terms of this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6" w:name="page97"/>
    <w:bookmarkEnd w:id="96"/>
    <w:p>
      <w:pPr>
        <w:jc w:val="both"/>
        <w:spacing w:after="0" w:line="238" w:lineRule="auto"/>
        <w:rPr>
          <w:sz w:val="20"/>
          <w:szCs w:val="20"/>
          <w:color w:val="auto"/>
        </w:rPr>
      </w:pPr>
      <w:r>
        <w:rPr>
          <w:rFonts w:ascii="Arial" w:cs="Arial" w:eastAsia="Arial" w:hAnsi="Arial"/>
          <w:sz w:val="22"/>
          <w:szCs w:val="22"/>
          <w:u w:val="single" w:color="auto"/>
          <w:color w:val="0000FF"/>
        </w:rPr>
        <w:t>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AND TERMS OF PAYMENT.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Advances</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 xml:space="preserve">Subject to the terms and conditions of this Agreement (including, without limitation, the restriction on requesting Advances in </w:t>
      </w:r>
      <w:r>
        <w:rPr>
          <w:rFonts w:ascii="Arial" w:cs="Arial" w:eastAsia="Arial" w:hAnsi="Arial"/>
          <w:sz w:val="19"/>
          <w:szCs w:val="19"/>
          <w:u w:val="single" w:color="auto"/>
          <w:color w:val="auto"/>
        </w:rPr>
        <w:t>Section 7.8(a)</w:t>
      </w:r>
      <w:r>
        <w:rPr>
          <w:rFonts w:ascii="Arial" w:cs="Arial" w:eastAsia="Arial" w:hAnsi="Arial"/>
          <w:sz w:val="19"/>
          <w:szCs w:val="19"/>
          <w:color w:val="auto"/>
        </w:rPr>
        <w:t xml:space="preserve"> ), and during the term of this Agreement, each Lender with a Revolver Commitment agrees (severally, not jointly or jointly and severally) to make advances (" </w:t>
      </w:r>
      <w:r>
        <w:rPr>
          <w:rFonts w:ascii="Arial" w:cs="Arial" w:eastAsia="Arial" w:hAnsi="Arial"/>
          <w:sz w:val="19"/>
          <w:szCs w:val="19"/>
          <w:u w:val="single" w:color="auto"/>
          <w:color w:val="auto"/>
        </w:rPr>
        <w:t>Advances</w:t>
      </w:r>
      <w:r>
        <w:rPr>
          <w:rFonts w:ascii="Arial" w:cs="Arial" w:eastAsia="Arial" w:hAnsi="Arial"/>
          <w:sz w:val="19"/>
          <w:szCs w:val="19"/>
          <w:color w:val="auto"/>
        </w:rPr>
        <w:t>") to Borrowers in an amount at any one time outstanding not to exceed such Lender's Pro Rata Share of an amount equal to the lesser of (i) the Maximum Revolver Amount less the Letter of Credit Usage or (ii) the Borrowing Base less the Letter of Credit Usage. For purposes of this Agreement, "</w:t>
      </w:r>
      <w:r>
        <w:rPr>
          <w:rFonts w:ascii="Arial" w:cs="Arial" w:eastAsia="Arial" w:hAnsi="Arial"/>
          <w:sz w:val="19"/>
          <w:szCs w:val="19"/>
          <w:u w:val="single" w:color="auto"/>
          <w:color w:val="auto"/>
        </w:rPr>
        <w:t>Borrowing Base</w:t>
      </w:r>
      <w:r>
        <w:rPr>
          <w:rFonts w:ascii="Arial" w:cs="Arial" w:eastAsia="Arial" w:hAnsi="Arial"/>
          <w:sz w:val="19"/>
          <w:szCs w:val="19"/>
          <w:color w:val="auto"/>
        </w:rPr>
        <w:t>," as of any date of determination, shall mean the result of the following for all Borrowers:</w:t>
      </w:r>
    </w:p>
    <w:p>
      <w:pPr>
        <w:spacing w:after="0" w:line="150" w:lineRule="exact"/>
        <w:rPr>
          <w:sz w:val="20"/>
          <w:szCs w:val="20"/>
          <w:color w:val="auto"/>
        </w:rPr>
      </w:pPr>
    </w:p>
    <w:p>
      <w:pPr>
        <w:ind w:left="1500" w:firstLine="1498"/>
        <w:spacing w:after="0" w:line="250" w:lineRule="auto"/>
        <w:rPr>
          <w:sz w:val="20"/>
          <w:szCs w:val="20"/>
          <w:color w:val="auto"/>
        </w:rPr>
      </w:pPr>
      <w:r>
        <w:rPr>
          <w:rFonts w:ascii="Arial" w:cs="Arial" w:eastAsia="Arial" w:hAnsi="Arial"/>
          <w:sz w:val="22"/>
          <w:szCs w:val="22"/>
          <w:color w:val="auto"/>
        </w:rPr>
        <w:t>85% of the amount of Eligible Accounts of such Borrowers, less the amount, if any, of the sum of the Dilution Reserve, plus</w:t>
      </w:r>
    </w:p>
    <w:p>
      <w:pPr>
        <w:spacing w:after="0" w:line="17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the lowest of</w:t>
      </w:r>
    </w:p>
    <w:p>
      <w:pPr>
        <w:spacing w:after="0" w:line="206"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$45,000,000, and</w:t>
      </w:r>
    </w:p>
    <w:p>
      <w:pPr>
        <w:spacing w:after="0" w:line="206" w:lineRule="exact"/>
        <w:rPr>
          <w:sz w:val="20"/>
          <w:szCs w:val="20"/>
          <w:color w:val="auto"/>
        </w:rPr>
      </w:pPr>
    </w:p>
    <w:p>
      <w:pPr>
        <w:jc w:val="both"/>
        <w:ind w:left="2260" w:firstLine="1498"/>
        <w:spacing w:after="0"/>
        <w:rPr>
          <w:sz w:val="20"/>
          <w:szCs w:val="20"/>
          <w:color w:val="auto"/>
        </w:rPr>
      </w:pPr>
      <w:r>
        <w:rPr>
          <w:rFonts w:ascii="Arial" w:cs="Arial" w:eastAsia="Arial" w:hAnsi="Arial"/>
          <w:sz w:val="22"/>
          <w:szCs w:val="22"/>
          <w:color w:val="auto"/>
        </w:rPr>
        <w:t>the lesser of (i) 65% of the aggregate value of such Borrowers' Eligible Inventory and Eligible Raw Inventory, and (ii) 85% of the aggregate Net Orderly Liquidation Value of such Borrowers' Eligible Inventory and Eligible Raw Inventory, minus</w:t>
      </w:r>
    </w:p>
    <w:p>
      <w:pPr>
        <w:spacing w:after="0" w:line="186" w:lineRule="exact"/>
        <w:rPr>
          <w:sz w:val="20"/>
          <w:szCs w:val="20"/>
          <w:color w:val="auto"/>
        </w:rPr>
      </w:pPr>
    </w:p>
    <w:p>
      <w:pPr>
        <w:ind w:left="1500" w:firstLine="1498"/>
        <w:spacing w:after="0" w:line="250" w:lineRule="auto"/>
        <w:rPr>
          <w:sz w:val="20"/>
          <w:szCs w:val="20"/>
          <w:color w:val="auto"/>
        </w:rPr>
      </w:pPr>
      <w:r>
        <w:rPr>
          <w:rFonts w:ascii="Arial" w:cs="Arial" w:eastAsia="Arial" w:hAnsi="Arial"/>
          <w:sz w:val="22"/>
          <w:szCs w:val="22"/>
          <w:color w:val="auto"/>
        </w:rPr>
        <w:t xml:space="preserve">the sum of (1) the Bank Products Reserve, and (2) the aggregate amount of reserves, if any, established by Agent under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175" w:lineRule="exact"/>
        <w:rPr>
          <w:sz w:val="20"/>
          <w:szCs w:val="20"/>
          <w:color w:val="auto"/>
        </w:rPr>
      </w:pPr>
    </w:p>
    <w:p>
      <w:pPr>
        <w:jc w:val="both"/>
        <w:ind w:firstLine="1497"/>
        <w:spacing w:after="0" w:line="246" w:lineRule="exact"/>
        <w:rPr>
          <w:sz w:val="20"/>
          <w:szCs w:val="20"/>
          <w:color w:val="auto"/>
        </w:rPr>
      </w:pPr>
      <w:r>
        <w:rPr>
          <w:rFonts w:ascii="Arial" w:cs="Arial" w:eastAsia="Arial" w:hAnsi="Arial"/>
          <w:sz w:val="19"/>
          <w:szCs w:val="19"/>
          <w:color w:val="auto"/>
        </w:rPr>
        <w:t xml:space="preserve">Anything to the contrary in this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notwithstanding, Agent shall have the right, upon at least three (3) Business Days' prior written notice to the Administrative Borrower, to establish reserves in such amounts, and with respect to such matters, as Agent in its Permitted Discretion shall deem necessary or appropriate, against the Borrowing Base, including reserves with respect to (i) sums that Borrowers are required to pay (such as taxes, assessments, insurance premiums, or, in the case of leased assets, rents or other amounts payable under such leases) and has failed to pay under any Section of this Agreement or any other Loan Document, and (ii) amounts owing by Borrowers to any Person to the extent secured by a Lien on, or trust over, any of the ABL Priority Collateral (other than any existing Permitted Lien set forth on </w:t>
      </w:r>
      <w:r>
        <w:rPr>
          <w:rFonts w:ascii="Arial" w:cs="Arial" w:eastAsia="Arial" w:hAnsi="Arial"/>
          <w:sz w:val="19"/>
          <w:szCs w:val="19"/>
          <w:u w:val="single" w:color="auto"/>
          <w:color w:val="auto"/>
        </w:rPr>
        <w:t>Schedule P</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which is specifically identified thereon as entitled to have priority over the Agent's Liens), which Lien or trust, in the Permitted Discretion of Agent likely would have a priority superior to the Agent's Liens (such as Liens or trusts in favor of landlords, warehousemen, carriers, mechanics, materialmen, laborers, or suppliers, or Liens or trusts for ad valorem, excise, sales, or other taxes where given priority under applicable law) in and to such item of the ABL Priority Collateral, it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7" w:name="page98"/>
    <w:bookmarkEnd w:id="97"/>
    <w:p>
      <w:pPr>
        <w:jc w:val="both"/>
        <w:spacing w:after="0" w:line="273" w:lineRule="auto"/>
        <w:rPr>
          <w:sz w:val="20"/>
          <w:szCs w:val="20"/>
          <w:color w:val="auto"/>
        </w:rPr>
      </w:pPr>
      <w:r>
        <w:rPr>
          <w:rFonts w:ascii="Arial" w:cs="Arial" w:eastAsia="Arial" w:hAnsi="Arial"/>
          <w:sz w:val="19"/>
          <w:szCs w:val="19"/>
          <w:color w:val="auto"/>
        </w:rPr>
        <w:t xml:space="preserve">being understood and agreed that the Borrowers may request an explanation of any such reserves established and the Agent agrees to provide a reasonable explanation (if so requested), but the imposition of such reserves shall not be delayed, withheld, conditioned or contingent on the Agent providing any such explanation. In addition to the foregoing, Agent shall have the right to have the Inventory reappraised by a qualified appraisal company selected by Agent from time to time after the Original Closing Date for the purpose of redetermining the Net Orderly Liquidation Value of the Eligible Inventory and/or the Eligible Raw Inventory, which appraisals, so long as no Default or Event of Default shall have occurred and be continuing, shall be conducted at Borrowers' expense no more frequently than once during any twelve month period, and, after the occurrence and during the continuance of a Default or an Event of Default, at Borrowers' expense as frequently as Agent shall determine. Based upon the results of any such redetermination, and any other information received from the collateral reporting required under </w:t>
      </w:r>
      <w:r>
        <w:rPr>
          <w:rFonts w:ascii="Arial" w:cs="Arial" w:eastAsia="Arial" w:hAnsi="Arial"/>
          <w:sz w:val="19"/>
          <w:szCs w:val="19"/>
          <w:u w:val="single" w:color="auto"/>
          <w:color w:val="auto"/>
        </w:rPr>
        <w:t>Section 6.2</w:t>
      </w:r>
      <w:r>
        <w:rPr>
          <w:rFonts w:ascii="Arial" w:cs="Arial" w:eastAsia="Arial" w:hAnsi="Arial"/>
          <w:sz w:val="19"/>
          <w:szCs w:val="19"/>
          <w:color w:val="auto"/>
        </w:rPr>
        <w:t>, Agent may, in its Permitted Discretion, redetermine the Borrowing Base.</w:t>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22"/>
          <w:szCs w:val="22"/>
          <w:color w:val="FF0000"/>
          <w:strike w:val="1"/>
        </w:rPr>
        <w:t>Intentionally deleted</w:t>
      </w:r>
      <w:r>
        <w:rPr>
          <w:rFonts w:ascii="Arial" w:cs="Arial" w:eastAsia="Arial" w:hAnsi="Arial"/>
          <w:sz w:val="22"/>
          <w:szCs w:val="22"/>
          <w:u w:val="single" w:color="auto"/>
          <w:color w:val="0000FF"/>
        </w:rPr>
        <w:t>[</w:t>
      </w:r>
      <w:r>
        <w:rPr>
          <w:rFonts w:ascii="Arial" w:cs="Arial" w:eastAsia="Arial" w:hAnsi="Arial"/>
          <w:sz w:val="22"/>
          <w:szCs w:val="22"/>
          <w:i w:val="1"/>
          <w:iCs w:val="1"/>
          <w:u w:val="single" w:color="auto"/>
          <w:color w:val="0000FF"/>
        </w:rPr>
        <w:t>intentionally omitted</w:t>
      </w:r>
      <w:r>
        <w:rPr>
          <w:rFonts w:ascii="Arial" w:cs="Arial" w:eastAsia="Arial" w:hAnsi="Arial"/>
          <w:sz w:val="22"/>
          <w:szCs w:val="22"/>
          <w:u w:val="single" w:color="auto"/>
          <w:color w:val="0000FF"/>
        </w:rPr>
        <w:t>]</w:t>
      </w:r>
      <w:r>
        <w:rPr>
          <w:rFonts w:ascii="Arial" w:cs="Arial" w:eastAsia="Arial" w:hAnsi="Arial"/>
          <w:sz w:val="22"/>
          <w:szCs w:val="22"/>
          <w:color w:val="000000"/>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Notwithstanding the foregoing, the aggregate principal amount of Advances made by the Lenders based upon the aggregate value of Borrowers' Eligible Inventory included in the Borrowing Base shall not exceed the aggregate principal amount of Advances made by the Lenders based upon the aggregate amount of Borrowers' Eligible Accounts included in the Borrowing Base.</w:t>
      </w:r>
    </w:p>
    <w:p>
      <w:pPr>
        <w:spacing w:after="0" w:line="185"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Notwithstanding the foregoing, the aggregate principal amount of Advances made by the Lenders based upon the aggregate value of Borrowers' In-Transit (excluding Inventory that is in transit and that is being relocated by the Loan Parties and their respective employees rather than via a third party carrier in the ordinary course of business) Inventory shall not exceed $5,000,000. In addition, all amounts payable to common carriers in respect of Borrowers' In-Transit Inventory shall be deducted by Agent from the proceeds of Advances made by Lenders in respect of such In-Transit Inventory.</w:t>
      </w:r>
    </w:p>
    <w:p>
      <w:pPr>
        <w:spacing w:after="0" w:line="147"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The Lenders with Revolver Commitments shall have no obligation to make additional Advances hereunder to the extent such additional Advances would cause the Revolver Usage to exceed the Maximum Revolver Amount.</w:t>
      </w:r>
    </w:p>
    <w:p>
      <w:pPr>
        <w:spacing w:after="0" w:line="10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Amounts borrowed pursuant to this Section may be repaid and, subject to the terms and conditions of this Agreement, reborrowed at any time during the term of this Agreement.</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2.1</w:t>
      </w:r>
      <w:r>
        <w:rPr>
          <w:rFonts w:ascii="Arial" w:cs="Arial" w:eastAsia="Arial" w:hAnsi="Arial"/>
          <w:sz w:val="22"/>
          <w:szCs w:val="22"/>
          <w:color w:val="auto"/>
        </w:rPr>
        <w:t>, the Borrowers hereby acknowledge, confirm and agree that immediately prior to the Restatement Effective Date, the existing outstanding principal amount of the Advances under and as defined in the Original Loan Facility is equal to $0.00 (such Indebtedness being hereinafter referred to as the "</w:t>
      </w:r>
      <w:r>
        <w:rPr>
          <w:rFonts w:ascii="Arial" w:cs="Arial" w:eastAsia="Arial" w:hAnsi="Arial"/>
          <w:sz w:val="22"/>
          <w:szCs w:val="22"/>
          <w:u w:val="single" w:color="auto"/>
          <w:color w:val="auto"/>
        </w:rPr>
        <w:t>Original Revolver Indebtedness</w:t>
      </w:r>
      <w:r>
        <w:rPr>
          <w:rFonts w:ascii="Arial" w:cs="Arial" w:eastAsia="Arial" w:hAnsi="Arial"/>
          <w:sz w:val="22"/>
          <w:szCs w:val="22"/>
          <w:color w:val="auto"/>
        </w:rPr>
        <w:t>").</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auto"/>
        </w:rPr>
        <w:t>Increase in Revolving Commitments</w:t>
      </w:r>
      <w:r>
        <w:rPr>
          <w:rFonts w:ascii="Arial" w:cs="Arial" w:eastAsia="Arial" w:hAnsi="Arial"/>
          <w:sz w:val="22"/>
          <w:szCs w:val="22"/>
          <w:color w:val="auto"/>
        </w:rPr>
        <w:t>.</w:t>
      </w:r>
    </w:p>
    <w:p>
      <w:pPr>
        <w:spacing w:after="0" w:line="206"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At the option of the Borrowers (but subject to the conditions set forth in clause (ii) below), the Total Commitments and the Maximum Revolver Amount may each be increased by an aggregate amount after the Third Amendment Date not to exceed $10,000,000, less the aggregate principal amount of the CARES Unforgiven Debt outstanding at such time (each</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8" w:name="page99"/>
    <w:bookmarkEnd w:id="98"/>
    <w:p>
      <w:pPr>
        <w:jc w:val="both"/>
        <w:spacing w:after="0" w:line="234" w:lineRule="auto"/>
        <w:rPr>
          <w:sz w:val="20"/>
          <w:szCs w:val="20"/>
          <w:color w:val="auto"/>
        </w:rPr>
      </w:pPr>
      <w:r>
        <w:rPr>
          <w:rFonts w:ascii="Arial" w:cs="Arial" w:eastAsia="Arial" w:hAnsi="Arial"/>
          <w:sz w:val="22"/>
          <w:szCs w:val="22"/>
          <w:color w:val="auto"/>
        </w:rPr>
        <w:t>such increase, an "</w:t>
      </w:r>
      <w:r>
        <w:rPr>
          <w:rFonts w:ascii="Arial" w:cs="Arial" w:eastAsia="Arial" w:hAnsi="Arial"/>
          <w:sz w:val="22"/>
          <w:szCs w:val="22"/>
          <w:u w:val="single" w:color="auto"/>
          <w:color w:val="auto"/>
        </w:rPr>
        <w:t>Increase</w:t>
      </w:r>
      <w:r>
        <w:rPr>
          <w:rFonts w:ascii="Arial" w:cs="Arial" w:eastAsia="Arial" w:hAnsi="Arial"/>
          <w:sz w:val="22"/>
          <w:szCs w:val="22"/>
          <w:color w:val="auto"/>
        </w:rPr>
        <w:t xml:space="preserve">"). The Agent shall invite each Lender to increase its Pro Rata Share of the Total Commitments (it being understood that no Lender shall be obligated to increase its Pro Rata Share of its Revolver Commitment) in connection with a proposed Increase, and if sufficient Lenders do not agree to increase their Pro Rata Share of the Total Commitments in connection with such proposed Increase, then the Agent or the Borrowers may invite any prospective lender who is reasonably satisfactory to the Agent and the Borrowers to become a Lender in connection with a proposed Increase. Any Increase shall be in a principal amount of at least $5,000,000 and integral multiples of $1,000,000 in excess thereof. The Total Commitments and the Maximum Revolver Amount may be increased pursuant to this </w:t>
      </w:r>
      <w:r>
        <w:rPr>
          <w:rFonts w:ascii="Arial" w:cs="Arial" w:eastAsia="Arial" w:hAnsi="Arial"/>
          <w:sz w:val="22"/>
          <w:szCs w:val="22"/>
          <w:u w:val="single" w:color="auto"/>
          <w:color w:val="auto"/>
        </w:rPr>
        <w:t>Section 2.1(i)</w:t>
      </w:r>
      <w:r>
        <w:rPr>
          <w:rFonts w:ascii="Arial" w:cs="Arial" w:eastAsia="Arial" w:hAnsi="Arial"/>
          <w:sz w:val="22"/>
          <w:szCs w:val="22"/>
          <w:color w:val="auto"/>
        </w:rPr>
        <w:t xml:space="preserve"> after the Third Amendment Date on no more than 2 occasions.</w:t>
      </w:r>
    </w:p>
    <w:p>
      <w:pPr>
        <w:spacing w:after="0" w:line="187"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Each of the following shall be conditions precedent to any Increase of the Total Commitments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Maximum Revolver Amount:</w:t>
      </w:r>
    </w:p>
    <w:p>
      <w:pPr>
        <w:spacing w:after="0" w:line="188" w:lineRule="exact"/>
        <w:rPr>
          <w:sz w:val="20"/>
          <w:szCs w:val="20"/>
          <w:color w:val="auto"/>
        </w:rPr>
      </w:pPr>
    </w:p>
    <w:p>
      <w:pPr>
        <w:jc w:val="both"/>
        <w:ind w:left="1500" w:firstLine="1498"/>
        <w:spacing w:after="0" w:line="236" w:lineRule="auto"/>
        <w:rPr>
          <w:sz w:val="20"/>
          <w:szCs w:val="20"/>
          <w:color w:val="auto"/>
        </w:rPr>
      </w:pPr>
      <w:r>
        <w:rPr>
          <w:rFonts w:ascii="Arial" w:cs="Arial" w:eastAsia="Arial" w:hAnsi="Arial"/>
          <w:sz w:val="22"/>
          <w:szCs w:val="22"/>
          <w:color w:val="auto"/>
        </w:rPr>
        <w:t>the Agent or the Borrowers shall have obtained the commitment of one or more Lenders (or other prospective lenders) reasonably satisfactory to the Agent and the Borrowers to provide such Increase and such lenders, each Borrower and the Agent have signed an amendment/joinder agreement to this Agreement, in form and substance reasonably satisfactory to the Agent, to which such lenders, the Borrowers, and the Agent are party,</w:t>
      </w:r>
    </w:p>
    <w:p>
      <w:pPr>
        <w:spacing w:after="0" w:line="187" w:lineRule="exact"/>
        <w:rPr>
          <w:sz w:val="20"/>
          <w:szCs w:val="20"/>
          <w:color w:val="auto"/>
        </w:rPr>
      </w:pPr>
    </w:p>
    <w:p>
      <w:pPr>
        <w:jc w:val="both"/>
        <w:ind w:left="1500" w:firstLine="1498"/>
        <w:spacing w:after="0" w:line="250" w:lineRule="auto"/>
        <w:rPr>
          <w:sz w:val="20"/>
          <w:szCs w:val="20"/>
          <w:color w:val="auto"/>
        </w:rPr>
      </w:pPr>
      <w:r>
        <w:rPr>
          <w:rFonts w:ascii="Arial" w:cs="Arial" w:eastAsia="Arial" w:hAnsi="Arial"/>
          <w:sz w:val="22"/>
          <w:szCs w:val="22"/>
          <w:color w:val="auto"/>
        </w:rPr>
        <w:t>no Default shall have occurred and be continuing or would result from the borrowings to be made on the effective date of such Increase,</w:t>
      </w:r>
    </w:p>
    <w:p>
      <w:pPr>
        <w:spacing w:after="0" w:line="175" w:lineRule="exact"/>
        <w:rPr>
          <w:sz w:val="20"/>
          <w:szCs w:val="20"/>
          <w:color w:val="auto"/>
        </w:rPr>
      </w:pPr>
    </w:p>
    <w:p>
      <w:pPr>
        <w:jc w:val="both"/>
        <w:ind w:left="1500" w:firstLine="1498"/>
        <w:spacing w:after="0" w:line="297" w:lineRule="auto"/>
        <w:rPr>
          <w:sz w:val="20"/>
          <w:szCs w:val="20"/>
          <w:color w:val="auto"/>
        </w:rPr>
      </w:pPr>
      <w:r>
        <w:rPr>
          <w:rFonts w:ascii="Arial" w:cs="Arial" w:eastAsia="Arial" w:hAnsi="Arial"/>
          <w:sz w:val="19"/>
          <w:szCs w:val="19"/>
          <w:color w:val="auto"/>
        </w:rPr>
        <w:t>the representations and warranties contained in this Agreement and the other Loan Documents shall be true and correct in all material respects on and as of the date of such Increase, as though made on and as of such date (except to the extent that such representations and warranties relate solely to an earlier date), and</w:t>
      </w:r>
    </w:p>
    <w:p>
      <w:pPr>
        <w:spacing w:after="0" w:line="134" w:lineRule="exact"/>
        <w:rPr>
          <w:sz w:val="20"/>
          <w:szCs w:val="20"/>
          <w:color w:val="auto"/>
        </w:rPr>
      </w:pPr>
    </w:p>
    <w:p>
      <w:pPr>
        <w:jc w:val="both"/>
        <w:ind w:left="1500" w:firstLine="1498"/>
        <w:spacing w:after="0"/>
        <w:rPr>
          <w:sz w:val="20"/>
          <w:szCs w:val="20"/>
          <w:color w:val="auto"/>
        </w:rPr>
      </w:pPr>
      <w:r>
        <w:rPr>
          <w:rFonts w:ascii="Arial" w:cs="Arial" w:eastAsia="Arial" w:hAnsi="Arial"/>
          <w:sz w:val="22"/>
          <w:szCs w:val="22"/>
          <w:color w:val="auto"/>
        </w:rPr>
        <w:t>the Borrower shall deliver or cause to be delivered officer's certificates and legal opinions of the type delivered on the Restatement Effective Date to the extent reasonably requested by, and in form and substance reasonably satisfactory to, the Agent.</w:t>
      </w:r>
    </w:p>
    <w:p>
      <w:pPr>
        <w:spacing w:after="0" w:line="186"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The terms and conditions of Advances made pursuant to new Revolver Commitments shall be identical to terms and conditions the Advances, unless otherwise agreed in writing by the Required Lenders.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FF0000"/>
          <w:strike w:val="1"/>
        </w:rPr>
        <w:t>intentionally omitted</w:t>
      </w:r>
      <w:r>
        <w:rPr>
          <w:rFonts w:ascii="Arial" w:cs="Arial" w:eastAsia="Arial" w:hAnsi="Arial"/>
          <w:sz w:val="22"/>
          <w:szCs w:val="22"/>
          <w:i w:val="1"/>
          <w:iCs w:val="1"/>
          <w:u w:val="single" w:color="auto"/>
          <w:color w:val="0000FF"/>
        </w:rPr>
        <w:t>Intentionally Omitted</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Borrowing Procedures and Settlements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89" w:lineRule="auto"/>
        <w:rPr>
          <w:sz w:val="20"/>
          <w:szCs w:val="20"/>
          <w:color w:val="auto"/>
        </w:rPr>
      </w:pPr>
      <w:r>
        <w:rPr>
          <w:rFonts w:ascii="Arial" w:cs="Arial" w:eastAsia="Arial" w:hAnsi="Arial"/>
          <w:sz w:val="19"/>
          <w:szCs w:val="19"/>
          <w:b w:val="1"/>
          <w:bCs w:val="1"/>
          <w:color w:val="auto"/>
        </w:rPr>
        <w:t>Procedure for Borrowing</w:t>
      </w:r>
      <w:r>
        <w:rPr>
          <w:rFonts w:ascii="Arial" w:cs="Arial" w:eastAsia="Arial" w:hAnsi="Arial"/>
          <w:sz w:val="19"/>
          <w:szCs w:val="19"/>
          <w:color w:val="auto"/>
        </w:rPr>
        <w:t>. Each Borrowing shall be made by a written request by an Authorized Person</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to Agent (which may be delivered through Agent's electronic platform or portal) and received by Agent no later than 11:00 a.m. (i) on the Business Day that is the requested Funding Date in the case of a request for a Swing Loan, (ii) on the Business Day that is one Business Day prior to the requested Funding Date in the case of a request for a Base Rate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9" w:name="page100"/>
    <w:bookmarkEnd w:id="99"/>
    <w:p>
      <w:pPr>
        <w:jc w:val="both"/>
        <w:spacing w:after="0" w:line="277" w:lineRule="auto"/>
        <w:rPr>
          <w:sz w:val="20"/>
          <w:szCs w:val="20"/>
          <w:color w:val="auto"/>
        </w:rPr>
      </w:pPr>
      <w:r>
        <w:rPr>
          <w:rFonts w:ascii="Arial" w:cs="Arial" w:eastAsia="Arial" w:hAnsi="Arial"/>
          <w:sz w:val="19"/>
          <w:szCs w:val="19"/>
          <w:color w:val="auto"/>
        </w:rPr>
        <w:t xml:space="preserve">Loan, and (iii) on the </w:t>
      </w:r>
      <w:r>
        <w:rPr>
          <w:rFonts w:ascii="Arial" w:cs="Arial" w:eastAsia="Arial" w:hAnsi="Arial"/>
          <w:sz w:val="19"/>
          <w:szCs w:val="19"/>
          <w:u w:val="single" w:color="auto"/>
          <w:color w:val="0000FF"/>
        </w:rPr>
        <w:t>U.S. Government Securities</w:t>
      </w:r>
      <w:r>
        <w:rPr>
          <w:rFonts w:ascii="Arial" w:cs="Arial" w:eastAsia="Arial" w:hAnsi="Arial"/>
          <w:sz w:val="19"/>
          <w:szCs w:val="19"/>
          <w:color w:val="auto"/>
        </w:rPr>
        <w:t xml:space="preserve"> Business Day that is three </w:t>
      </w:r>
      <w:r>
        <w:rPr>
          <w:rFonts w:ascii="Arial" w:cs="Arial" w:eastAsia="Arial" w:hAnsi="Arial"/>
          <w:sz w:val="19"/>
          <w:szCs w:val="19"/>
          <w:u w:val="single" w:color="auto"/>
          <w:color w:val="0000FF"/>
        </w:rPr>
        <w:t>U.S. Government Securities</w:t>
      </w:r>
      <w:r>
        <w:rPr>
          <w:rFonts w:ascii="Arial" w:cs="Arial" w:eastAsia="Arial" w:hAnsi="Arial"/>
          <w:sz w:val="19"/>
          <w:szCs w:val="19"/>
          <w:color w:val="auto"/>
        </w:rPr>
        <w:t xml:space="preserve"> Business Days prior to the requested Funding Date in the case of all other requests, specifying (A) the amount of such Borrowing, and (B) the requested Funding Date (which shall be a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Agent may, in its sole discretion, elect to accept as timely requests that are received later than 11:00 a.m. on the applicable Business Day </w:t>
      </w:r>
      <w:r>
        <w:rPr>
          <w:rFonts w:ascii="Arial" w:cs="Arial" w:eastAsia="Arial" w:hAnsi="Arial"/>
          <w:sz w:val="19"/>
          <w:szCs w:val="19"/>
          <w:color w:val="0000FF"/>
        </w:rPr>
        <w:t>or U.S. Government Securities Business Day, as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applicable</w:t>
      </w:r>
      <w:r>
        <w:rPr>
          <w:rFonts w:ascii="Arial" w:cs="Arial" w:eastAsia="Arial" w:hAnsi="Arial"/>
          <w:sz w:val="19"/>
          <w:szCs w:val="19"/>
          <w:color w:val="000000"/>
        </w:rPr>
        <w:t>. All Borrowing requests which are not made on-line via Agent's electronic platform or portal shall be subject to (and</w:t>
      </w:r>
      <w:r>
        <w:rPr>
          <w:rFonts w:ascii="Arial" w:cs="Arial" w:eastAsia="Arial" w:hAnsi="Arial"/>
          <w:sz w:val="19"/>
          <w:szCs w:val="19"/>
          <w:color w:val="0000FF"/>
        </w:rPr>
        <w:t xml:space="preserve"> </w:t>
      </w:r>
      <w:r>
        <w:rPr>
          <w:rFonts w:ascii="Arial" w:cs="Arial" w:eastAsia="Arial" w:hAnsi="Arial"/>
          <w:sz w:val="19"/>
          <w:szCs w:val="19"/>
          <w:color w:val="000000"/>
        </w:rPr>
        <w:t>unless Agent elects otherwise in the exercise of its sole discretion, such Borrowings shall not be made until the completion of) Agent's authentication process (with results satisfactory to Agent) prior to the funding of any such requested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-514985</wp:posOffset>
            </wp:positionV>
            <wp:extent cx="29597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2959735" cy="8255"/>
                    </a:xfrm>
                    <a:prstGeom prst="rect">
                      <a:avLst/>
                    </a:prstGeom>
                    <a:noFill/>
                  </pic:spPr>
                </pic:pic>
              </a:graphicData>
            </a:graphic>
          </wp:anchor>
        </w:drawing>
      </w:r>
    </w:p>
    <w:p>
      <w:pPr>
        <w:spacing w:after="0" w:line="126" w:lineRule="exact"/>
        <w:rPr>
          <w:sz w:val="20"/>
          <w:szCs w:val="20"/>
          <w:color w:val="auto"/>
        </w:rPr>
      </w:pPr>
    </w:p>
    <w:p>
      <w:pPr>
        <w:jc w:val="both"/>
        <w:ind w:firstLine="1497"/>
        <w:spacing w:after="0" w:line="283" w:lineRule="auto"/>
        <w:rPr>
          <w:sz w:val="20"/>
          <w:szCs w:val="20"/>
          <w:color w:val="auto"/>
        </w:rPr>
      </w:pPr>
      <w:r>
        <w:rPr>
          <w:rFonts w:ascii="Arial" w:cs="Arial" w:eastAsia="Arial" w:hAnsi="Arial"/>
          <w:sz w:val="19"/>
          <w:szCs w:val="19"/>
          <w:b w:val="1"/>
          <w:bCs w:val="1"/>
          <w:color w:val="auto"/>
        </w:rPr>
        <w:t>Agent's Election</w:t>
      </w:r>
      <w:r>
        <w:rPr>
          <w:rFonts w:ascii="Arial" w:cs="Arial" w:eastAsia="Arial" w:hAnsi="Arial"/>
          <w:sz w:val="19"/>
          <w:szCs w:val="19"/>
          <w:color w:val="auto"/>
        </w:rPr>
        <w:t>. Promptly after receipt of a request for a Borrowing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2.3(a)</w:t>
      </w:r>
      <w:r>
        <w:rPr>
          <w:rFonts w:ascii="Arial" w:cs="Arial" w:eastAsia="Arial" w:hAnsi="Arial"/>
          <w:sz w:val="19"/>
          <w:szCs w:val="19"/>
          <w:color w:val="auto"/>
        </w:rPr>
        <w:t>, Agent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elect, in its discretion, (i) to have the terms of </w:t>
      </w:r>
      <w:r>
        <w:rPr>
          <w:rFonts w:ascii="Arial" w:cs="Arial" w:eastAsia="Arial" w:hAnsi="Arial"/>
          <w:sz w:val="19"/>
          <w:szCs w:val="19"/>
          <w:u w:val="single" w:color="auto"/>
          <w:color w:val="auto"/>
        </w:rPr>
        <w:t>Section 2.3(c)</w:t>
      </w:r>
      <w:r>
        <w:rPr>
          <w:rFonts w:ascii="Arial" w:cs="Arial" w:eastAsia="Arial" w:hAnsi="Arial"/>
          <w:sz w:val="19"/>
          <w:szCs w:val="19"/>
          <w:color w:val="auto"/>
        </w:rPr>
        <w:t xml:space="preserve"> apply to such requested Borrowing, or (ii) if the Borrowing is for an Advance, to request Swing Lender to make a Swing Loan pursuant to the terms of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in the amount of the requested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Swing Lender declines in its sole discretion to make a Swing Loan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2.3(d)</w:t>
      </w:r>
      <w:r>
        <w:rPr>
          <w:rFonts w:ascii="Arial" w:cs="Arial" w:eastAsia="Arial" w:hAnsi="Arial"/>
          <w:sz w:val="19"/>
          <w:szCs w:val="19"/>
          <w:color w:val="auto"/>
        </w:rPr>
        <w:t xml:space="preserve">, Agent shall elect to have the terms of </w:t>
      </w:r>
      <w:r>
        <w:rPr>
          <w:rFonts w:ascii="Arial" w:cs="Arial" w:eastAsia="Arial" w:hAnsi="Arial"/>
          <w:sz w:val="19"/>
          <w:szCs w:val="19"/>
          <w:u w:val="single" w:color="auto"/>
          <w:color w:val="auto"/>
        </w:rPr>
        <w:t>Section 2.3(c)</w:t>
      </w:r>
      <w:r>
        <w:rPr>
          <w:rFonts w:ascii="Arial" w:cs="Arial" w:eastAsia="Arial" w:hAnsi="Arial"/>
          <w:sz w:val="19"/>
          <w:szCs w:val="19"/>
          <w:color w:val="auto"/>
        </w:rPr>
        <w:t xml:space="preserve"> apply to such requested Borrowing.</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Making of Advances</w:t>
      </w:r>
      <w:r>
        <w:rPr>
          <w:rFonts w:ascii="Arial" w:cs="Arial" w:eastAsia="Arial" w:hAnsi="Arial"/>
          <w:sz w:val="22"/>
          <w:szCs w:val="22"/>
          <w:color w:val="auto"/>
        </w:rPr>
        <w:t>.</w:t>
      </w:r>
    </w:p>
    <w:p>
      <w:pPr>
        <w:spacing w:after="0" w:line="212" w:lineRule="exact"/>
        <w:rPr>
          <w:sz w:val="20"/>
          <w:szCs w:val="20"/>
          <w:color w:val="auto"/>
        </w:rPr>
      </w:pPr>
    </w:p>
    <w:p>
      <w:pPr>
        <w:jc w:val="both"/>
        <w:ind w:firstLine="2246"/>
        <w:spacing w:after="0" w:line="271" w:lineRule="auto"/>
        <w:rPr>
          <w:sz w:val="20"/>
          <w:szCs w:val="20"/>
          <w:color w:val="auto"/>
        </w:rPr>
      </w:pPr>
      <w:r>
        <w:rPr>
          <w:rFonts w:ascii="Arial" w:cs="Arial" w:eastAsia="Arial" w:hAnsi="Arial"/>
          <w:sz w:val="19"/>
          <w:szCs w:val="19"/>
          <w:color w:val="auto"/>
        </w:rPr>
        <w:t xml:space="preserve">In the event that Swing Lender is not obligated to make a Swing Loan, then after receipt of a request for a Borrowing pursuant to </w:t>
      </w:r>
      <w:r>
        <w:rPr>
          <w:rFonts w:ascii="Arial" w:cs="Arial" w:eastAsia="Arial" w:hAnsi="Arial"/>
          <w:sz w:val="19"/>
          <w:szCs w:val="19"/>
          <w:u w:val="single" w:color="auto"/>
          <w:color w:val="auto"/>
        </w:rPr>
        <w:t>Section 2.3(a)(i)</w:t>
      </w:r>
      <w:r>
        <w:rPr>
          <w:rFonts w:ascii="Arial" w:cs="Arial" w:eastAsia="Arial" w:hAnsi="Arial"/>
          <w:sz w:val="19"/>
          <w:szCs w:val="19"/>
          <w:color w:val="auto"/>
        </w:rPr>
        <w:t xml:space="preserve">, Agent shall notify the Lenders by telecopy, telephone, email, or other electronic form of transmission, of the requested Borrowing; such notification to be sent on the Business Day </w:t>
      </w:r>
      <w:r>
        <w:rPr>
          <w:rFonts w:ascii="Arial" w:cs="Arial" w:eastAsia="Arial" w:hAnsi="Arial"/>
          <w:sz w:val="19"/>
          <w:szCs w:val="19"/>
          <w:u w:val="single" w:color="auto"/>
          <w:color w:val="0000FF"/>
        </w:rPr>
        <w:t>or U.S. Government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Securities Business Day, as applicable,</w:t>
      </w:r>
      <w:r>
        <w:rPr>
          <w:rFonts w:ascii="Arial" w:cs="Arial" w:eastAsia="Arial" w:hAnsi="Arial"/>
          <w:sz w:val="19"/>
          <w:szCs w:val="19"/>
          <w:color w:val="0000FF"/>
        </w:rPr>
        <w:t xml:space="preserve"> </w:t>
      </w:r>
      <w:r>
        <w:rPr>
          <w:rFonts w:ascii="Arial" w:cs="Arial" w:eastAsia="Arial" w:hAnsi="Arial"/>
          <w:sz w:val="19"/>
          <w:szCs w:val="19"/>
          <w:color w:val="000000"/>
        </w:rPr>
        <w:t>that is (A) in the case of a Base Rate Loan, at least one Business Day prior to the</w:t>
      </w:r>
      <w:r>
        <w:rPr>
          <w:rFonts w:ascii="Arial" w:cs="Arial" w:eastAsia="Arial" w:hAnsi="Arial"/>
          <w:sz w:val="19"/>
          <w:szCs w:val="19"/>
          <w:color w:val="0000FF"/>
        </w:rPr>
        <w:t xml:space="preserve"> </w:t>
      </w:r>
      <w:r>
        <w:rPr>
          <w:rFonts w:ascii="Arial" w:cs="Arial" w:eastAsia="Arial" w:hAnsi="Arial"/>
          <w:sz w:val="19"/>
          <w:szCs w:val="19"/>
          <w:color w:val="000000"/>
        </w:rPr>
        <w:t xml:space="preserve">requested Funding Date, or (B) in the case of a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Loan, prior to 11:00 a.m. at least three </w:t>
      </w:r>
      <w:r>
        <w:rPr>
          <w:rFonts w:ascii="Arial" w:cs="Arial" w:eastAsia="Arial" w:hAnsi="Arial"/>
          <w:sz w:val="19"/>
          <w:szCs w:val="19"/>
          <w:u w:val="single" w:color="auto"/>
          <w:color w:val="0000FF"/>
        </w:rPr>
        <w:t>U.S. Government</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Securities</w:t>
      </w:r>
      <w:r>
        <w:rPr>
          <w:rFonts w:ascii="Arial" w:cs="Arial" w:eastAsia="Arial" w:hAnsi="Arial"/>
          <w:sz w:val="19"/>
          <w:szCs w:val="19"/>
          <w:color w:val="0000FF"/>
        </w:rPr>
        <w:t xml:space="preserve"> </w:t>
      </w:r>
      <w:r>
        <w:rPr>
          <w:rFonts w:ascii="Arial" w:cs="Arial" w:eastAsia="Arial" w:hAnsi="Arial"/>
          <w:sz w:val="19"/>
          <w:szCs w:val="19"/>
          <w:color w:val="000000"/>
        </w:rPr>
        <w:t>Business Days prior to the requested Funding Date. If Agent has notified the Lenders of a requested Borrowing on the</w:t>
      </w:r>
      <w:r>
        <w:rPr>
          <w:rFonts w:ascii="Arial" w:cs="Arial" w:eastAsia="Arial" w:hAnsi="Arial"/>
          <w:sz w:val="19"/>
          <w:szCs w:val="19"/>
          <w:color w:val="0000FF"/>
        </w:rPr>
        <w:t xml:space="preserve"> </w:t>
      </w:r>
      <w:r>
        <w:rPr>
          <w:rFonts w:ascii="Arial" w:cs="Arial" w:eastAsia="Arial" w:hAnsi="Arial"/>
          <w:sz w:val="19"/>
          <w:szCs w:val="19"/>
          <w:color w:val="000000"/>
        </w:rPr>
        <w:t xml:space="preserve">Business Day that is one Business Day prior to the Funding Date, then each Lender shall make the amount of such Lender's Pro Rata Share of the requested Borrowing available to Agent in immediately available funds, to Agent's Account, not later than 10:00 a.m. on the Business Day that is the requested Funding Date. After Agent's receipt of the proceeds of such Advances from the Lenders, Agent shall make the proceeds thereof available to Borrowers on the applicable Funding Date by transferring immediately available funds equal to such proceeds received by Agent to the Designated Account;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subject to the provisions of </w:t>
      </w:r>
      <w:r>
        <w:rPr>
          <w:rFonts w:ascii="Arial" w:cs="Arial" w:eastAsia="Arial" w:hAnsi="Arial"/>
          <w:sz w:val="19"/>
          <w:szCs w:val="19"/>
          <w:u w:val="single" w:color="auto"/>
          <w:color w:val="000000"/>
        </w:rPr>
        <w:t>Section 2.3(i)</w:t>
      </w:r>
      <w:r>
        <w:rPr>
          <w:rFonts w:ascii="Arial" w:cs="Arial" w:eastAsia="Arial" w:hAnsi="Arial"/>
          <w:sz w:val="19"/>
          <w:szCs w:val="19"/>
          <w:color w:val="000000"/>
        </w:rPr>
        <w:t xml:space="preserve">, no Lender shall have an obligation to make any Advance, if (1) one or more of the applicable conditions precedent set forth in </w:t>
      </w:r>
      <w:r>
        <w:rPr>
          <w:rFonts w:ascii="Arial" w:cs="Arial" w:eastAsia="Arial" w:hAnsi="Arial"/>
          <w:sz w:val="19"/>
          <w:szCs w:val="19"/>
          <w:u w:val="single" w:color="auto"/>
          <w:color w:val="000000"/>
        </w:rPr>
        <w:t>Section 3</w:t>
      </w:r>
      <w:r>
        <w:rPr>
          <w:rFonts w:ascii="Arial" w:cs="Arial" w:eastAsia="Arial" w:hAnsi="Arial"/>
          <w:sz w:val="19"/>
          <w:szCs w:val="19"/>
          <w:color w:val="000000"/>
        </w:rPr>
        <w:t xml:space="preserve"> will not be satisfied on the requested Funding Date for the applicable Borrowing unless such condition has been waived, or (2) the requested Borrowing would exceed the Availability on such Funding Date.</w:t>
      </w:r>
    </w:p>
    <w:p>
      <w:pPr>
        <w:spacing w:after="0" w:line="164" w:lineRule="exact"/>
        <w:rPr>
          <w:sz w:val="20"/>
          <w:szCs w:val="20"/>
          <w:color w:val="auto"/>
        </w:rPr>
      </w:pPr>
    </w:p>
    <w:p>
      <w:pPr>
        <w:jc w:val="both"/>
        <w:ind w:firstLine="2246"/>
        <w:spacing w:after="0" w:line="249" w:lineRule="auto"/>
        <w:rPr>
          <w:sz w:val="20"/>
          <w:szCs w:val="20"/>
          <w:color w:val="auto"/>
        </w:rPr>
      </w:pPr>
      <w:r>
        <w:rPr>
          <w:rFonts w:ascii="Arial" w:cs="Arial" w:eastAsia="Arial" w:hAnsi="Arial"/>
          <w:sz w:val="21"/>
          <w:szCs w:val="21"/>
          <w:color w:val="auto"/>
        </w:rPr>
        <w:t>Unless Agent receives notice from a Lender prior to 9:30 a.m. on the Business Day that is the requested Funding Date relative to a requested Borrowing as to which Agent has notified the Lenders of a requested Borrowing that such Lender will not make available as and when required hereunder to Agent for the account of Borrowers the amount of that Lender's Pro Rata Share of the Borrowing, Agent may assume that each Lender has made or will make such amount available to Agent in immediately available funds on the Funding Date and Agent may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0" w:name="page101"/>
    <w:bookmarkEnd w:id="100"/>
    <w:p>
      <w:pPr>
        <w:jc w:val="both"/>
        <w:spacing w:after="0" w:line="271" w:lineRule="auto"/>
        <w:rPr>
          <w:sz w:val="20"/>
          <w:szCs w:val="20"/>
          <w:color w:val="auto"/>
        </w:rPr>
      </w:pPr>
      <w:r>
        <w:rPr>
          <w:rFonts w:ascii="Arial" w:cs="Arial" w:eastAsia="Arial" w:hAnsi="Arial"/>
          <w:sz w:val="19"/>
          <w:szCs w:val="19"/>
          <w:color w:val="auto"/>
        </w:rPr>
        <w:t xml:space="preserve">(but shall not be so required), in reliance upon such assumption, make available to Borrowers a corresponding amount. If, on the requested Funding Date, any Lender shall not have remitted the full amount that it is required to make available to Agent in immediately available funds and if Agent has made available to Borrowers such amount on the requested Funding Date, then such Lender shall make the amount of such Lender's Pro Rata Share of the requested Borrowing available to Agent in immediately available funds, to Agent's Account, no later than 10:00 a.m. on the Business Day that is the first Business Day after the requested Funding Date (in which case, the interest accrued on such Lender's portion of such Borrowing for the Funding Date shall be for Agent's separate account). If any Lender shall not remit the full amount that it is required to make available to Agent in immediately available funds as and when required hereby and if Agent has made available to Borrowers such amount, then that Lender shall be obligated to immediately remit such amount to Agent, together with interest at the Defaulting Lender Rate for each day until the date on which such amount is so remitted. A notice submitted by Agent to any Lender with respect to amounts owing under this </w:t>
      </w:r>
      <w:r>
        <w:rPr>
          <w:rFonts w:ascii="Arial" w:cs="Arial" w:eastAsia="Arial" w:hAnsi="Arial"/>
          <w:sz w:val="19"/>
          <w:szCs w:val="19"/>
          <w:u w:val="single" w:color="auto"/>
          <w:color w:val="auto"/>
        </w:rPr>
        <w:t>Section 2.3(c)(ii)</w:t>
      </w:r>
      <w:r>
        <w:rPr>
          <w:rFonts w:ascii="Arial" w:cs="Arial" w:eastAsia="Arial" w:hAnsi="Arial"/>
          <w:sz w:val="19"/>
          <w:szCs w:val="19"/>
          <w:color w:val="auto"/>
        </w:rPr>
        <w:t xml:space="preserve"> shall be conclusive, absent manifest error. If the amount that a Lender is required to remit is made available to Agent, then such payment to Agent shall constitute such Lender's Advance for all purposes of this Agreement. If such amount is not made available to Agent on the Business Day following the Funding Date, Agent will notify Administrative Borrower of such failure to fund and, upon demand by Agent, Borrowers shall pay such amount to Agent for Agent's account, together with interest thereon for each day elapsed since the date of such Borrowing, at a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interest rate applicable at the time to the Advances composing such Borrowing.</w:t>
      </w:r>
    </w:p>
    <w:p>
      <w:pPr>
        <w:spacing w:after="0" w:line="157" w:lineRule="exact"/>
        <w:rPr>
          <w:sz w:val="20"/>
          <w:szCs w:val="20"/>
          <w:color w:val="auto"/>
        </w:rPr>
      </w:pPr>
    </w:p>
    <w:p>
      <w:pPr>
        <w:jc w:val="both"/>
        <w:ind w:firstLine="2246"/>
        <w:spacing w:after="0" w:line="270" w:lineRule="auto"/>
        <w:rPr>
          <w:sz w:val="20"/>
          <w:szCs w:val="20"/>
          <w:color w:val="auto"/>
        </w:rPr>
      </w:pPr>
      <w:r>
        <w:rPr>
          <w:rFonts w:ascii="Arial" w:cs="Arial" w:eastAsia="Arial" w:hAnsi="Arial"/>
          <w:sz w:val="19"/>
          <w:szCs w:val="19"/>
          <w:color w:val="auto"/>
        </w:rPr>
        <w:t>Agent shall not be obligated to transfer to a Defaulting Lender any payments made by Borrowers to Agent for the Defaulting Lender's benefit, and, in the absence of such transfer to the Defaulting Lender, Agent shall transfer any such payments to each other non-Defaulting Lender member of the Lender Group ratably in accordance with their Commitments (but only to the extent that such Defaulting Lender's Advance was funded by the other members of the Lender Group) or, if so directed by Administrative Borrower and if no Default or Event of Default had occurred and is continuing (and to the extent such Defaulting Lender's Advance was not funded by the Lender Group), retain same to be re-advanced to Borrowers as if such Defaulting Lender had made Advances to Borrowers. Subject to the foregoing, Agent may hold and, in its Permitted Discretion, re-lend to Borrowers for the account of such Defaulting Lender the amount of all such payments received and retained by it for the account of such Defaulting Lender. Solely for the purposes of voting or consenting to matters with respect to the Loan Documents, such Defaulting Lender shall be deemed not to be a "Lender" and such Lender's Commitment shall be deemed to be zero. This Section shall remain effective with respect to such Lender until (x) the Obligations under this Agreement shall have been declared or shall have become immediately due and payable, (y) the non-Defaulting Lenders, Agent, and Borrowers shall have waived such Defaulting Lender's default in writing, or (z) the Defaulting Lender makes its Pro Rata Share of the applicable Advance and pays to Agent all amounts owing by Defaulting Lender in respect thereof. The operation of this Section shall not be construed to increase or otherwise affect the Commitment of any Lender, to relieve or excuse the performance by such Defaulting Lender or any other Lender of its duties and obligations hereunder, or to relieve or excuse the performance by the Loan Party of its duties and obligations hereunder to Agent or to the Lenders other than such Defaulting Lender. Any such failure to fund by any Defaulting Lender shall constitute a material breach by such Defaulting Lender of this Agreement and shall entitle Administrative Borrower at its option, upon written notice to Agent, to arrange for a substitute Lender to assume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1" w:name="page102"/>
    <w:bookmarkEnd w:id="101"/>
    <w:p>
      <w:pPr>
        <w:jc w:val="both"/>
        <w:spacing w:after="0" w:line="275" w:lineRule="auto"/>
        <w:rPr>
          <w:sz w:val="20"/>
          <w:szCs w:val="20"/>
          <w:color w:val="auto"/>
        </w:rPr>
      </w:pPr>
      <w:r>
        <w:rPr>
          <w:rFonts w:ascii="Arial" w:cs="Arial" w:eastAsia="Arial" w:hAnsi="Arial"/>
          <w:sz w:val="19"/>
          <w:szCs w:val="19"/>
          <w:color w:val="auto"/>
        </w:rPr>
        <w:t xml:space="preserve">the Commitment of such Defaulting Lender, such substitute Lender to be acceptable to Agent. In connection with the arrangement of such a substitute Lender, the Defaulting Lender shall have no right to refuse to be replaced hereunder, and agrees to execute and deliver a completed form of Assignment and Acceptance Agreement in favor of the substitute Lender (and agrees that it shall be deemed to have executed and delivered such document if it fails to do so) subject only to being repaid its share of the outstanding Obligations (other than Bank Product Obligations) (including an assumption of its Pro Rata Share of the Risk Participation Liability) without any premium or penalty of any kind whatsoever;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assumption of the Commitment of such Defaulting Lender shall not be deemed to constitute a waiver of any of the Lender Groups' or Loan Parties' rights or remedies against any such Defaulting Lender arising out of or in relation to such failure to fund.</w:t>
      </w:r>
    </w:p>
    <w:p>
      <w:pPr>
        <w:spacing w:after="0" w:line="157"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If any Swing Loan or Letter of Credit is outstanding at the time that a Lender becomes a Defaulting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Lender then:</w:t>
      </w:r>
    </w:p>
    <w:p>
      <w:pPr>
        <w:spacing w:after="0" w:line="188" w:lineRule="exact"/>
        <w:rPr>
          <w:sz w:val="20"/>
          <w:szCs w:val="20"/>
          <w:color w:val="auto"/>
        </w:rPr>
      </w:pPr>
    </w:p>
    <w:p>
      <w:pPr>
        <w:jc w:val="both"/>
        <w:ind w:left="1500" w:firstLine="1498"/>
        <w:spacing w:after="0" w:line="282" w:lineRule="auto"/>
        <w:rPr>
          <w:sz w:val="20"/>
          <w:szCs w:val="20"/>
          <w:color w:val="auto"/>
        </w:rPr>
      </w:pPr>
      <w:r>
        <w:rPr>
          <w:rFonts w:ascii="Arial" w:cs="Arial" w:eastAsia="Arial" w:hAnsi="Arial"/>
          <w:sz w:val="19"/>
          <w:szCs w:val="19"/>
          <w:color w:val="auto"/>
        </w:rPr>
        <w:t xml:space="preserve">such Defaulting Lender's Swing Loan Exposure and Letter of Credit Exposure shall be reallocated among the Non-Defaulting Lenders in accordance with their respective Pro Rata Shares but only to the extent (x) the sum of all Non-Defaulting Lenders' Pro Rata Share of Revolver Usage </w:t>
      </w:r>
      <w:r>
        <w:rPr>
          <w:rFonts w:ascii="Arial" w:cs="Arial" w:eastAsia="Arial" w:hAnsi="Arial"/>
          <w:sz w:val="19"/>
          <w:szCs w:val="19"/>
          <w:i w:val="1"/>
          <w:iCs w:val="1"/>
          <w:u w:val="single" w:color="auto"/>
          <w:color w:val="auto"/>
        </w:rPr>
        <w:t>plus</w:t>
      </w:r>
      <w:r>
        <w:rPr>
          <w:rFonts w:ascii="Arial" w:cs="Arial" w:eastAsia="Arial" w:hAnsi="Arial"/>
          <w:sz w:val="19"/>
          <w:szCs w:val="19"/>
          <w:color w:val="auto"/>
        </w:rPr>
        <w:t xml:space="preserve"> such Defaulting Lender's Swing Loan Exposure and Letter of Credit Exposure does not exceed the total of all Non-Defaulting Lenders' Revolver Commitments and (y) the conditions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are satisfied at such time;</w:t>
      </w:r>
    </w:p>
    <w:p>
      <w:pPr>
        <w:spacing w:after="0" w:line="147" w:lineRule="exact"/>
        <w:rPr>
          <w:sz w:val="20"/>
          <w:szCs w:val="20"/>
          <w:color w:val="auto"/>
        </w:rPr>
      </w:pPr>
    </w:p>
    <w:p>
      <w:pPr>
        <w:jc w:val="both"/>
        <w:ind w:left="1500" w:firstLine="1498"/>
        <w:spacing w:after="0" w:line="273" w:lineRule="auto"/>
        <w:rPr>
          <w:sz w:val="20"/>
          <w:szCs w:val="20"/>
          <w:color w:val="auto"/>
        </w:rPr>
      </w:pPr>
      <w:r>
        <w:rPr>
          <w:rFonts w:ascii="Arial" w:cs="Arial" w:eastAsia="Arial" w:hAnsi="Arial"/>
          <w:sz w:val="19"/>
          <w:szCs w:val="19"/>
          <w:color w:val="auto"/>
        </w:rPr>
        <w:t>if the reallocation described in clause (A) above cannot, or can only partially, be effected, Borrowers shall within one Business Day following notice by the Agent (x) first, prepay such Defaulting Lender's Swing Loan Exposure (after giving effect to any partial reallocation pursuant to clause (A) above), and</w:t>
      </w:r>
    </w:p>
    <w:p>
      <w:pPr>
        <w:spacing w:after="0" w:line="1" w:lineRule="exact"/>
        <w:rPr>
          <w:sz w:val="20"/>
          <w:szCs w:val="20"/>
          <w:color w:val="auto"/>
        </w:rPr>
      </w:pPr>
    </w:p>
    <w:p>
      <w:pPr>
        <w:jc w:val="both"/>
        <w:ind w:left="1500" w:firstLine="5"/>
        <w:spacing w:after="0" w:line="245" w:lineRule="auto"/>
        <w:tabs>
          <w:tab w:leader="none" w:pos="1838"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second, cash collateralize such Defaulting Lender's Letter of Credit Exposure (after giving effect to any partial reallocation pursuant to clause (A) above), pursuant to a cash collateral agreement to be entered into in form and substance reasonably satisfactory to the Agent, for so long as such Letter of Credit Exposure is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that Borrowers shall not be obligated to cash collateralize any Defaulting Lender's Letter of Credit Exposure if such Defaulting Lender is also Issuing Bank;</w:t>
      </w:r>
    </w:p>
    <w:p>
      <w:pPr>
        <w:spacing w:after="0" w:line="180" w:lineRule="exact"/>
        <w:rPr>
          <w:sz w:val="20"/>
          <w:szCs w:val="20"/>
          <w:color w:val="auto"/>
        </w:rPr>
      </w:pPr>
    </w:p>
    <w:p>
      <w:pPr>
        <w:jc w:val="both"/>
        <w:ind w:left="1500" w:firstLine="1498"/>
        <w:spacing w:after="0" w:line="328" w:lineRule="auto"/>
        <w:rPr>
          <w:sz w:val="20"/>
          <w:szCs w:val="20"/>
          <w:color w:val="auto"/>
        </w:rPr>
      </w:pPr>
      <w:r>
        <w:rPr>
          <w:rFonts w:ascii="Arial" w:cs="Arial" w:eastAsia="Arial" w:hAnsi="Arial"/>
          <w:sz w:val="19"/>
          <w:szCs w:val="19"/>
          <w:color w:val="auto"/>
        </w:rPr>
        <w:t xml:space="preserve">Borrowers shall not be required to pay any Letter of Credit Fees to Agent for the account of any Defaulting Lender pursuant to </w:t>
      </w:r>
      <w:r>
        <w:rPr>
          <w:rFonts w:ascii="Arial" w:cs="Arial" w:eastAsia="Arial" w:hAnsi="Arial"/>
          <w:sz w:val="19"/>
          <w:szCs w:val="19"/>
          <w:u w:val="single" w:color="auto"/>
          <w:color w:val="auto"/>
        </w:rPr>
        <w:t>Section 2.6(b)</w:t>
      </w:r>
      <w:r>
        <w:rPr>
          <w:rFonts w:ascii="Arial" w:cs="Arial" w:eastAsia="Arial" w:hAnsi="Arial"/>
          <w:sz w:val="19"/>
          <w:szCs w:val="19"/>
          <w:color w:val="auto"/>
        </w:rPr>
        <w:t xml:space="preserve"> during the period such Lender is a Defaulting Lender;</w:t>
      </w:r>
    </w:p>
    <w:p>
      <w:pPr>
        <w:spacing w:after="0" w:line="105" w:lineRule="exact"/>
        <w:rPr>
          <w:sz w:val="20"/>
          <w:szCs w:val="20"/>
          <w:color w:val="auto"/>
        </w:rPr>
      </w:pPr>
    </w:p>
    <w:p>
      <w:pPr>
        <w:jc w:val="both"/>
        <w:ind w:left="1500" w:firstLine="1498"/>
        <w:spacing w:after="0" w:line="238" w:lineRule="auto"/>
        <w:rPr>
          <w:sz w:val="20"/>
          <w:szCs w:val="20"/>
          <w:color w:val="auto"/>
        </w:rPr>
      </w:pPr>
      <w:r>
        <w:rPr>
          <w:rFonts w:ascii="Arial" w:cs="Arial" w:eastAsia="Arial" w:hAnsi="Arial"/>
          <w:sz w:val="22"/>
          <w:szCs w:val="22"/>
          <w:color w:val="auto"/>
        </w:rPr>
        <w:t xml:space="preserve">to the extent the Letter of Credit Exposure of the Non-Defaulting Lenders is reallocated pursuant to this </w:t>
      </w:r>
      <w:r>
        <w:rPr>
          <w:rFonts w:ascii="Arial" w:cs="Arial" w:eastAsia="Arial" w:hAnsi="Arial"/>
          <w:sz w:val="22"/>
          <w:szCs w:val="22"/>
          <w:u w:val="single" w:color="auto"/>
          <w:color w:val="auto"/>
        </w:rPr>
        <w:t>Section 2.3(c)(iv)</w:t>
      </w:r>
      <w:r>
        <w:rPr>
          <w:rFonts w:ascii="Arial" w:cs="Arial" w:eastAsia="Arial" w:hAnsi="Arial"/>
          <w:sz w:val="22"/>
          <w:szCs w:val="22"/>
          <w:color w:val="auto"/>
        </w:rPr>
        <w:t xml:space="preserve">, then the Letter of Credit Fees payable to the Non-Defaulting Lenders pursuant to </w:t>
      </w:r>
      <w:r>
        <w:rPr>
          <w:rFonts w:ascii="Arial" w:cs="Arial" w:eastAsia="Arial" w:hAnsi="Arial"/>
          <w:sz w:val="22"/>
          <w:szCs w:val="22"/>
          <w:u w:val="single" w:color="auto"/>
          <w:color w:val="auto"/>
        </w:rPr>
        <w:t>Section 2.6(b)</w:t>
      </w:r>
      <w:r>
        <w:rPr>
          <w:rFonts w:ascii="Arial" w:cs="Arial" w:eastAsia="Arial" w:hAnsi="Arial"/>
          <w:sz w:val="22"/>
          <w:szCs w:val="22"/>
          <w:color w:val="auto"/>
        </w:rPr>
        <w:t xml:space="preserve"> shall be adjusted in accordance with such Non-Defaulting Lenders' Letter of Credit Exposure;</w:t>
      </w:r>
    </w:p>
    <w:p>
      <w:pPr>
        <w:spacing w:after="0" w:line="185" w:lineRule="exact"/>
        <w:rPr>
          <w:sz w:val="20"/>
          <w:szCs w:val="20"/>
          <w:color w:val="auto"/>
        </w:rPr>
      </w:pPr>
    </w:p>
    <w:p>
      <w:pPr>
        <w:jc w:val="both"/>
        <w:ind w:left="1500" w:firstLine="1498"/>
        <w:spacing w:after="0" w:line="250" w:lineRule="auto"/>
        <w:rPr>
          <w:sz w:val="20"/>
          <w:szCs w:val="20"/>
          <w:color w:val="auto"/>
        </w:rPr>
      </w:pPr>
      <w:r>
        <w:rPr>
          <w:rFonts w:ascii="Arial" w:cs="Arial" w:eastAsia="Arial" w:hAnsi="Arial"/>
          <w:sz w:val="22"/>
          <w:szCs w:val="22"/>
          <w:color w:val="auto"/>
        </w:rPr>
        <w:t>so long as any Lender is a Defaulting Lender, the Swing Lender shall not be required to make any Swing Loan and Issuing Bank shall not be required to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2" w:name="page103"/>
    <w:bookmarkEnd w:id="102"/>
    <w:p>
      <w:pPr>
        <w:jc w:val="both"/>
        <w:ind w:left="1500"/>
        <w:spacing w:after="0" w:line="246" w:lineRule="auto"/>
        <w:rPr>
          <w:sz w:val="20"/>
          <w:szCs w:val="20"/>
          <w:color w:val="auto"/>
        </w:rPr>
      </w:pPr>
      <w:r>
        <w:rPr>
          <w:rFonts w:ascii="Arial" w:cs="Arial" w:eastAsia="Arial" w:hAnsi="Arial"/>
          <w:sz w:val="21"/>
          <w:szCs w:val="21"/>
          <w:color w:val="auto"/>
        </w:rPr>
        <w:t xml:space="preserve">issue, amend, or increase any Letter of Credit, in each case, to the extent (x) the Defaulting Lender's Pro Rata Share of such Swing Loans or Letter of Credit cannot be reallocated pursuant to this </w:t>
      </w:r>
      <w:r>
        <w:rPr>
          <w:rFonts w:ascii="Arial" w:cs="Arial" w:eastAsia="Arial" w:hAnsi="Arial"/>
          <w:sz w:val="21"/>
          <w:szCs w:val="21"/>
          <w:u w:val="single" w:color="auto"/>
          <w:color w:val="auto"/>
        </w:rPr>
        <w:t>Section 2.3(c)(iv)</w:t>
      </w:r>
      <w:r>
        <w:rPr>
          <w:rFonts w:ascii="Arial" w:cs="Arial" w:eastAsia="Arial" w:hAnsi="Arial"/>
          <w:sz w:val="21"/>
          <w:szCs w:val="21"/>
          <w:color w:val="auto"/>
        </w:rPr>
        <w:t>, (y) the Swing Lender or Issuing Bank, as applicable, has not otherwise entered into arrangements reasonably satisfactory to the Swing Lender or Issuing Bank, as applicable, and Borrowers to eliminate the Swing Lender's or Issuing Bank's risk with respect to the Defaulting Lender's participation in Swing Loans or Letters of Credit or (z) in the case of Letters of Credit, Borrowers have not cash collateralized such Defaulting Lender's Letter of Credit Exposure; and</w:t>
      </w:r>
    </w:p>
    <w:p>
      <w:pPr>
        <w:spacing w:after="0" w:line="184" w:lineRule="exact"/>
        <w:rPr>
          <w:sz w:val="20"/>
          <w:szCs w:val="20"/>
          <w:color w:val="auto"/>
        </w:rPr>
      </w:pPr>
    </w:p>
    <w:p>
      <w:pPr>
        <w:ind w:left="3000"/>
        <w:spacing w:after="0"/>
        <w:rPr>
          <w:sz w:val="20"/>
          <w:szCs w:val="20"/>
          <w:color w:val="auto"/>
        </w:rPr>
      </w:pPr>
      <w:r>
        <w:rPr>
          <w:rFonts w:ascii="Arial" w:cs="Arial" w:eastAsia="Arial" w:hAnsi="Arial"/>
          <w:sz w:val="19"/>
          <w:szCs w:val="19"/>
          <w:color w:val="auto"/>
        </w:rPr>
        <w:t xml:space="preserve">Agent may release any cash collateral provided by Borrowers pursuant to this </w:t>
      </w:r>
      <w:r>
        <w:rPr>
          <w:rFonts w:ascii="Arial" w:cs="Arial" w:eastAsia="Arial" w:hAnsi="Arial"/>
          <w:sz w:val="19"/>
          <w:szCs w:val="19"/>
          <w:u w:val="single" w:color="auto"/>
          <w:color w:val="auto"/>
        </w:rPr>
        <w:t>Section 2.3(c)</w:t>
      </w:r>
    </w:p>
    <w:p>
      <w:pPr>
        <w:spacing w:after="0" w:line="43" w:lineRule="exact"/>
        <w:rPr>
          <w:sz w:val="20"/>
          <w:szCs w:val="20"/>
          <w:color w:val="auto"/>
        </w:rPr>
      </w:pPr>
    </w:p>
    <w:p>
      <w:pPr>
        <w:jc w:val="both"/>
        <w:ind w:left="1500" w:firstLine="5"/>
        <w:spacing w:after="0" w:line="244" w:lineRule="auto"/>
        <w:tabs>
          <w:tab w:leader="none" w:pos="1888" w:val="left"/>
        </w:tabs>
        <w:numPr>
          <w:ilvl w:val="0"/>
          <w:numId w:val="51"/>
        </w:numPr>
        <w:rPr>
          <w:rFonts w:ascii="Arial" w:cs="Arial" w:eastAsia="Arial" w:hAnsi="Arial"/>
          <w:sz w:val="21"/>
          <w:szCs w:val="21"/>
          <w:u w:val="single" w:color="auto"/>
          <w:color w:val="auto"/>
        </w:rPr>
      </w:pPr>
      <w:r>
        <w:rPr>
          <w:rFonts w:ascii="Arial" w:cs="Arial" w:eastAsia="Arial" w:hAnsi="Arial"/>
          <w:sz w:val="21"/>
          <w:szCs w:val="21"/>
          <w:color w:val="auto"/>
        </w:rPr>
        <w:t xml:space="preserve">to Issuing Bank and Issuing Bank may apply any such cash collateral to the payment of such Defaulting Lender's Pro Rata Share of any Letter of Credit Disbursement that is not reimbursed by Borrowers pursuant to </w:t>
      </w:r>
      <w:r>
        <w:rPr>
          <w:rFonts w:ascii="Arial" w:cs="Arial" w:eastAsia="Arial" w:hAnsi="Arial"/>
          <w:sz w:val="21"/>
          <w:szCs w:val="21"/>
          <w:u w:val="single" w:color="auto"/>
          <w:color w:val="auto"/>
        </w:rPr>
        <w:t>Section 2.11(d)</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FF0000"/>
          <w:strike w:val="1"/>
        </w:rPr>
        <w:t>17.14</w:t>
      </w:r>
      <w:r>
        <w:rPr>
          <w:rFonts w:ascii="Arial" w:cs="Arial" w:eastAsia="Arial" w:hAnsi="Arial"/>
          <w:sz w:val="21"/>
          <w:szCs w:val="21"/>
          <w:u w:val="single" w:color="auto"/>
          <w:color w:val="0000FF"/>
        </w:rPr>
        <w:t>17.13</w:t>
      </w:r>
      <w:r>
        <w:rPr>
          <w:rFonts w:ascii="Arial" w:cs="Arial" w:eastAsia="Arial" w:hAnsi="Arial"/>
          <w:sz w:val="21"/>
          <w:szCs w:val="21"/>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Making of Swing Loans</w:t>
      </w:r>
      <w:r>
        <w:rPr>
          <w:rFonts w:ascii="Arial" w:cs="Arial" w:eastAsia="Arial" w:hAnsi="Arial"/>
          <w:sz w:val="22"/>
          <w:szCs w:val="22"/>
          <w:color w:val="auto"/>
        </w:rPr>
        <w:t>.</w:t>
      </w:r>
    </w:p>
    <w:p>
      <w:pPr>
        <w:spacing w:after="0" w:line="212" w:lineRule="exact"/>
        <w:rPr>
          <w:sz w:val="20"/>
          <w:szCs w:val="20"/>
          <w:color w:val="auto"/>
        </w:rPr>
      </w:pPr>
    </w:p>
    <w:p>
      <w:pPr>
        <w:jc w:val="both"/>
        <w:ind w:firstLine="2246"/>
        <w:spacing w:after="0" w:line="271" w:lineRule="auto"/>
        <w:rPr>
          <w:sz w:val="20"/>
          <w:szCs w:val="20"/>
          <w:color w:val="auto"/>
        </w:rPr>
      </w:pPr>
      <w:r>
        <w:rPr>
          <w:rFonts w:ascii="Arial" w:cs="Arial" w:eastAsia="Arial" w:hAnsi="Arial"/>
          <w:sz w:val="19"/>
          <w:szCs w:val="19"/>
          <w:color w:val="auto"/>
        </w:rPr>
        <w:t xml:space="preserve">In the event Agent shall elect, with the consent of Swing Lender, as a Lender, to have the terms of this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apply to a requested Borrowing as described in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Swing Lender as a Lender shall make such Advance in the amount of such Borrowing (any such Advance made solely by Swing Lender as a Lender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2.3(d)</w:t>
      </w:r>
      <w:r>
        <w:rPr>
          <w:rFonts w:ascii="Arial" w:cs="Arial" w:eastAsia="Arial" w:hAnsi="Arial"/>
          <w:sz w:val="19"/>
          <w:szCs w:val="19"/>
          <w:color w:val="auto"/>
        </w:rPr>
        <w:t xml:space="preserve"> being referred to as a "</w:t>
      </w:r>
      <w:r>
        <w:rPr>
          <w:rFonts w:ascii="Arial" w:cs="Arial" w:eastAsia="Arial" w:hAnsi="Arial"/>
          <w:sz w:val="19"/>
          <w:szCs w:val="19"/>
          <w:u w:val="single" w:color="auto"/>
          <w:color w:val="auto"/>
        </w:rPr>
        <w:t>Swing Loan</w:t>
      </w:r>
      <w:r>
        <w:rPr>
          <w:rFonts w:ascii="Arial" w:cs="Arial" w:eastAsia="Arial" w:hAnsi="Arial"/>
          <w:sz w:val="19"/>
          <w:szCs w:val="19"/>
          <w:color w:val="auto"/>
        </w:rPr>
        <w:t>" and such Advances being referred to collectively as "</w:t>
      </w:r>
      <w:r>
        <w:rPr>
          <w:rFonts w:ascii="Arial" w:cs="Arial" w:eastAsia="Arial" w:hAnsi="Arial"/>
          <w:sz w:val="19"/>
          <w:szCs w:val="19"/>
          <w:u w:val="single" w:color="auto"/>
          <w:color w:val="auto"/>
        </w:rPr>
        <w:t>Swing Loans</w:t>
      </w:r>
      <w:r>
        <w:rPr>
          <w:rFonts w:ascii="Arial" w:cs="Arial" w:eastAsia="Arial" w:hAnsi="Arial"/>
          <w:sz w:val="19"/>
          <w:szCs w:val="19"/>
          <w:color w:val="auto"/>
        </w:rPr>
        <w:t xml:space="preserve">") available to Borrowers on the Funding Date applicable thereto by transferring immediately available funds to Administrative Borrower's Designated Account. Each Swing Loan is an Advance hereunder and shall be subject to all the terms and conditions applicable to other Advances, except that no such Swing Loan shall be eligible for the LIBOR Option and all payments on any Swing Loan shall be payable to Swing Lender as a Lender solely for its own account (and for the account of the holder of any participation interest with respect to such Swing Loan). Subject to the provisions of </w:t>
      </w:r>
      <w:r>
        <w:rPr>
          <w:rFonts w:ascii="Arial" w:cs="Arial" w:eastAsia="Arial" w:hAnsi="Arial"/>
          <w:sz w:val="19"/>
          <w:szCs w:val="19"/>
          <w:u w:val="single" w:color="auto"/>
          <w:color w:val="auto"/>
        </w:rPr>
        <w:t>Section 2.3(i)</w:t>
      </w:r>
      <w:r>
        <w:rPr>
          <w:rFonts w:ascii="Arial" w:cs="Arial" w:eastAsia="Arial" w:hAnsi="Arial"/>
          <w:sz w:val="19"/>
          <w:szCs w:val="19"/>
          <w:color w:val="auto"/>
        </w:rPr>
        <w:t xml:space="preserve">, Agent shall not request Swing Lender as a Lender to make, and Swing Lender as a Lender shall not make, any Swing Loan if Agent has actual knowledge that (i) one or more of the applicable conditions precedent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will not be satisfied on the requested Funding Date for the applicable Borrowing unless such condition has been waived, or (ii) the requested Borrowing would exceed the Availability on such Funding Date. Swing Lender as a Lender shall not otherwise be required to determine whether the applicable conditions precedent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have been satisfied on the Funding Date applicable thereto prior to making, in its sole discretion, any Swing Loan.</w:t>
      </w:r>
    </w:p>
    <w:p>
      <w:pPr>
        <w:spacing w:after="0" w:line="200" w:lineRule="exact"/>
        <w:rPr>
          <w:sz w:val="20"/>
          <w:szCs w:val="20"/>
          <w:color w:val="auto"/>
        </w:rPr>
      </w:pPr>
    </w:p>
    <w:p>
      <w:pPr>
        <w:spacing w:after="0" w:line="207" w:lineRule="exact"/>
        <w:rPr>
          <w:sz w:val="20"/>
          <w:szCs w:val="20"/>
          <w:color w:val="auto"/>
        </w:rPr>
      </w:pPr>
    </w:p>
    <w:p>
      <w:pPr>
        <w:jc w:val="both"/>
        <w:ind w:firstLine="2246"/>
        <w:spacing w:after="0" w:line="328" w:lineRule="auto"/>
        <w:rPr>
          <w:sz w:val="20"/>
          <w:szCs w:val="20"/>
          <w:color w:val="auto"/>
        </w:rPr>
      </w:pPr>
      <w:r>
        <w:rPr>
          <w:rFonts w:ascii="Arial" w:cs="Arial" w:eastAsia="Arial" w:hAnsi="Arial"/>
          <w:sz w:val="19"/>
          <w:szCs w:val="19"/>
          <w:color w:val="auto"/>
        </w:rPr>
        <w:t>The Swing Loans shall be secured by the Agent's Liens, shall constitute Advances and Obligations hereunder, and shall bear interest at the rate applicable from time to time to Advances that are Base Rate Loans.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3" w:name="page104"/>
    <w:bookmarkEnd w:id="103"/>
    <w:p>
      <w:pPr>
        <w:ind w:left="1500"/>
        <w:spacing w:after="0"/>
        <w:rPr>
          <w:sz w:val="20"/>
          <w:szCs w:val="20"/>
          <w:color w:val="auto"/>
        </w:rPr>
      </w:pPr>
      <w:r>
        <w:rPr>
          <w:rFonts w:ascii="Arial" w:cs="Arial" w:eastAsia="Arial" w:hAnsi="Arial"/>
          <w:sz w:val="22"/>
          <w:szCs w:val="22"/>
          <w:b w:val="1"/>
          <w:bCs w:val="1"/>
          <w:color w:val="auto"/>
        </w:rPr>
        <w:t>Agent Advances</w:t>
      </w:r>
      <w:r>
        <w:rPr>
          <w:rFonts w:ascii="Arial" w:cs="Arial" w:eastAsia="Arial" w:hAnsi="Arial"/>
          <w:sz w:val="22"/>
          <w:szCs w:val="22"/>
          <w:color w:val="auto"/>
        </w:rPr>
        <w:t>.</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Agent hereby is authorized by Borrowers and the Lenders, from time to time in Agent's sole discretion,</w:t>
      </w:r>
    </w:p>
    <w:p>
      <w:pPr>
        <w:spacing w:after="0" w:line="8" w:lineRule="exact"/>
        <w:rPr>
          <w:sz w:val="20"/>
          <w:szCs w:val="20"/>
          <w:color w:val="auto"/>
        </w:rPr>
      </w:pPr>
    </w:p>
    <w:p>
      <w:pPr>
        <w:jc w:val="both"/>
        <w:ind w:firstLine="8"/>
        <w:spacing w:after="0" w:line="243" w:lineRule="auto"/>
        <w:tabs>
          <w:tab w:leader="none" w:pos="319"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after the occurrence and during the continuance of a Default or an Event of Default, or (2) at any time that any of the other applicable conditions precedent set forth in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have not been satisfied, to make Advances to Borrowers on behalf of the Lenders that Agent, in its Permitted Discretion deems necessary or desirable (A) to preserve or protect the Collateral, or any portion thereof, (B) to enhance the likelihood of repayment of the Obligations (other than the Bank Product Obligations), or (C) to pay any other amount chargeable to Borrowers pursuant to the terms of this Agreement, including Lender Group Expenses and the costs, fees, and expenses described in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(any of the Advances described in this </w:t>
      </w:r>
      <w:r>
        <w:rPr>
          <w:rFonts w:ascii="Arial" w:cs="Arial" w:eastAsia="Arial" w:hAnsi="Arial"/>
          <w:sz w:val="21"/>
          <w:szCs w:val="21"/>
          <w:u w:val="single" w:color="auto"/>
          <w:color w:val="auto"/>
        </w:rPr>
        <w:t>Section 2.3(e)</w:t>
      </w:r>
      <w:r>
        <w:rPr>
          <w:rFonts w:ascii="Arial" w:cs="Arial" w:eastAsia="Arial" w:hAnsi="Arial"/>
          <w:sz w:val="21"/>
          <w:szCs w:val="21"/>
          <w:color w:val="auto"/>
        </w:rPr>
        <w:t xml:space="preserve"> shall be referred to as "</w:t>
      </w:r>
      <w:r>
        <w:rPr>
          <w:rFonts w:ascii="Arial" w:cs="Arial" w:eastAsia="Arial" w:hAnsi="Arial"/>
          <w:sz w:val="21"/>
          <w:szCs w:val="21"/>
          <w:u w:val="single" w:color="auto"/>
          <w:color w:val="auto"/>
        </w:rPr>
        <w:t>Agent Advances</w:t>
      </w:r>
      <w:r>
        <w:rPr>
          <w:rFonts w:ascii="Arial" w:cs="Arial" w:eastAsia="Arial" w:hAnsi="Arial"/>
          <w:sz w:val="21"/>
          <w:szCs w:val="21"/>
          <w:color w:val="auto"/>
        </w:rPr>
        <w:t>"). Each Agent Advance is an Advance hereunder and shall be subject to all the terms and conditions applicable to other Advances, except that no such Agent Advance shall be eligible for the LIBOR Option and all payments thereon shall be payable to Agent solely for its own account (and for the account of the holder of any participation interest with respect to such Agent Advance).</w:t>
      </w:r>
    </w:p>
    <w:p>
      <w:pPr>
        <w:spacing w:after="0" w:line="183"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The Agent Advances shall be repayable on demand and secured by the Agent's Liens granted to Agent under the Loan Documents, shall constitute Advances and Obligations hereunder, and shall bear interest at the rate applicable from time to time to Advances that are Base Rate Loans.</w:t>
      </w:r>
    </w:p>
    <w:p>
      <w:pPr>
        <w:spacing w:after="0" w:line="180" w:lineRule="exact"/>
        <w:rPr>
          <w:sz w:val="20"/>
          <w:szCs w:val="20"/>
          <w:color w:val="auto"/>
        </w:rPr>
      </w:pPr>
    </w:p>
    <w:p>
      <w:pPr>
        <w:jc w:val="both"/>
        <w:ind w:firstLine="1497"/>
        <w:spacing w:after="0" w:line="283" w:lineRule="auto"/>
        <w:rPr>
          <w:sz w:val="20"/>
          <w:szCs w:val="20"/>
          <w:color w:val="auto"/>
        </w:rPr>
      </w:pPr>
      <w:r>
        <w:rPr>
          <w:rFonts w:ascii="Arial" w:cs="Arial" w:eastAsia="Arial" w:hAnsi="Arial"/>
          <w:sz w:val="19"/>
          <w:szCs w:val="19"/>
          <w:b w:val="1"/>
          <w:bCs w:val="1"/>
          <w:color w:val="auto"/>
        </w:rPr>
        <w:t>Settlement</w:t>
      </w:r>
      <w:r>
        <w:rPr>
          <w:rFonts w:ascii="Arial" w:cs="Arial" w:eastAsia="Arial" w:hAnsi="Arial"/>
          <w:sz w:val="19"/>
          <w:szCs w:val="19"/>
          <w:color w:val="auto"/>
        </w:rPr>
        <w:t>. It is agreed that each Lender's funded portion of the Advances is intended by the Lenders to equal,</w:t>
      </w:r>
      <w:r>
        <w:rPr>
          <w:rFonts w:ascii="Arial" w:cs="Arial" w:eastAsia="Arial" w:hAnsi="Arial"/>
          <w:sz w:val="19"/>
          <w:szCs w:val="19"/>
          <w:b w:val="1"/>
          <w:bCs w:val="1"/>
          <w:color w:val="auto"/>
        </w:rPr>
        <w:t xml:space="preserve"> </w:t>
      </w:r>
      <w:r>
        <w:rPr>
          <w:rFonts w:ascii="Arial" w:cs="Arial" w:eastAsia="Arial" w:hAnsi="Arial"/>
          <w:sz w:val="19"/>
          <w:szCs w:val="19"/>
          <w:color w:val="auto"/>
        </w:rPr>
        <w:t>at all times, such Lender's Pro Rata Share of the outstanding Advances. Such agreement notwithstanding, Agent, Swing Lender, and the other Lenders agree (which agreement shall not be for the benefit of or enforceable by the Loan Parties) that in order to facilitate the administration of this Agreement and the other Loan Documents, settlement among them as to the Advances, the Swing Loans, and the Agent Advances shall take place on a periodic basis in accordance with the following provisions:</w:t>
      </w:r>
    </w:p>
    <w:p>
      <w:pPr>
        <w:spacing w:after="0" w:line="149" w:lineRule="exact"/>
        <w:rPr>
          <w:sz w:val="20"/>
          <w:szCs w:val="20"/>
          <w:color w:val="auto"/>
        </w:rPr>
      </w:pPr>
    </w:p>
    <w:p>
      <w:pPr>
        <w:jc w:val="both"/>
        <w:ind w:firstLine="2246"/>
        <w:spacing w:after="0" w:line="272" w:lineRule="auto"/>
        <w:rPr>
          <w:sz w:val="20"/>
          <w:szCs w:val="20"/>
          <w:color w:val="auto"/>
        </w:rPr>
      </w:pPr>
      <w:r>
        <w:rPr>
          <w:rFonts w:ascii="Arial" w:cs="Arial" w:eastAsia="Arial" w:hAnsi="Arial"/>
          <w:sz w:val="19"/>
          <w:szCs w:val="19"/>
          <w:color w:val="auto"/>
        </w:rPr>
        <w:t>Agent shall request settlement ("</w:t>
      </w:r>
      <w:r>
        <w:rPr>
          <w:rFonts w:ascii="Arial" w:cs="Arial" w:eastAsia="Arial" w:hAnsi="Arial"/>
          <w:sz w:val="19"/>
          <w:szCs w:val="19"/>
          <w:u w:val="single" w:color="auto"/>
          <w:color w:val="auto"/>
        </w:rPr>
        <w:t>Settlement</w:t>
      </w:r>
      <w:r>
        <w:rPr>
          <w:rFonts w:ascii="Arial" w:cs="Arial" w:eastAsia="Arial" w:hAnsi="Arial"/>
          <w:sz w:val="19"/>
          <w:szCs w:val="19"/>
          <w:color w:val="auto"/>
        </w:rPr>
        <w:t>") with the Lenders on a weekly basis, or on a more frequent basis if so determined by Agent, (1) on behalf of Swing Lender, with respect to each outstanding Swing Loan, (2) for itself, with respect to each Agent Advance, and (3) with respect to Collections received, as to each by notifying the Lenders by telecopy, telephone, or other similar form of transmission, of such requested Settlement, no later than 2:00 p.m. (California time) on the Business Day immediately prior to the date of such requested Settlement (the date of such requested Settlement being the "</w:t>
      </w:r>
      <w:r>
        <w:rPr>
          <w:rFonts w:ascii="Arial" w:cs="Arial" w:eastAsia="Arial" w:hAnsi="Arial"/>
          <w:sz w:val="19"/>
          <w:szCs w:val="19"/>
          <w:u w:val="single" w:color="auto"/>
          <w:color w:val="auto"/>
        </w:rPr>
        <w:t>Settlement Date</w:t>
      </w:r>
      <w:r>
        <w:rPr>
          <w:rFonts w:ascii="Arial" w:cs="Arial" w:eastAsia="Arial" w:hAnsi="Arial"/>
          <w:sz w:val="19"/>
          <w:szCs w:val="19"/>
          <w:color w:val="auto"/>
        </w:rPr>
        <w:t xml:space="preserve">"). Such notice of a Settlement Date shall include a summary statement of the amount of outstanding Advances, Swing Loans, and Agent Advances for the period since the prior Settlement Date. Subject to the terms and conditions contained herein (including </w:t>
      </w:r>
      <w:r>
        <w:rPr>
          <w:rFonts w:ascii="Arial" w:cs="Arial" w:eastAsia="Arial" w:hAnsi="Arial"/>
          <w:sz w:val="19"/>
          <w:szCs w:val="19"/>
          <w:u w:val="single" w:color="auto"/>
          <w:color w:val="auto"/>
        </w:rPr>
        <w:t>Section 2.3(c)(iii)</w:t>
      </w:r>
      <w:r>
        <w:rPr>
          <w:rFonts w:ascii="Arial" w:cs="Arial" w:eastAsia="Arial" w:hAnsi="Arial"/>
          <w:sz w:val="19"/>
          <w:szCs w:val="19"/>
          <w:color w:val="auto"/>
        </w:rPr>
        <w:t>): (y) if a Lender's balance of the Advances, Swing Loans, and Agent Advances exceeds such Lender's Pro Rata Share of the Advances, Swing Loans, and Agent Advances as of a Settlement Date, then Agent shall, by no later than 12:00 p.m. (California time) on the Settlement Date, transfer in immediately available funds to the account of such Lender as such Lender may designate, an amount such that each such Lender shall, upon receipt of such amount, have as of the Settlement Date, its Pro Rata Share of the Advances, Swing Loans, and Agent Advances, and (z) if a Lender's balance of the Advances, Swing Loans, and Agent Advances is less than such Lender's Pro Rata Share of the Advances,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4" w:name="page105"/>
    <w:bookmarkEnd w:id="104"/>
    <w:p>
      <w:pPr>
        <w:jc w:val="both"/>
        <w:spacing w:after="0" w:line="245" w:lineRule="auto"/>
        <w:rPr>
          <w:sz w:val="20"/>
          <w:szCs w:val="20"/>
          <w:color w:val="auto"/>
        </w:rPr>
      </w:pPr>
      <w:r>
        <w:rPr>
          <w:rFonts w:ascii="Arial" w:cs="Arial" w:eastAsia="Arial" w:hAnsi="Arial"/>
          <w:sz w:val="21"/>
          <w:szCs w:val="21"/>
          <w:color w:val="auto"/>
        </w:rPr>
        <w:t>Swing Loans, and Agent Advances as of a Settlement Date, such Lender shall no later than 12:00 p.m. (California time) on the Settlement Date transfer in immediately available funds to the Agent's Account, an amount such that each such Lender shall, upon transfer of such amount, have as of the Settlement Date, its Pro Rata Share of the Advances, Swing Loans, and Agent Advances. Such amounts made available to Agent under clause (z) of the immediately preceding sentence shall be applied against the amounts of the applicable Swing Loan or Agent Advance and, together with the portion of such Swing Loan or Agent Advance representing Swing Lender's Pro Rata Share thereof, shall constitute Advances of such Lenders.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spacing w:after="0" w:line="184" w:lineRule="exact"/>
        <w:rPr>
          <w:sz w:val="20"/>
          <w:szCs w:val="20"/>
          <w:color w:val="auto"/>
        </w:rPr>
      </w:pPr>
    </w:p>
    <w:p>
      <w:pPr>
        <w:jc w:val="both"/>
        <w:ind w:firstLine="2246"/>
        <w:spacing w:after="0" w:line="248" w:lineRule="auto"/>
        <w:rPr>
          <w:sz w:val="20"/>
          <w:szCs w:val="20"/>
          <w:color w:val="auto"/>
        </w:rPr>
      </w:pPr>
      <w:r>
        <w:rPr>
          <w:rFonts w:ascii="Arial" w:cs="Arial" w:eastAsia="Arial" w:hAnsi="Arial"/>
          <w:sz w:val="21"/>
          <w:szCs w:val="21"/>
          <w:color w:val="auto"/>
        </w:rPr>
        <w:t>In determining whether a Lender's balance of the Advances, Swing Loans, and Agent Advances is less than, equal to, or greater than such Lender's Pro Rata Share of the Advances, Swing Loans, and Agent Advances as of a Settlement Date, Agent shall, as part of the relevant Settlement, apply to such balance the portion of payments actually received in good funds by Agent with respect to principal, interest, fees payable by Borrowers and allocable to the Lenders hereunder, and proceeds of Collateral. To the extent that a net amount is owed to any such Lender after such application, such net amount shall be distributed by Agent to that Lender as part of such next Settlement.</w:t>
      </w:r>
    </w:p>
    <w:p>
      <w:pPr>
        <w:spacing w:after="0" w:line="177" w:lineRule="exact"/>
        <w:rPr>
          <w:sz w:val="20"/>
          <w:szCs w:val="20"/>
          <w:color w:val="auto"/>
        </w:rPr>
      </w:pPr>
    </w:p>
    <w:p>
      <w:pPr>
        <w:jc w:val="both"/>
        <w:ind w:firstLine="2246"/>
        <w:spacing w:after="0" w:line="244" w:lineRule="auto"/>
        <w:rPr>
          <w:sz w:val="20"/>
          <w:szCs w:val="20"/>
          <w:color w:val="auto"/>
        </w:rPr>
      </w:pPr>
      <w:r>
        <w:rPr>
          <w:rFonts w:ascii="Arial" w:cs="Arial" w:eastAsia="Arial" w:hAnsi="Arial"/>
          <w:sz w:val="21"/>
          <w:szCs w:val="21"/>
          <w:color w:val="auto"/>
        </w:rPr>
        <w:t>Between Settlement Dates, Agent, to the extent no Agent Advances or Swing Loans are outstanding, may pay over to Swing Lender any payments received by Agent, that in accordance with the terms of this Agreement would be applied to the reduction of the Advances, for application to Swing Lender's Pro Rata Share of the Advances. If, as of any Settlement Date, Collections received since the then immediately preceding Settlement Date have been applied to Swing Lender's Pro Rata Share of the Advances other than to Swing Loans, as provided for in the previous sentence, Swing Lender shall pay to Agent for the accounts of the Lenders, and Agent shall pay to the Lenders, to be applied to the outstanding Advances of such Lenders, an amount such that each Lender shall, upon receipt of such amount, have, as of such Settlement Date, its Pro Rata Share of the Advances. During the period between Settlement Dates, Swing Lender with respect to Swing Loans, Agent with respect to Agent Advances, and each Lender (subject to the effect of letter agreements between Agent and individual Lenders) with respect to the Advances other than Swing Loans and Agent Advances, shall be entitled to interest at the applicable rate or rates payable under this Agreement on the daily amount of funds employed by Swing Lender, Agent, or the Lenders, as applicable.</w:t>
      </w:r>
    </w:p>
    <w:p>
      <w:pPr>
        <w:spacing w:after="0" w:line="180" w:lineRule="exact"/>
        <w:rPr>
          <w:sz w:val="20"/>
          <w:szCs w:val="20"/>
          <w:color w:val="auto"/>
        </w:rPr>
      </w:pPr>
    </w:p>
    <w:p>
      <w:pPr>
        <w:jc w:val="both"/>
        <w:ind w:firstLine="1497"/>
        <w:spacing w:after="0" w:line="283" w:lineRule="auto"/>
        <w:rPr>
          <w:sz w:val="20"/>
          <w:szCs w:val="20"/>
          <w:color w:val="auto"/>
        </w:rPr>
      </w:pPr>
      <w:r>
        <w:rPr>
          <w:rFonts w:ascii="Arial" w:cs="Arial" w:eastAsia="Arial" w:hAnsi="Arial"/>
          <w:sz w:val="19"/>
          <w:szCs w:val="19"/>
          <w:b w:val="1"/>
          <w:bCs w:val="1"/>
          <w:color w:val="auto"/>
        </w:rPr>
        <w:t>Notation</w:t>
      </w:r>
      <w:r>
        <w:rPr>
          <w:rFonts w:ascii="Arial" w:cs="Arial" w:eastAsia="Arial" w:hAnsi="Arial"/>
          <w:sz w:val="19"/>
          <w:szCs w:val="19"/>
          <w:color w:val="auto"/>
        </w:rPr>
        <w:t>. Agent shall record on its books the principal amount of the Advances owing to each Lender,</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the Swing Loans owing to Swing Lender, and Agent Advances owing to Agent, and the interests therein of each Lender, from time to time. In addition, each Lender is authorized, at such Lender's option, to note the date and amount of each payment or prepayment of principal of such Lender's Advances in its books and records, including computer records, such books and records constituting conclusive evidence, absent manifest error, of the accuracy of the information contained therein.</w:t>
      </w:r>
    </w:p>
    <w:p>
      <w:pPr>
        <w:spacing w:after="0" w:line="143"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Lenders' Failure to Perform</w:t>
      </w:r>
      <w:r>
        <w:rPr>
          <w:rFonts w:ascii="Arial" w:cs="Arial" w:eastAsia="Arial" w:hAnsi="Arial"/>
          <w:sz w:val="22"/>
          <w:szCs w:val="22"/>
          <w:color w:val="auto"/>
        </w:rPr>
        <w:t>. All Advances (other than Swing Loans and Agent Advances) shall be made by</w:t>
      </w:r>
      <w:r>
        <w:rPr>
          <w:rFonts w:ascii="Arial" w:cs="Arial" w:eastAsia="Arial" w:hAnsi="Arial"/>
          <w:sz w:val="22"/>
          <w:szCs w:val="22"/>
          <w:b w:val="1"/>
          <w:bCs w:val="1"/>
          <w:color w:val="auto"/>
        </w:rPr>
        <w:t xml:space="preserve"> </w:t>
      </w:r>
      <w:r>
        <w:rPr>
          <w:rFonts w:ascii="Arial" w:cs="Arial" w:eastAsia="Arial" w:hAnsi="Arial"/>
          <w:sz w:val="22"/>
          <w:szCs w:val="22"/>
          <w:color w:val="auto"/>
        </w:rPr>
        <w:t>the Lenders contemporaneously and in accordance with their Pro Rata</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5" w:name="page106"/>
    <w:bookmarkEnd w:id="105"/>
    <w:p>
      <w:pPr>
        <w:jc w:val="both"/>
        <w:spacing w:after="0" w:line="252" w:lineRule="auto"/>
        <w:rPr>
          <w:sz w:val="20"/>
          <w:szCs w:val="20"/>
          <w:color w:val="auto"/>
        </w:rPr>
      </w:pPr>
      <w:r>
        <w:rPr>
          <w:rFonts w:ascii="Arial" w:cs="Arial" w:eastAsia="Arial" w:hAnsi="Arial"/>
          <w:sz w:val="21"/>
          <w:szCs w:val="21"/>
          <w:color w:val="auto"/>
        </w:rPr>
        <w:t>Shares. It is understood that (i) no Lender shall be responsible for any failure by any other Lender to perform its obligation to make any Advance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168"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b w:val="1"/>
          <w:bCs w:val="1"/>
          <w:color w:val="auto"/>
        </w:rPr>
        <w:t>Optional Overadvances</w:t>
      </w:r>
      <w:r>
        <w:rPr>
          <w:rFonts w:ascii="Arial" w:cs="Arial" w:eastAsia="Arial" w:hAnsi="Arial"/>
          <w:sz w:val="19"/>
          <w:szCs w:val="19"/>
          <w:color w:val="auto"/>
        </w:rPr>
        <w:t>. Any contrary provision of this Agreement notwithstanding, the Lenders hereby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authorize Agent or Swing Lender, as applicable, and Agent or Swing Lender, as applicable, may, but is not obligated to, knowingly and intentionally, continue to make Advances (including Swing Loans) to Borrowers notwithstanding that an Overadvance exists or thereby would be created, so long as (i) after giving effect to such Advances (including a Swing Loan), the Revolver Usage with respect to the Borrowers does not exceed the Borrowing Base by more than $5,000,000, (ii) after giving effect to such Advances (including a Swing Loan) the outstanding Revolver Usage (except for and excluding amounts charged to the Loan Account for interest, fees, or Lender Group Expenses) does not exceed the Maximum Revolver Amount, and (iii) at the time of the making of any such Advance (including a Swing Loan), Agent does not believe, in good faith, that the Overadvance created by such Advance will be outstanding for more than 90 days. The foregoing provisions are for the exclusive benefit of Agent, Swing Lender, and the Lenders and are not intended to benefit Loan Parties in any way. The Advances and Swing Loans, as applicable, that are made pursuant to this </w:t>
      </w:r>
      <w:r>
        <w:rPr>
          <w:rFonts w:ascii="Arial" w:cs="Arial" w:eastAsia="Arial" w:hAnsi="Arial"/>
          <w:sz w:val="19"/>
          <w:szCs w:val="19"/>
          <w:u w:val="single" w:color="auto"/>
          <w:color w:val="auto"/>
        </w:rPr>
        <w:t>Section 2.3(i)</w:t>
      </w:r>
      <w:r>
        <w:rPr>
          <w:rFonts w:ascii="Arial" w:cs="Arial" w:eastAsia="Arial" w:hAnsi="Arial"/>
          <w:sz w:val="19"/>
          <w:szCs w:val="19"/>
          <w:color w:val="auto"/>
        </w:rPr>
        <w:t xml:space="preserve"> shall be subject to the same terms and conditions as any other Advance or Swing Loan, as applicable, except that they shall not be eligible for the LIBOR Option and the rate of interest applicable thereto shall be the rate applicable to Advances that are Base Rate Loans under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hereof without regard to the presence or absence of a Default or Event of Default.</w:t>
      </w:r>
    </w:p>
    <w:p>
      <w:pPr>
        <w:spacing w:after="0" w:line="200" w:lineRule="exact"/>
        <w:rPr>
          <w:sz w:val="20"/>
          <w:szCs w:val="20"/>
          <w:color w:val="auto"/>
        </w:rPr>
      </w:pPr>
    </w:p>
    <w:p>
      <w:pPr>
        <w:spacing w:after="0" w:line="205" w:lineRule="exact"/>
        <w:rPr>
          <w:sz w:val="20"/>
          <w:szCs w:val="20"/>
          <w:color w:val="auto"/>
        </w:rPr>
      </w:pPr>
    </w:p>
    <w:p>
      <w:pPr>
        <w:jc w:val="both"/>
        <w:ind w:firstLine="2246"/>
        <w:spacing w:after="0" w:line="274" w:lineRule="auto"/>
        <w:rPr>
          <w:sz w:val="20"/>
          <w:szCs w:val="20"/>
          <w:color w:val="auto"/>
        </w:rPr>
      </w:pPr>
      <w:r>
        <w:rPr>
          <w:rFonts w:ascii="Arial" w:cs="Arial" w:eastAsia="Arial" w:hAnsi="Arial"/>
          <w:sz w:val="19"/>
          <w:szCs w:val="19"/>
          <w:color w:val="auto"/>
        </w:rPr>
        <w:t>In the event Agent obtains actual knowledge that the Revolver Usage exceeds the amounts permitted by the preceding paragraph, regardless of the amount of, or reason for, such excess, Agent shall notify Lenders as soon as practicable (and prior to making any (or any additional) intentional Overadvances (except for and excluding amounts charged to the Loan Account for interest, fees, or Lender Group Expenses) unless Agent determines that prior notice would result in imminent harm to the Collateral or its value), and the Lenders with Revolver Commitments thereupon shall, together with Agent, jointly determine the terms of arrangements that shall be implemented with Borrowers and intended to reduce, within a reasonable time, the outstanding principal amount of the Advances to Borrowers to an amount permitted by the preceding paragraph. In the event Agent or any Lender disagrees over the terms of reduction or repayment of any Overadvance, the terms of reduction or repayment thereof shall be implemented according to the determination of the Required Lenders.</w:t>
      </w:r>
    </w:p>
    <w:p>
      <w:pPr>
        <w:spacing w:after="0" w:line="158" w:lineRule="exact"/>
        <w:rPr>
          <w:sz w:val="20"/>
          <w:szCs w:val="20"/>
          <w:color w:val="auto"/>
        </w:rPr>
      </w:pPr>
    </w:p>
    <w:p>
      <w:pPr>
        <w:jc w:val="both"/>
        <w:ind w:firstLine="2612"/>
        <w:spacing w:after="0" w:line="238" w:lineRule="auto"/>
        <w:rPr>
          <w:sz w:val="20"/>
          <w:szCs w:val="20"/>
          <w:color w:val="auto"/>
        </w:rPr>
      </w:pPr>
      <w:r>
        <w:rPr>
          <w:rFonts w:ascii="Arial" w:cs="Arial" w:eastAsia="Arial" w:hAnsi="Arial"/>
          <w:sz w:val="22"/>
          <w:szCs w:val="22"/>
          <w:color w:val="auto"/>
        </w:rPr>
        <w:t xml:space="preserve">Each Lender with a Revolver Commitment shall be obligated to settle with Agent as provided in </w:t>
      </w:r>
      <w:r>
        <w:rPr>
          <w:rFonts w:ascii="Arial" w:cs="Arial" w:eastAsia="Arial" w:hAnsi="Arial"/>
          <w:sz w:val="22"/>
          <w:szCs w:val="22"/>
          <w:u w:val="single" w:color="auto"/>
          <w:color w:val="auto"/>
        </w:rPr>
        <w:t>Section 2.3(f)</w:t>
      </w:r>
      <w:r>
        <w:rPr>
          <w:rFonts w:ascii="Arial" w:cs="Arial" w:eastAsia="Arial" w:hAnsi="Arial"/>
          <w:sz w:val="22"/>
          <w:szCs w:val="22"/>
          <w:color w:val="auto"/>
        </w:rPr>
        <w:t xml:space="preserve"> for the amount of such Lender's Pro Rata Share of any unintentional Overadvances by Agent reported to such Lender, any intentional Overadvances made as permitted under this </w:t>
      </w:r>
      <w:r>
        <w:rPr>
          <w:rFonts w:ascii="Arial" w:cs="Arial" w:eastAsia="Arial" w:hAnsi="Arial"/>
          <w:sz w:val="22"/>
          <w:szCs w:val="22"/>
          <w:u w:val="single" w:color="auto"/>
          <w:color w:val="auto"/>
        </w:rPr>
        <w:t>Section 2.3(i)</w:t>
      </w:r>
      <w:r>
        <w:rPr>
          <w:rFonts w:ascii="Arial" w:cs="Arial" w:eastAsia="Arial" w:hAnsi="Arial"/>
          <w:sz w:val="22"/>
          <w:szCs w:val="22"/>
          <w:color w:val="auto"/>
        </w:rPr>
        <w:t>, and any Overadvances resulting from the charging to the Loan Account of interest, fees, or Lender Group Expenses.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6" w:name="page107"/>
    <w:bookmarkEnd w:id="106"/>
    <w:p>
      <w:pPr>
        <w:ind w:left="760"/>
        <w:spacing w:after="0"/>
        <w:rPr>
          <w:sz w:val="20"/>
          <w:szCs w:val="20"/>
          <w:color w:val="auto"/>
        </w:rPr>
      </w:pPr>
      <w:r>
        <w:rPr>
          <w:rFonts w:ascii="Arial" w:cs="Arial" w:eastAsia="Arial" w:hAnsi="Arial"/>
          <w:sz w:val="22"/>
          <w:szCs w:val="22"/>
          <w:b w:val="1"/>
          <w:bCs w:val="1"/>
          <w:u w:val="single" w:color="auto"/>
          <w:color w:val="auto"/>
        </w:rPr>
        <w:t>Payments</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Payments by Borrowers</w:t>
      </w:r>
      <w:r>
        <w:rPr>
          <w:rFonts w:ascii="Arial" w:cs="Arial" w:eastAsia="Arial" w:hAnsi="Arial"/>
          <w:sz w:val="22"/>
          <w:szCs w:val="22"/>
          <w:color w:val="auto"/>
        </w:rPr>
        <w:t>.</w:t>
      </w:r>
    </w:p>
    <w:p>
      <w:pPr>
        <w:spacing w:after="0" w:line="212"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Except as otherwise expressly provided herein, all payments by Borrowers shall be made to Agent's Account for the account of the Lender Group and shall be made in immediately available funds, no later than 11:00 a.m. (California time) on the date specified herein. Any payment received by Agent later than 11:00 a.m. (California time), shall be deemed to have been received on the following Business Day and any applicable interest or fee shall continue to accrue until such following Business Day.</w:t>
      </w:r>
    </w:p>
    <w:p>
      <w:pPr>
        <w:spacing w:after="0" w:line="187" w:lineRule="exact"/>
        <w:rPr>
          <w:sz w:val="20"/>
          <w:szCs w:val="20"/>
          <w:color w:val="auto"/>
        </w:rPr>
      </w:pPr>
    </w:p>
    <w:p>
      <w:pPr>
        <w:jc w:val="both"/>
        <w:ind w:firstLine="2246"/>
        <w:spacing w:after="0" w:line="277" w:lineRule="auto"/>
        <w:rPr>
          <w:sz w:val="20"/>
          <w:szCs w:val="20"/>
          <w:color w:val="auto"/>
        </w:rPr>
      </w:pPr>
      <w:r>
        <w:rPr>
          <w:rFonts w:ascii="Arial" w:cs="Arial" w:eastAsia="Arial" w:hAnsi="Arial"/>
          <w:sz w:val="19"/>
          <w:szCs w:val="19"/>
          <w:color w:val="auto"/>
        </w:rPr>
        <w:t>Unless Agent receives notice from Administrative Borrower prior to the date on which any payment is due to the Lenders that Borrowers will not make such payment in full as and when required, Agent may assume that Borrowers have made (or will make) such payment in full to Agent on such date in immediately available funds and Agent may (but shall not be so required), in reliance upon such assumption, distribute to each Lender on such due date an amount equal to the amount then due such Lender. If and to the extent Borrowers do not make such payment in full to Agent on the date when due, each Lender severally shall repay to Agent on demand such amount distributed to such Lender, together with interest thereon at the Defaulting Lender Rate for each day from the date such amount is distributed to such Lender until the date repaid.</w:t>
      </w:r>
    </w:p>
    <w:p>
      <w:pPr>
        <w:spacing w:after="0" w:line="15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intentionally omitted</w:t>
      </w:r>
      <w:r>
        <w:rPr>
          <w:rFonts w:ascii="Arial" w:cs="Arial" w:eastAsia="Arial" w:hAnsi="Arial"/>
          <w:sz w:val="22"/>
          <w:szCs w:val="22"/>
          <w:color w:val="auto"/>
        </w:rPr>
        <w:t>].</w:t>
      </w:r>
    </w:p>
    <w:p>
      <w:pPr>
        <w:spacing w:after="0" w:line="206"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intentionally omitted</w:t>
      </w:r>
      <w:r>
        <w:rPr>
          <w:rFonts w:ascii="Arial" w:cs="Arial" w:eastAsia="Arial" w:hAnsi="Arial"/>
          <w:sz w:val="22"/>
          <w:szCs w:val="22"/>
          <w:color w:val="auto"/>
        </w:rPr>
        <w:t>].</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Apportionment and Application of Payments</w:t>
      </w:r>
      <w:r>
        <w:rPr>
          <w:rFonts w:ascii="Arial" w:cs="Arial" w:eastAsia="Arial" w:hAnsi="Arial"/>
          <w:sz w:val="22"/>
          <w:szCs w:val="22"/>
          <w:color w:val="auto"/>
        </w:rPr>
        <w:t>.</w:t>
      </w:r>
    </w:p>
    <w:p>
      <w:pPr>
        <w:spacing w:after="0" w:line="212" w:lineRule="exact"/>
        <w:rPr>
          <w:sz w:val="20"/>
          <w:szCs w:val="20"/>
          <w:color w:val="auto"/>
        </w:rPr>
      </w:pPr>
    </w:p>
    <w:p>
      <w:pPr>
        <w:jc w:val="both"/>
        <w:ind w:firstLine="2246"/>
        <w:spacing w:after="0" w:line="274" w:lineRule="auto"/>
        <w:rPr>
          <w:sz w:val="20"/>
          <w:szCs w:val="20"/>
          <w:color w:val="auto"/>
        </w:rPr>
      </w:pPr>
      <w:r>
        <w:rPr>
          <w:rFonts w:ascii="Arial" w:cs="Arial" w:eastAsia="Arial" w:hAnsi="Arial"/>
          <w:sz w:val="19"/>
          <w:szCs w:val="19"/>
          <w:color w:val="auto"/>
        </w:rPr>
        <w:t>Except as otherwise provided with respect to Defaulting Lenders and except as otherwise provided in the Loan Documents (including letter agreements between Agent and individual Lenders), aggregate principal and interest payments shall be apportioned ratably among the Lenders (according to the unpaid principal balance of the Obligations to which such payments relate held by each Lender) and payments of fees and expenses (other than fees or expenses that are for Agent's separate account, after giving effect to any letter agreements between Agent and individual Lenders) shall be apportioned ratably among the Lenders having a Pro Rata Share of the type of Commitment or Obligation to which a particular fee relates. All payments shall be remitted to Agent and all such payments (other than payments received while no Default or Event of Default has occurred and is continuing and which relate to the payment of principal or interest of specific Obligations or which relate to the payment of specific fees), and, subject to clauses (ii) through (vi) below, all proceeds of Accounts or other Collateral received by Agent, shall be applied as follows: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to pay any Lender Group Expenses then due to Agent under the Loan Documents, until</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paid in full,</w:t>
      </w:r>
    </w:p>
    <w:p>
      <w:pPr>
        <w:spacing w:after="0" w:line="188" w:lineRule="exact"/>
        <w:rPr>
          <w:sz w:val="20"/>
          <w:szCs w:val="20"/>
          <w:color w:val="auto"/>
        </w:rPr>
      </w:pPr>
    </w:p>
    <w:p>
      <w:pPr>
        <w:ind w:left="1500" w:firstLine="1498"/>
        <w:spacing w:after="0" w:line="250" w:lineRule="auto"/>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to pay any Lender Group Expenses then due to the Lenders under the Loan Documents, on a ratable basis, until paid in full,</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7" w:name="page108"/>
    <w:bookmarkEnd w:id="107"/>
    <w:p>
      <w:pPr>
        <w:jc w:val="both"/>
        <w:ind w:left="1500" w:firstLine="1498"/>
        <w:spacing w:after="0" w:line="328" w:lineRule="auto"/>
        <w:rPr>
          <w:sz w:val="20"/>
          <w:szCs w:val="20"/>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to pay any fees then due to Agent (for its separate accounts, after giving effect to any letter agreements between Agent and the individual Lenders) under the Loan Documents until paid in full,</w:t>
      </w:r>
    </w:p>
    <w:p>
      <w:pPr>
        <w:spacing w:after="0" w:line="105" w:lineRule="exact"/>
        <w:rPr>
          <w:sz w:val="20"/>
          <w:szCs w:val="20"/>
          <w:color w:val="auto"/>
        </w:rPr>
      </w:pPr>
    </w:p>
    <w:p>
      <w:pPr>
        <w:jc w:val="both"/>
        <w:ind w:left="1500" w:firstLine="1498"/>
        <w:spacing w:after="0"/>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to pay any fees then due to any or all of the Lenders (after giving effect to any letter agreements between Agent and individual Lenders) under the Loan Documents, on a ratable basis, until paid in full,</w:t>
      </w:r>
    </w:p>
    <w:p>
      <w:pPr>
        <w:spacing w:after="0" w:line="186" w:lineRule="exact"/>
        <w:rPr>
          <w:sz w:val="20"/>
          <w:szCs w:val="20"/>
          <w:color w:val="auto"/>
        </w:rPr>
      </w:pPr>
    </w:p>
    <w:p>
      <w:pPr>
        <w:ind w:left="3000"/>
        <w:spacing w:after="0"/>
        <w:rPr>
          <w:sz w:val="20"/>
          <w:szCs w:val="20"/>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to pay interest due in respect of all Agent Advances, until paid in full,</w:t>
      </w:r>
    </w:p>
    <w:p>
      <w:pPr>
        <w:spacing w:after="0" w:line="206" w:lineRule="exact"/>
        <w:rPr>
          <w:sz w:val="20"/>
          <w:szCs w:val="20"/>
          <w:color w:val="auto"/>
        </w:rPr>
      </w:pPr>
    </w:p>
    <w:p>
      <w:pPr>
        <w:jc w:val="both"/>
        <w:ind w:left="1500" w:firstLine="1498"/>
        <w:spacing w:after="0" w:line="250" w:lineRule="auto"/>
        <w:rPr>
          <w:sz w:val="20"/>
          <w:szCs w:val="20"/>
          <w:color w:val="auto"/>
        </w:rPr>
      </w:pPr>
      <w:r>
        <w:rPr>
          <w:rFonts w:ascii="Arial" w:cs="Arial" w:eastAsia="Arial" w:hAnsi="Arial"/>
          <w:sz w:val="22"/>
          <w:szCs w:val="22"/>
          <w:u w:val="single" w:color="auto"/>
          <w:color w:val="auto"/>
        </w:rPr>
        <w:t>sixth</w:t>
      </w:r>
      <w:r>
        <w:rPr>
          <w:rFonts w:ascii="Arial" w:cs="Arial" w:eastAsia="Arial" w:hAnsi="Arial"/>
          <w:sz w:val="22"/>
          <w:szCs w:val="22"/>
          <w:color w:val="auto"/>
        </w:rPr>
        <w:t xml:space="preserve"> , ratably to pay interest due in respect of the Advances (other than Agent Advances) and the Swing Loans until paid in full,</w:t>
      </w:r>
    </w:p>
    <w:p>
      <w:pPr>
        <w:spacing w:after="0" w:line="175" w:lineRule="exact"/>
        <w:rPr>
          <w:sz w:val="20"/>
          <w:szCs w:val="20"/>
          <w:color w:val="auto"/>
        </w:rPr>
      </w:pPr>
    </w:p>
    <w:p>
      <w:pPr>
        <w:ind w:left="3000" w:right="2320"/>
        <w:spacing w:after="0" w:line="504" w:lineRule="auto"/>
        <w:rPr>
          <w:sz w:val="20"/>
          <w:szCs w:val="20"/>
          <w:color w:val="auto"/>
        </w:rPr>
      </w:pP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to pay the principal of all Agent Advances until paid in full, </w:t>
      </w:r>
      <w:r>
        <w:rPr>
          <w:rFonts w:ascii="Arial" w:cs="Arial" w:eastAsia="Arial" w:hAnsi="Arial"/>
          <w:sz w:val="19"/>
          <w:szCs w:val="19"/>
          <w:u w:val="single" w:color="auto"/>
          <w:color w:val="auto"/>
        </w:rPr>
        <w:t>eighth</w:t>
      </w:r>
      <w:r>
        <w:rPr>
          <w:rFonts w:ascii="Arial" w:cs="Arial" w:eastAsia="Arial" w:hAnsi="Arial"/>
          <w:sz w:val="19"/>
          <w:szCs w:val="19"/>
          <w:color w:val="auto"/>
        </w:rPr>
        <w:t>, to pay the principal of all Swing Loans until paid in full,</w:t>
      </w:r>
    </w:p>
    <w:p>
      <w:pPr>
        <w:jc w:val="both"/>
        <w:ind w:left="1500" w:firstLine="1498"/>
        <w:spacing w:after="0" w:line="297" w:lineRule="auto"/>
        <w:rPr>
          <w:sz w:val="20"/>
          <w:szCs w:val="20"/>
          <w:color w:val="auto"/>
        </w:rPr>
      </w:pPr>
      <w:r>
        <w:rPr>
          <w:rFonts w:ascii="Arial" w:cs="Arial" w:eastAsia="Arial" w:hAnsi="Arial"/>
          <w:sz w:val="19"/>
          <w:szCs w:val="19"/>
          <w:u w:val="single" w:color="auto"/>
          <w:color w:val="auto"/>
        </w:rPr>
        <w:t>ninth</w:t>
      </w:r>
      <w:r>
        <w:rPr>
          <w:rFonts w:ascii="Arial" w:cs="Arial" w:eastAsia="Arial" w:hAnsi="Arial"/>
          <w:sz w:val="19"/>
          <w:szCs w:val="19"/>
          <w:color w:val="auto"/>
        </w:rPr>
        <w:t>, so long as no Event of Default has occurred and is continuing, and at Agent's election (which election Agent agrees will not be made if an Overadvance would be created thereby), to pay amounts then due and owing by any Loan Party or its Subsidiaries in respect of Bank Products, until paid in full,</w:t>
      </w:r>
    </w:p>
    <w:p>
      <w:pPr>
        <w:spacing w:after="0" w:line="134" w:lineRule="exact"/>
        <w:rPr>
          <w:sz w:val="20"/>
          <w:szCs w:val="20"/>
          <w:color w:val="auto"/>
        </w:rPr>
      </w:pPr>
    </w:p>
    <w:p>
      <w:pPr>
        <w:jc w:val="both"/>
        <w:ind w:left="1500" w:firstLine="1498"/>
        <w:spacing w:after="0" w:line="250" w:lineRule="auto"/>
        <w:rPr>
          <w:sz w:val="20"/>
          <w:szCs w:val="20"/>
          <w:color w:val="auto"/>
        </w:rPr>
      </w:pPr>
      <w:r>
        <w:rPr>
          <w:rFonts w:ascii="Arial" w:cs="Arial" w:eastAsia="Arial" w:hAnsi="Arial"/>
          <w:sz w:val="22"/>
          <w:szCs w:val="22"/>
          <w:u w:val="single" w:color="auto"/>
          <w:color w:val="auto"/>
        </w:rPr>
        <w:t>tenth</w:t>
      </w:r>
      <w:r>
        <w:rPr>
          <w:rFonts w:ascii="Arial" w:cs="Arial" w:eastAsia="Arial" w:hAnsi="Arial"/>
          <w:sz w:val="22"/>
          <w:szCs w:val="22"/>
          <w:color w:val="auto"/>
        </w:rPr>
        <w:t>, so long as no Event of Default has occurred and is continuing, to pay the principal of all Advances until paid in full,</w:t>
      </w:r>
    </w:p>
    <w:p>
      <w:pPr>
        <w:spacing w:after="0" w:line="175" w:lineRule="exact"/>
        <w:rPr>
          <w:sz w:val="20"/>
          <w:szCs w:val="20"/>
          <w:color w:val="auto"/>
        </w:rPr>
      </w:pPr>
    </w:p>
    <w:p>
      <w:pPr>
        <w:jc w:val="both"/>
        <w:ind w:left="1500" w:firstLine="1498"/>
        <w:spacing w:after="0" w:line="235" w:lineRule="auto"/>
        <w:rPr>
          <w:sz w:val="20"/>
          <w:szCs w:val="20"/>
          <w:color w:val="auto"/>
        </w:rPr>
      </w:pPr>
      <w:r>
        <w:rPr>
          <w:rFonts w:ascii="Arial" w:cs="Arial" w:eastAsia="Arial" w:hAnsi="Arial"/>
          <w:sz w:val="22"/>
          <w:szCs w:val="22"/>
          <w:u w:val="single" w:color="auto"/>
          <w:color w:val="auto"/>
        </w:rPr>
        <w:t>eleventh</w:t>
      </w:r>
      <w:r>
        <w:rPr>
          <w:rFonts w:ascii="Arial" w:cs="Arial" w:eastAsia="Arial" w:hAnsi="Arial"/>
          <w:sz w:val="22"/>
          <w:szCs w:val="22"/>
          <w:color w:val="auto"/>
        </w:rPr>
        <w:t>, if an Event of Default has occurred and is continuing, ratably (i) to pay the principal of all Advances until paid in full, and (ii) to Agent, to be held by Agent, for the benefit of Wells Fargo or its Affiliates, as applicable, as cash collateral in an amount up to the amount of the Bank Products Reserve established prior to the occurrence of, and not in contemplation of, the subject Event of Default until Loan Parties' and their Subsidiaries' obligations in respect of the then extant Bank Products have been paid in full or the cash collateral amount has been exhausted,</w:t>
      </w:r>
    </w:p>
    <w:p>
      <w:pPr>
        <w:spacing w:after="0" w:line="188" w:lineRule="exact"/>
        <w:rPr>
          <w:sz w:val="20"/>
          <w:szCs w:val="20"/>
          <w:color w:val="auto"/>
        </w:rPr>
      </w:pPr>
    </w:p>
    <w:p>
      <w:pPr>
        <w:jc w:val="both"/>
        <w:ind w:left="1500" w:firstLine="1498"/>
        <w:spacing w:after="0"/>
        <w:rPr>
          <w:sz w:val="20"/>
          <w:szCs w:val="20"/>
          <w:color w:val="auto"/>
        </w:rPr>
      </w:pPr>
      <w:r>
        <w:rPr>
          <w:rFonts w:ascii="Arial" w:cs="Arial" w:eastAsia="Arial" w:hAnsi="Arial"/>
          <w:sz w:val="22"/>
          <w:szCs w:val="22"/>
          <w:u w:val="single" w:color="auto"/>
          <w:color w:val="auto"/>
        </w:rPr>
        <w:t>twelfth</w:t>
      </w:r>
      <w:r>
        <w:rPr>
          <w:rFonts w:ascii="Arial" w:cs="Arial" w:eastAsia="Arial" w:hAnsi="Arial"/>
          <w:sz w:val="22"/>
          <w:szCs w:val="22"/>
          <w:color w:val="auto"/>
        </w:rPr>
        <w:t>, if an Event of Default has occurred and is continuing, to Agent, to be held by Agent, for the ratable benefit of Issuing Bank and those Lenders having a Revolver Commitment, as cash collateral in an amount up to 103% of the then extant Letter of Credit Usage until paid in full,</w:t>
      </w:r>
    </w:p>
    <w:p>
      <w:pPr>
        <w:spacing w:after="0" w:line="186" w:lineRule="exact"/>
        <w:rPr>
          <w:sz w:val="20"/>
          <w:szCs w:val="20"/>
          <w:color w:val="auto"/>
        </w:rPr>
      </w:pPr>
    </w:p>
    <w:p>
      <w:pPr>
        <w:ind w:left="3000"/>
        <w:spacing w:after="0"/>
        <w:rPr>
          <w:sz w:val="20"/>
          <w:szCs w:val="20"/>
          <w:color w:val="auto"/>
        </w:rPr>
      </w:pPr>
      <w:r>
        <w:rPr>
          <w:rFonts w:ascii="Arial" w:cs="Arial" w:eastAsia="Arial" w:hAnsi="Arial"/>
          <w:sz w:val="19"/>
          <w:szCs w:val="19"/>
          <w:u w:val="single" w:color="auto"/>
          <w:color w:val="auto"/>
        </w:rPr>
        <w:t>thirteenth</w:t>
      </w:r>
      <w:r>
        <w:rPr>
          <w:rFonts w:ascii="Arial" w:cs="Arial" w:eastAsia="Arial" w:hAnsi="Arial"/>
          <w:sz w:val="19"/>
          <w:szCs w:val="19"/>
          <w:color w:val="auto"/>
        </w:rPr>
        <w:t>, to pay any other Obligations (including Bank Product Obligations) until paid in full,</w:t>
      </w:r>
    </w:p>
    <w:p>
      <w:pPr>
        <w:spacing w:after="0" w:line="4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jc w:val="both"/>
        <w:ind w:left="1500" w:firstLine="1498"/>
        <w:spacing w:after="0" w:line="250" w:lineRule="auto"/>
        <w:rPr>
          <w:sz w:val="20"/>
          <w:szCs w:val="20"/>
          <w:color w:val="auto"/>
        </w:rPr>
      </w:pPr>
      <w:r>
        <w:rPr>
          <w:rFonts w:ascii="Arial" w:cs="Arial" w:eastAsia="Arial" w:hAnsi="Arial"/>
          <w:sz w:val="22"/>
          <w:szCs w:val="22"/>
          <w:u w:val="single" w:color="auto"/>
          <w:color w:val="auto"/>
        </w:rPr>
        <w:t>fourteenth</w:t>
      </w:r>
      <w:r>
        <w:rPr>
          <w:rFonts w:ascii="Arial" w:cs="Arial" w:eastAsia="Arial" w:hAnsi="Arial"/>
          <w:sz w:val="22"/>
          <w:szCs w:val="22"/>
          <w:color w:val="auto"/>
        </w:rPr>
        <w:t>, to Borrowers (to be wired to the Designated Account) or such other Person entitled thereto under applicable law.</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8" w:name="page109"/>
    <w:bookmarkEnd w:id="108"/>
    <w:p>
      <w:pPr>
        <w:jc w:val="both"/>
        <w:ind w:firstLine="2246"/>
        <w:spacing w:after="0"/>
        <w:rPr>
          <w:sz w:val="20"/>
          <w:szCs w:val="20"/>
          <w:color w:val="auto"/>
        </w:rPr>
      </w:pPr>
      <w:r>
        <w:rPr>
          <w:rFonts w:ascii="Arial" w:cs="Arial" w:eastAsia="Arial" w:hAnsi="Arial"/>
          <w:sz w:val="22"/>
          <w:szCs w:val="22"/>
          <w:color w:val="auto"/>
        </w:rPr>
        <w:t xml:space="preserve">Agent promptly shall distribute to each Lender, pursuant to the applicable wire instructions received from each Lender in writing, such funds as it may be entitled to receive, subject to a Settlement delay as provided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2.3(h)</w:t>
      </w:r>
      <w:r>
        <w:rPr>
          <w:rFonts w:ascii="Arial" w:cs="Arial" w:eastAsia="Arial" w:hAnsi="Arial"/>
          <w:sz w:val="22"/>
          <w:szCs w:val="22"/>
          <w:color w:val="auto"/>
        </w:rPr>
        <w:t>.</w:t>
      </w:r>
    </w:p>
    <w:p>
      <w:pPr>
        <w:spacing w:after="0" w:line="186" w:lineRule="exact"/>
        <w:rPr>
          <w:sz w:val="20"/>
          <w:szCs w:val="20"/>
          <w:color w:val="auto"/>
        </w:rPr>
      </w:pPr>
    </w:p>
    <w:p>
      <w:pPr>
        <w:jc w:val="both"/>
        <w:ind w:firstLine="2246"/>
        <w:spacing w:after="0" w:line="257" w:lineRule="auto"/>
        <w:rPr>
          <w:sz w:val="20"/>
          <w:szCs w:val="20"/>
          <w:color w:val="auto"/>
        </w:rPr>
      </w:pPr>
      <w:r>
        <w:rPr>
          <w:rFonts w:ascii="Arial" w:cs="Arial" w:eastAsia="Arial" w:hAnsi="Arial"/>
          <w:sz w:val="21"/>
          <w:szCs w:val="21"/>
          <w:color w:val="auto"/>
        </w:rPr>
        <w:t xml:space="preserve">In each instance, so long as no Default or Event of Default has occurred and is continuing,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2.4(b)</w:t>
      </w:r>
      <w:r>
        <w:rPr>
          <w:rFonts w:ascii="Arial" w:cs="Arial" w:eastAsia="Arial" w:hAnsi="Arial"/>
          <w:sz w:val="21"/>
          <w:szCs w:val="21"/>
          <w:color w:val="auto"/>
        </w:rPr>
        <w:t xml:space="preserve"> shall not be deemed to apply to any payment by the Loan Parties specified by the Loan Parties to be for the payment of specific Obligations then due and payable (or prepayable) under any provision of this Agreement.</w:t>
      </w:r>
    </w:p>
    <w:p>
      <w:pPr>
        <w:spacing w:after="0" w:line="169" w:lineRule="exact"/>
        <w:rPr>
          <w:sz w:val="20"/>
          <w:szCs w:val="20"/>
          <w:color w:val="auto"/>
        </w:rPr>
      </w:pPr>
    </w:p>
    <w:p>
      <w:pPr>
        <w:jc w:val="both"/>
        <w:ind w:firstLine="2246"/>
        <w:spacing w:after="0" w:line="287" w:lineRule="auto"/>
        <w:rPr>
          <w:sz w:val="20"/>
          <w:szCs w:val="20"/>
          <w:color w:val="auto"/>
        </w:rPr>
      </w:pPr>
      <w:r>
        <w:rPr>
          <w:rFonts w:ascii="Arial" w:cs="Arial" w:eastAsia="Arial" w:hAnsi="Arial"/>
          <w:sz w:val="19"/>
          <w:szCs w:val="19"/>
          <w:color w:val="auto"/>
        </w:rPr>
        <w:t>For purposes of the foregoing, "paid in full" means payment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43" w:lineRule="exact"/>
        <w:rPr>
          <w:sz w:val="20"/>
          <w:szCs w:val="20"/>
          <w:color w:val="auto"/>
        </w:rPr>
      </w:pPr>
    </w:p>
    <w:p>
      <w:pPr>
        <w:jc w:val="both"/>
        <w:ind w:firstLine="2246"/>
        <w:spacing w:after="0" w:line="287" w:lineRule="auto"/>
        <w:rPr>
          <w:sz w:val="20"/>
          <w:szCs w:val="20"/>
          <w:color w:val="auto"/>
        </w:rPr>
      </w:pPr>
      <w:r>
        <w:rPr>
          <w:rFonts w:ascii="Arial" w:cs="Arial" w:eastAsia="Arial" w:hAnsi="Arial"/>
          <w:sz w:val="19"/>
          <w:szCs w:val="19"/>
          <w:color w:val="auto"/>
        </w:rPr>
        <w:t xml:space="preserve">In the event of a direct conflict between the priority provisions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other provisions contained in any other Loan Document, it is the intention of the parties hereto that such priority provisions in such documents shall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control and govern.</w:t>
      </w:r>
    </w:p>
    <w:p>
      <w:pPr>
        <w:spacing w:after="0" w:line="14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Intentionally omitted</w:t>
      </w:r>
      <w:r>
        <w:rPr>
          <w:rFonts w:ascii="Arial" w:cs="Arial" w:eastAsia="Arial" w:hAnsi="Arial"/>
          <w:sz w:val="22"/>
          <w:szCs w:val="22"/>
          <w:color w:val="auto"/>
        </w:rPr>
        <w:t>].</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Overadvances</w:t>
      </w:r>
    </w:p>
    <w:p>
      <w:pPr>
        <w:spacing w:after="0" w:line="212" w:lineRule="exact"/>
        <w:rPr>
          <w:sz w:val="20"/>
          <w:szCs w:val="20"/>
          <w:color w:val="auto"/>
        </w:rPr>
      </w:pPr>
    </w:p>
    <w:p>
      <w:pPr>
        <w:jc w:val="both"/>
        <w:ind w:firstLine="8"/>
        <w:spacing w:after="0" w:line="279" w:lineRule="auto"/>
        <w:tabs>
          <w:tab w:leader="none" w:pos="188"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If, at any time or for any reason, the amount of Obligations (other than Bank Product Obligations) owed by Borrowers to the Lender Group pursuant to </w:t>
      </w:r>
      <w:r>
        <w:rPr>
          <w:rFonts w:ascii="Arial" w:cs="Arial" w:eastAsia="Arial" w:hAnsi="Arial"/>
          <w:sz w:val="19"/>
          <w:szCs w:val="19"/>
          <w:u w:val="single" w:color="auto"/>
          <w:color w:val="auto"/>
        </w:rPr>
        <w:t>Sections 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2.12</w:t>
      </w:r>
      <w:r>
        <w:rPr>
          <w:rFonts w:ascii="Arial" w:cs="Arial" w:eastAsia="Arial" w:hAnsi="Arial"/>
          <w:sz w:val="19"/>
          <w:szCs w:val="19"/>
          <w:color w:val="auto"/>
        </w:rPr>
        <w:t xml:space="preserve"> is greater than either the Dollar or percentage limitations set forth in </w:t>
      </w:r>
      <w:r>
        <w:rPr>
          <w:rFonts w:ascii="Arial" w:cs="Arial" w:eastAsia="Arial" w:hAnsi="Arial"/>
          <w:sz w:val="19"/>
          <w:szCs w:val="19"/>
          <w:u w:val="single" w:color="auto"/>
          <w:color w:val="auto"/>
        </w:rPr>
        <w:t>Sections 2.1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2.12</w:t>
      </w:r>
      <w:r>
        <w:rPr>
          <w:rFonts w:ascii="Arial" w:cs="Arial" w:eastAsia="Arial" w:hAnsi="Arial"/>
          <w:sz w:val="19"/>
          <w:szCs w:val="19"/>
          <w:color w:val="auto"/>
        </w:rPr>
        <w:t>, (an "</w:t>
      </w:r>
      <w:r>
        <w:rPr>
          <w:rFonts w:ascii="Arial" w:cs="Arial" w:eastAsia="Arial" w:hAnsi="Arial"/>
          <w:sz w:val="19"/>
          <w:szCs w:val="19"/>
          <w:u w:val="single" w:color="auto"/>
          <w:color w:val="auto"/>
        </w:rPr>
        <w:t>Overadvance</w:t>
      </w:r>
      <w:r>
        <w:rPr>
          <w:rFonts w:ascii="Arial" w:cs="Arial" w:eastAsia="Arial" w:hAnsi="Arial"/>
          <w:sz w:val="19"/>
          <w:szCs w:val="19"/>
          <w:color w:val="auto"/>
        </w:rPr>
        <w:t xml:space="preserve">"), Borrowers immediately shall pay to Agent, in cash, the amount of such excess, which amount shall be used by Agent to reduce such Overadvances in accordance with the priorities set forth in </w:t>
      </w:r>
      <w:r>
        <w:rPr>
          <w:rFonts w:ascii="Arial" w:cs="Arial" w:eastAsia="Arial" w:hAnsi="Arial"/>
          <w:sz w:val="19"/>
          <w:szCs w:val="19"/>
          <w:u w:val="single" w:color="auto"/>
          <w:color w:val="auto"/>
        </w:rPr>
        <w:t>Section 2.4(b)</w:t>
      </w:r>
      <w:r>
        <w:rPr>
          <w:rFonts w:ascii="Arial" w:cs="Arial" w:eastAsia="Arial" w:hAnsi="Arial"/>
          <w:sz w:val="19"/>
          <w:szCs w:val="19"/>
          <w:color w:val="auto"/>
        </w:rPr>
        <w:t>. In addition, Borrowers hereby promise to pay the Obligations (including principal, interest, fees, costs, and expenses) in Dollars in full to the Lender Group as and when due and payable under the terms of this Agreement and the other Loan Documents.</w:t>
      </w:r>
    </w:p>
    <w:p>
      <w:pPr>
        <w:spacing w:after="0" w:line="387"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Interest Rates and Letter of Credit Fee: Rates, Payments, and Calculations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22"/>
          <w:szCs w:val="22"/>
          <w:b w:val="1"/>
          <w:bCs w:val="1"/>
          <w:color w:val="auto"/>
        </w:rPr>
        <w:t>Interest Rates</w:t>
      </w:r>
      <w:r>
        <w:rPr>
          <w:rFonts w:ascii="Arial" w:cs="Arial" w:eastAsia="Arial" w:hAnsi="Arial"/>
          <w:sz w:val="22"/>
          <w:szCs w:val="22"/>
          <w:color w:val="auto"/>
        </w:rPr>
        <w:t>. Except as provided in clause (c) below, all Obligations (except for undrawn Letters of Credit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except for Bank Product Obligations) that have been charged to the Loan Account pursuant to the terms hereof shall bear interest on the Daily Balance thereof as follows (i) if the relevant Obligation is an Advance that is a </w:t>
      </w:r>
      <w:r>
        <w:rPr>
          <w:rFonts w:ascii="Arial" w:cs="Arial" w:eastAsia="Arial" w:hAnsi="Arial"/>
          <w:sz w:val="22"/>
          <w:szCs w:val="22"/>
          <w:color w:val="FF0000"/>
          <w:strike w:val="1"/>
        </w:rPr>
        <w:t>LIBOR Rate</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at a per annum rate equal to the </w:t>
      </w:r>
      <w:r>
        <w:rPr>
          <w:rFonts w:ascii="Arial" w:cs="Arial" w:eastAsia="Arial" w:hAnsi="Arial"/>
          <w:sz w:val="22"/>
          <w:szCs w:val="22"/>
          <w:color w:val="FF0000"/>
          <w:strike w:val="1"/>
        </w:rPr>
        <w:t>LIBOR Rate</w:t>
      </w:r>
      <w:r>
        <w:rPr>
          <w:rFonts w:ascii="Arial" w:cs="Arial" w:eastAsia="Arial" w:hAnsi="Arial"/>
          <w:sz w:val="22"/>
          <w:szCs w:val="22"/>
          <w:u w:val="single" w:color="auto"/>
          <w:color w:val="0000FF"/>
        </w:rPr>
        <w:t>Adjusted Term SOFR</w:t>
      </w:r>
      <w:r>
        <w:rPr>
          <w:rFonts w:ascii="Arial" w:cs="Arial" w:eastAsia="Arial" w:hAnsi="Arial"/>
          <w:sz w:val="22"/>
          <w:szCs w:val="22"/>
          <w:color w:val="auto"/>
        </w:rPr>
        <w:t xml:space="preserve"> plus the </w:t>
      </w:r>
      <w:r>
        <w:rPr>
          <w:rFonts w:ascii="Arial" w:cs="Arial" w:eastAsia="Arial" w:hAnsi="Arial"/>
          <w:sz w:val="22"/>
          <w:szCs w:val="22"/>
          <w:color w:val="FF0000"/>
          <w:strike w:val="1"/>
        </w:rPr>
        <w:t>LIBOR Rate</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Margin, (ii) otherwise, at a per annum rate equal to the Base Rate plus the Base Rate Margin.</w:t>
      </w:r>
    </w:p>
    <w:p>
      <w:pPr>
        <w:spacing w:after="0" w:line="18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Letter of Credit Fee</w:t>
      </w:r>
      <w:r>
        <w:rPr>
          <w:rFonts w:ascii="Arial" w:cs="Arial" w:eastAsia="Arial" w:hAnsi="Arial"/>
          <w:sz w:val="22"/>
          <w:szCs w:val="22"/>
          <w:color w:val="auto"/>
        </w:rPr>
        <w:t>. Borrowers shall pay Agent (for the ratable benefit of the Lenders with a Revolver</w:t>
      </w:r>
      <w:r>
        <w:rPr>
          <w:rFonts w:ascii="Arial" w:cs="Arial" w:eastAsia="Arial" w:hAnsi="Arial"/>
          <w:sz w:val="22"/>
          <w:szCs w:val="22"/>
          <w:b w:val="1"/>
          <w:bCs w:val="1"/>
          <w:color w:val="auto"/>
        </w:rPr>
        <w:t xml:space="preserve"> </w:t>
      </w:r>
      <w:r>
        <w:rPr>
          <w:rFonts w:ascii="Arial" w:cs="Arial" w:eastAsia="Arial" w:hAnsi="Arial"/>
          <w:sz w:val="22"/>
          <w:szCs w:val="22"/>
          <w:color w:val="auto"/>
        </w:rPr>
        <w:t>Commitment, subject to any letter agreement between Agent and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9" w:name="page110"/>
    <w:bookmarkEnd w:id="109"/>
    <w:p>
      <w:pPr>
        <w:jc w:val="both"/>
        <w:spacing w:after="0"/>
        <w:rPr>
          <w:sz w:val="20"/>
          <w:szCs w:val="20"/>
          <w:color w:val="auto"/>
        </w:rPr>
      </w:pPr>
      <w:r>
        <w:rPr>
          <w:rFonts w:ascii="Arial" w:cs="Arial" w:eastAsia="Arial" w:hAnsi="Arial"/>
          <w:sz w:val="22"/>
          <w:szCs w:val="22"/>
          <w:color w:val="auto"/>
        </w:rPr>
        <w:t xml:space="preserve">individual Lenders), a Letter of Credit fee (in addition to the charges, commissions, fees, and costs set forth in </w:t>
      </w:r>
      <w:r>
        <w:rPr>
          <w:rFonts w:ascii="Arial" w:cs="Arial" w:eastAsia="Arial" w:hAnsi="Arial"/>
          <w:sz w:val="22"/>
          <w:szCs w:val="22"/>
          <w:u w:val="single" w:color="auto"/>
          <w:color w:val="auto"/>
        </w:rPr>
        <w:t>Section 2.12(e)</w:t>
      </w:r>
      <w:r>
        <w:rPr>
          <w:rFonts w:ascii="Arial" w:cs="Arial" w:eastAsia="Arial" w:hAnsi="Arial"/>
          <w:sz w:val="22"/>
          <w:szCs w:val="22"/>
          <w:color w:val="auto"/>
        </w:rPr>
        <w:t>) which shall accrue at a rate equal to 1.00% per annum times the Daily Balance of the undrawn amount of all outstanding Letters of Credit.</w:t>
      </w:r>
    </w:p>
    <w:p>
      <w:pPr>
        <w:spacing w:after="0" w:line="180"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Default Rate</w:t>
      </w:r>
      <w:r>
        <w:rPr>
          <w:rFonts w:ascii="Arial" w:cs="Arial" w:eastAsia="Arial" w:hAnsi="Arial"/>
          <w:sz w:val="22"/>
          <w:szCs w:val="22"/>
          <w:color w:val="auto"/>
        </w:rPr>
        <w:t>. Upon the occurrence and during the continuation of an Event of Default (and at the election of</w:t>
      </w:r>
      <w:r>
        <w:rPr>
          <w:rFonts w:ascii="Arial" w:cs="Arial" w:eastAsia="Arial" w:hAnsi="Arial"/>
          <w:sz w:val="22"/>
          <w:szCs w:val="22"/>
          <w:b w:val="1"/>
          <w:bCs w:val="1"/>
          <w:color w:val="auto"/>
        </w:rPr>
        <w:t xml:space="preserve"> </w:t>
      </w:r>
      <w:r>
        <w:rPr>
          <w:rFonts w:ascii="Arial" w:cs="Arial" w:eastAsia="Arial" w:hAnsi="Arial"/>
          <w:sz w:val="22"/>
          <w:szCs w:val="22"/>
          <w:color w:val="auto"/>
        </w:rPr>
        <w:t>Agent or the Required Lenders),</w:t>
      </w:r>
    </w:p>
    <w:p>
      <w:pPr>
        <w:spacing w:after="0" w:line="168" w:lineRule="exact"/>
        <w:rPr>
          <w:sz w:val="20"/>
          <w:szCs w:val="20"/>
          <w:color w:val="auto"/>
        </w:rPr>
      </w:pPr>
    </w:p>
    <w:p>
      <w:pPr>
        <w:jc w:val="both"/>
        <w:ind w:firstLine="2246"/>
        <w:spacing w:after="0" w:line="257" w:lineRule="auto"/>
        <w:rPr>
          <w:sz w:val="20"/>
          <w:szCs w:val="20"/>
          <w:color w:val="auto"/>
        </w:rPr>
      </w:pPr>
      <w:r>
        <w:rPr>
          <w:rFonts w:ascii="Arial" w:cs="Arial" w:eastAsia="Arial" w:hAnsi="Arial"/>
          <w:sz w:val="21"/>
          <w:szCs w:val="21"/>
          <w:color w:val="auto"/>
        </w:rPr>
        <w:t>all Obligations (except for undrawn Letters of Credit and except for Bank Product Obligations) that have been charged to the Loan Account pursuant to the terms hereof shall bear interest on the Daily Balance thereof at a per annum rate equal to 2 percentage points above the per annum rate otherwise applicable hereunder, and</w:t>
      </w:r>
    </w:p>
    <w:p>
      <w:pPr>
        <w:spacing w:after="0" w:line="169"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the Letter of Credit fee provided for above shall be increased to 2 percentage points above the per annum rate otherwise applicable hereunder.</w:t>
      </w:r>
    </w:p>
    <w:p>
      <w:pPr>
        <w:spacing w:after="0" w:line="169"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b w:val="1"/>
          <w:bCs w:val="1"/>
          <w:color w:val="auto"/>
        </w:rPr>
        <w:t>Payment</w:t>
      </w:r>
      <w:r>
        <w:rPr>
          <w:rFonts w:ascii="Arial" w:cs="Arial" w:eastAsia="Arial" w:hAnsi="Arial"/>
          <w:sz w:val="19"/>
          <w:szCs w:val="19"/>
          <w:color w:val="auto"/>
        </w:rPr>
        <w:t>. Except to the extent provided to the contrary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2.11</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2.12(k)</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2.13(a)</w:t>
      </w:r>
      <w:r>
        <w:rPr>
          <w:rFonts w:ascii="Arial" w:cs="Arial" w:eastAsia="Arial" w:hAnsi="Arial"/>
          <w:sz w:val="19"/>
          <w:szCs w:val="19"/>
          <w:color w:val="auto"/>
        </w:rPr>
        <w:t>, (i)</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all interest and all other fees payable hereunder or under any of the other Loan Documents (other than Letter of Credit Fees) shall be due and payable, in arrears, on the first day of each quarter, (ii) all Letter of Credit Fees payable hereunder, and all fronting fees and all commissions, other fees, charges and expenses provided for in </w:t>
      </w:r>
      <w:r>
        <w:rPr>
          <w:rFonts w:ascii="Arial" w:cs="Arial" w:eastAsia="Arial" w:hAnsi="Arial"/>
          <w:sz w:val="19"/>
          <w:szCs w:val="19"/>
          <w:u w:val="single" w:color="auto"/>
          <w:color w:val="auto"/>
        </w:rPr>
        <w:t>Section 2.12(k)</w:t>
      </w:r>
      <w:r>
        <w:rPr>
          <w:rFonts w:ascii="Arial" w:cs="Arial" w:eastAsia="Arial" w:hAnsi="Arial"/>
          <w:sz w:val="19"/>
          <w:szCs w:val="19"/>
          <w:color w:val="auto"/>
        </w:rPr>
        <w:t xml:space="preserve"> shall be due and payable, in arrears, on the first Business Day of each quarter, and (iii) all costs and expenses payable hereunder or under any of the other Loan Documents, and all other Lender Group Expenses shall be due and payable on (x) with respect to Lender Group Expenses outstanding as of the Closing Date, the Closing Date, and (y) otherwise, the earlier of (A) the first day of the month following the date on which the applicable costs, expenses, or Lender Group Expenses were first incurred, or (B) the date on which demand therefor is made by Agent (it being acknowledged and agreed that any charging of such costs, expenses or Lender Group Expenses to the Loan Account pursuant to the provisions of the following sentence shall be deemed to constitute a demand for payment thereof for the purposes of this subclause (y)). Borrowers hereby authorize Agent, from time to time without prior notice to Borrowers, to charge to the Loan Account (A) on the first day of each quarter, all interest accrued during the prior quarter on the Advances hereunder, (B) on the first Business Day of each quarter, all Letter of Credit Fees accrued or chargeable hereunder during the prior quarter (or, if an Event of Default has occurred and is continuing, during the prior month), (C) as and when incurred or accrued, all fees and costs provided for in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(D) on the first day of each month, the Unused Line Fee accrued during the prior month pursuant to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(E) as and when due and payable, all other fees payable hereunder or under any of the other Loan Documents, (F) on the Closing Date and thereafter as and when incurred or accrued, all other Lender Group Expenses, and (G) as and when due and payable all other payment obligations payable under any Loan Document or any Bank Product Agreement (including any amounts due and payable Wells Fargo or its Affiliates in respect of Bank Products). All amounts (including interest, fees, costs, expenses, Lender Group Expenses, or other amounts payable hereunder or under any other Loan Document or under any Bank Product Agreement) charged to the Loan Account shall thereupon constitute Advances hereunder, shall constitute Obligations hereunder, and shall initially accrue interest at the rate then applicable to Advances that are Base Rate Loans (unless and until converted into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in accordance with the terms of this Agreement).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0" w:name="page111"/>
    <w:bookmarkEnd w:id="110"/>
    <w:p>
      <w:pPr>
        <w:jc w:val="both"/>
        <w:ind w:firstLine="1497"/>
        <w:spacing w:after="0" w:line="239" w:lineRule="auto"/>
        <w:rPr>
          <w:sz w:val="20"/>
          <w:szCs w:val="20"/>
          <w:color w:val="auto"/>
        </w:rPr>
      </w:pPr>
      <w:r>
        <w:rPr>
          <w:rFonts w:ascii="Arial" w:cs="Arial" w:eastAsia="Arial" w:hAnsi="Arial"/>
          <w:sz w:val="22"/>
          <w:szCs w:val="22"/>
          <w:b w:val="1"/>
          <w:bCs w:val="1"/>
          <w:color w:val="auto"/>
        </w:rPr>
        <w:t>Computation</w:t>
      </w:r>
      <w:r>
        <w:rPr>
          <w:rFonts w:ascii="Arial" w:cs="Arial" w:eastAsia="Arial" w:hAnsi="Arial"/>
          <w:sz w:val="22"/>
          <w:szCs w:val="22"/>
          <w:color w:val="auto"/>
        </w:rPr>
        <w:t>. All interest and fees chargeable under the Loan Documents shall be computed on the basis of a</w:t>
      </w:r>
      <w:r>
        <w:rPr>
          <w:rFonts w:ascii="Arial" w:cs="Arial" w:eastAsia="Arial" w:hAnsi="Arial"/>
          <w:sz w:val="22"/>
          <w:szCs w:val="22"/>
          <w:b w:val="1"/>
          <w:bCs w:val="1"/>
          <w:color w:val="auto"/>
        </w:rPr>
        <w:t xml:space="preserve"> </w:t>
      </w:r>
      <w:r>
        <w:rPr>
          <w:rFonts w:ascii="Arial" w:cs="Arial" w:eastAsia="Arial" w:hAnsi="Arial"/>
          <w:sz w:val="22"/>
          <w:szCs w:val="22"/>
          <w:color w:val="auto"/>
        </w:rPr>
        <w:t>360 day year for the actual number of days elapsed. In the event the Base Rate is changed from time to time hereafter, the rates of interest hereunder based upon the Base Rate automatically and immediately shall be increased or decreased by an amount equal to such change in the Base Rate.</w:t>
      </w:r>
    </w:p>
    <w:p>
      <w:pPr>
        <w:spacing w:after="0" w:line="180"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b w:val="1"/>
          <w:bCs w:val="1"/>
          <w:color w:val="auto"/>
        </w:rPr>
        <w:t xml:space="preserve">Intent to Limit Charges to Maximum Lawful Rate </w:t>
      </w:r>
      <w:r>
        <w:rPr>
          <w:rFonts w:ascii="Arial" w:cs="Arial" w:eastAsia="Arial" w:hAnsi="Arial"/>
          <w:sz w:val="21"/>
          <w:szCs w:val="21"/>
          <w:color w:val="auto"/>
        </w:rPr>
        <w:t>. In no event shall the interest rate or rates payable under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this Agreement, plus any other amounts paid in connection herewith, exceed the highest rate permissible under any law that a court of competent jurisdiction shall, in a final determination, deem applicable. Loan Parties and the Lender Group, in executing and delivering this Agreement, intend legally to agree upon the rate or rates of interest and manner of payment stated within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anything contained herein to the contrary notwithstanding, if said rate or rates of interest or manner of payment exceeds the maximum allowable under applicable law, then, ipso facto, as of the date of this Agreement, Loan Parties are and shall be liable only for the payment of such maximum as allowed by law, and payment received from the Loan Parties in excess of such legal maximum, whenever received, shall be applied to reduce the principal balance of the Obligations to the extent of such excess.</w:t>
      </w:r>
    </w:p>
    <w:p>
      <w:pPr>
        <w:spacing w:after="0" w:line="175" w:lineRule="exact"/>
        <w:rPr>
          <w:sz w:val="20"/>
          <w:szCs w:val="20"/>
          <w:color w:val="auto"/>
        </w:rPr>
      </w:pPr>
    </w:p>
    <w:p>
      <w:pPr>
        <w:jc w:val="both"/>
        <w:ind w:firstLine="1505"/>
        <w:spacing w:after="0" w:line="280" w:lineRule="auto"/>
        <w:tabs>
          <w:tab w:leader="none" w:pos="2036" w:val="left"/>
        </w:tabs>
        <w:numPr>
          <w:ilvl w:val="0"/>
          <w:numId w:val="54"/>
        </w:numPr>
        <w:rPr>
          <w:rFonts w:ascii="Arial" w:cs="Arial" w:eastAsia="Arial" w:hAnsi="Arial"/>
          <w:sz w:val="19"/>
          <w:szCs w:val="19"/>
          <w:u w:val="single" w:color="auto"/>
          <w:color w:val="0000FF"/>
        </w:rPr>
      </w:pPr>
      <w:r>
        <w:rPr>
          <w:rFonts w:ascii="Arial" w:cs="Arial" w:eastAsia="Arial" w:hAnsi="Arial"/>
          <w:sz w:val="19"/>
          <w:szCs w:val="19"/>
          <w:b w:val="1"/>
          <w:bCs w:val="1"/>
          <w:u w:val="single" w:color="auto"/>
          <w:color w:val="0000FF"/>
        </w:rPr>
        <w:t>Term SOFR Conforming Changes</w:t>
      </w:r>
      <w:r>
        <w:rPr>
          <w:rFonts w:ascii="Arial" w:cs="Arial" w:eastAsia="Arial" w:hAnsi="Arial"/>
          <w:sz w:val="19"/>
          <w:szCs w:val="19"/>
          <w:u w:val="single" w:color="auto"/>
          <w:color w:val="0000FF"/>
        </w:rPr>
        <w:t>. In connection with the use or administration of Term SOFR, Agent</w:t>
      </w:r>
      <w:r>
        <w:rPr>
          <w:rFonts w:ascii="Arial" w:cs="Arial" w:eastAsia="Arial" w:hAnsi="Arial"/>
          <w:sz w:val="19"/>
          <w:szCs w:val="19"/>
          <w:b w:val="1"/>
          <w:bCs w:val="1"/>
          <w:u w:val="single" w:color="auto"/>
          <w:color w:val="0000FF"/>
        </w:rPr>
        <w:t xml:space="preserve"> </w:t>
      </w:r>
      <w:r>
        <w:rPr>
          <w:rFonts w:ascii="Arial" w:cs="Arial" w:eastAsia="Arial" w:hAnsi="Arial"/>
          <w:sz w:val="19"/>
          <w:szCs w:val="19"/>
          <w:u w:val="single" w:color="auto"/>
          <w:color w:val="0000FF"/>
        </w:rPr>
        <w:t>will have the right to make Conforming Changes (in consultation with the Administrative Borrower as set forth in the definition of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Agent will promptly notify Administrative Borrower and the Lenders of the effectiveness of any Conforming Changes in connection with the use or administration of Term SOFR.</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Cash Management</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Loan Parties shall (i) establish and maintain cash management services of a type and on terms satisfactory to Agent at one or more of the banks set forth on </w:t>
      </w:r>
      <w:r>
        <w:rPr>
          <w:rFonts w:ascii="Arial" w:cs="Arial" w:eastAsia="Arial" w:hAnsi="Arial"/>
          <w:sz w:val="22"/>
          <w:szCs w:val="22"/>
          <w:u w:val="single" w:color="auto"/>
          <w:color w:val="auto"/>
        </w:rPr>
        <w:t>Schedule 2.7(a)</w:t>
      </w:r>
      <w:r>
        <w:rPr>
          <w:rFonts w:ascii="Arial" w:cs="Arial" w:eastAsia="Arial" w:hAnsi="Arial"/>
          <w:sz w:val="22"/>
          <w:szCs w:val="22"/>
          <w:color w:val="auto"/>
        </w:rPr>
        <w:t xml:space="preserve"> (each a "</w:t>
      </w:r>
      <w:r>
        <w:rPr>
          <w:rFonts w:ascii="Arial" w:cs="Arial" w:eastAsia="Arial" w:hAnsi="Arial"/>
          <w:sz w:val="22"/>
          <w:szCs w:val="22"/>
          <w:u w:val="single" w:color="auto"/>
          <w:color w:val="auto"/>
        </w:rPr>
        <w:t>Cash Management Bank</w:t>
      </w:r>
      <w:r>
        <w:rPr>
          <w:rFonts w:ascii="Arial" w:cs="Arial" w:eastAsia="Arial" w:hAnsi="Arial"/>
          <w:sz w:val="22"/>
          <w:szCs w:val="22"/>
          <w:color w:val="auto"/>
        </w:rPr>
        <w:t>"), and shall request in writing and otherwise take such reasonable steps to ensure that all of its Account Debtors forward payment of the amounts owed by them directly to such Cash Management Bank, and (ii) deposit or cause to be deposited promptly, and in any event no later than the first Business Day after the date of receipt thereof, all Collections (including those sent directly by Account Debtors to a Cash Management Bank) into a bank account in Administrative Borrower's name (a "</w:t>
      </w:r>
      <w:r>
        <w:rPr>
          <w:rFonts w:ascii="Arial" w:cs="Arial" w:eastAsia="Arial" w:hAnsi="Arial"/>
          <w:sz w:val="22"/>
          <w:szCs w:val="22"/>
          <w:u w:val="single" w:color="auto"/>
          <w:color w:val="auto"/>
        </w:rPr>
        <w:t>Cash Management Account</w:t>
      </w:r>
      <w:r>
        <w:rPr>
          <w:rFonts w:ascii="Arial" w:cs="Arial" w:eastAsia="Arial" w:hAnsi="Arial"/>
          <w:sz w:val="22"/>
          <w:szCs w:val="22"/>
          <w:color w:val="auto"/>
        </w:rPr>
        <w:t>") at one of the Cash Management Banks.</w:t>
      </w:r>
    </w:p>
    <w:p>
      <w:pPr>
        <w:spacing w:after="0" w:line="191"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On or before the Restatement Effective Date, each Cash Management Bank shall establish and maintain Cash Management Agreements with Agent and certain Loan Parties in form and substance acceptable to Agent. Each such Cash Management Agreement shall provide, among other things, that (i) all items of payment deposited in such Cash Management Account and proceeds thereof are held by such Cash Management Bank as agent or bailee-in-possession for Agent, (ii) the Cash Management Bank has no rights of setoff or recoupment or any other claim against the applicable Cash Management Account, other than for payment of its service fees and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1" w:name="page112"/>
    <w:bookmarkEnd w:id="111"/>
    <w:p>
      <w:pPr>
        <w:jc w:val="both"/>
        <w:spacing w:after="0" w:line="235" w:lineRule="auto"/>
        <w:rPr>
          <w:sz w:val="20"/>
          <w:szCs w:val="20"/>
          <w:color w:val="auto"/>
        </w:rPr>
      </w:pPr>
      <w:r>
        <w:rPr>
          <w:rFonts w:ascii="Arial" w:cs="Arial" w:eastAsia="Arial" w:hAnsi="Arial"/>
          <w:sz w:val="22"/>
          <w:szCs w:val="22"/>
          <w:color w:val="auto"/>
        </w:rPr>
        <w:t xml:space="preserve">other charges directly related to the administration of such Cash Management Account and for returned checks or other items of payment, and (iii) it immediately will forward by daily sweep all amounts in the applicable Cash Management Account to the Agent's Account;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requirement set forth in this clause (iii) shall only be required during the continuance of a Cash Sweep Trigger Period, and absent the continuance of a Cash Sweep Trigger Period, Agent shall direct the Cash Management Bank to forward all amounts in the Cash Management Account to Borrowers' Account in accordance with the wire instructions set forth on </w:t>
      </w:r>
      <w:r>
        <w:rPr>
          <w:rFonts w:ascii="Arial" w:cs="Arial" w:eastAsia="Arial" w:hAnsi="Arial"/>
          <w:sz w:val="22"/>
          <w:szCs w:val="22"/>
          <w:u w:val="single" w:color="auto"/>
          <w:color w:val="auto"/>
        </w:rPr>
        <w:t>Schedule 2.7(b)</w:t>
      </w:r>
      <w:r>
        <w:rPr>
          <w:rFonts w:ascii="Arial" w:cs="Arial" w:eastAsia="Arial" w:hAnsi="Arial"/>
          <w:sz w:val="22"/>
          <w:szCs w:val="22"/>
          <w:color w:val="auto"/>
        </w:rPr>
        <w:t xml:space="preserve"> hereto.</w:t>
      </w:r>
    </w:p>
    <w:p>
      <w:pPr>
        <w:spacing w:after="0" w:line="188"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 xml:space="preserve">So long as no Default or Event of Default has occurred and is continuing, Administrative Borrower may amend </w:t>
      </w:r>
      <w:r>
        <w:rPr>
          <w:rFonts w:ascii="Arial" w:cs="Arial" w:eastAsia="Arial" w:hAnsi="Arial"/>
          <w:sz w:val="19"/>
          <w:szCs w:val="19"/>
          <w:u w:val="single" w:color="auto"/>
          <w:color w:val="auto"/>
        </w:rPr>
        <w:t>Schedule 2.7(a)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to add or replace a Cash Management Account Bank or Cash Management Account;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such prospective Cash Management Bank shall be satisfactory to Agent and Agent shall have consented in writing in advance to the opening of such Cash Management Account with the prospective Cash Management Bank, and (ii) prior to the time of the opening of such Cash Management Account, Loan Parties and such prospective Cash Management Bank shall have executed and delivered to Agent a Cash Management Agreement. Loan Parties shall close any of their Cash Management Accounts (and establish replacement cash management accounts in accordance with the foregoing sentence) promptly and in any event within 30 days of notice from Agent that the creditworthiness of any Cash Management Bank is no longer acceptable in Agent's reasonable judgment, or as promptly as practicable and in any event within 60 days of notice from Agent that the operating performance, funds transfer, or availability procedures or performance of the Cash Management Bank with respect to Cash Management Accounts or Agent's liability under any Cash Management Agreement with such Cash Management Bank is no longer acceptable in Agent's reasonable judgment.</w:t>
      </w:r>
    </w:p>
    <w:p>
      <w:pPr>
        <w:spacing w:after="0" w:line="161"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The Cash Management Accounts shall be cash collateral accounts, with all cash, checks and similar items of payment in such accounts securing payment of the Obligations, and in which Loan Parties are hereby deemed to have granted a Lien to Agent.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Crediting Payments</w:t>
      </w:r>
    </w:p>
    <w:p>
      <w:pPr>
        <w:spacing w:after="0" w:line="212" w:lineRule="exact"/>
        <w:rPr>
          <w:sz w:val="20"/>
          <w:szCs w:val="20"/>
          <w:color w:val="auto"/>
        </w:rPr>
      </w:pPr>
    </w:p>
    <w:p>
      <w:pPr>
        <w:jc w:val="both"/>
        <w:ind w:firstLine="8"/>
        <w:spacing w:after="0" w:line="274" w:lineRule="auto"/>
        <w:tabs>
          <w:tab w:leader="none" w:pos="19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receipt of any payment item by Agent (whether from transfers to Agent by the Cash Management Banks pursuant to the Cash Management Agreements or otherwise) shall not be considered a payment on account unless such payment item is a wire transfer of immediately available federal funds made to the Agent's Account or unless and until such payment item is honored when presented for payment. Should any payment item not be honored when presented for payment, then Loan Parties shall be deemed not to have made such payment and interest shall be calculated accordingly. Anything to the contrary contained herein notwithstanding, any payment item shall be deemed received by Agent only if it is received into the Agent's Account on a Business Day on or before 11:00 a.m. (California time). If any payment item is received into the Agent's Account on a non-Business Day or after 11:00 a.m. (California time) on a Business Day, it shall be deemed to have been received by Agent as of the opening of business on the immediately following Business Day.</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Designated Account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2" w:name="page113"/>
    <w:bookmarkEnd w:id="112"/>
    <w:p>
      <w:pPr>
        <w:jc w:val="both"/>
        <w:ind w:firstLine="8"/>
        <w:spacing w:after="0" w:line="279" w:lineRule="auto"/>
        <w:tabs>
          <w:tab w:leader="none" w:pos="167"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Agent is authorized to make the Advances, and Issuing Bank is authorized to issue the Letters of Credit, under this Agreement based upon telephonic or other instructions received from anyone purporting to be an Authorized Person, or without instructions if pursuant to </w:t>
      </w:r>
      <w:r>
        <w:rPr>
          <w:rFonts w:ascii="Arial" w:cs="Arial" w:eastAsia="Arial" w:hAnsi="Arial"/>
          <w:sz w:val="19"/>
          <w:szCs w:val="19"/>
          <w:u w:val="single" w:color="auto"/>
          <w:color w:val="auto"/>
        </w:rPr>
        <w:t>Section 2.6(d)</w:t>
      </w:r>
      <w:r>
        <w:rPr>
          <w:rFonts w:ascii="Arial" w:cs="Arial" w:eastAsia="Arial" w:hAnsi="Arial"/>
          <w:sz w:val="19"/>
          <w:szCs w:val="19"/>
          <w:color w:val="auto"/>
        </w:rPr>
        <w:t>. Administrative Borrower agrees to establish and maintain a Designated Account for Borrowers with the Designated Account Bank for the purpose of receiving the proceeds of the Advances requested by Borrowers and made by Agent or the Lenders hereunder. Unless otherwise agreed by Agent and Administrative Borrower, any Advance, Agent Advance or Swing Loan requested by Borrowers and made by Agent or the Lenders hereunder shall be made to the Designated Account.</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Maintenance of Loan Account; Statements of Obligations</w:t>
      </w:r>
    </w:p>
    <w:p>
      <w:pPr>
        <w:spacing w:after="0" w:line="212" w:lineRule="exact"/>
        <w:rPr>
          <w:sz w:val="20"/>
          <w:szCs w:val="20"/>
          <w:color w:val="auto"/>
        </w:rPr>
      </w:pPr>
    </w:p>
    <w:p>
      <w:pPr>
        <w:jc w:val="both"/>
        <w:ind w:firstLine="8"/>
        <w:spacing w:after="0" w:line="272" w:lineRule="auto"/>
        <w:tabs>
          <w:tab w:leader="none" w:pos="201" w:val="left"/>
        </w:tabs>
        <w:numPr>
          <w:ilvl w:val="0"/>
          <w:numId w:val="57"/>
        </w:numPr>
        <w:rPr>
          <w:rFonts w:ascii="Arial" w:cs="Arial" w:eastAsia="Arial" w:hAnsi="Arial"/>
          <w:sz w:val="19"/>
          <w:szCs w:val="19"/>
          <w:color w:val="auto"/>
        </w:rPr>
      </w:pPr>
      <w:r>
        <w:rPr>
          <w:rFonts w:ascii="Arial" w:cs="Arial" w:eastAsia="Arial" w:hAnsi="Arial"/>
          <w:sz w:val="19"/>
          <w:szCs w:val="19"/>
          <w:color w:val="auto"/>
        </w:rPr>
        <w:t>Agent shall maintain an account on its books in the name of Borrowers (the "</w:t>
      </w:r>
      <w:r>
        <w:rPr>
          <w:rFonts w:ascii="Arial" w:cs="Arial" w:eastAsia="Arial" w:hAnsi="Arial"/>
          <w:sz w:val="19"/>
          <w:szCs w:val="19"/>
          <w:u w:val="single" w:color="auto"/>
          <w:color w:val="auto"/>
        </w:rPr>
        <w:t>Loan Account</w:t>
      </w:r>
      <w:r>
        <w:rPr>
          <w:rFonts w:ascii="Arial" w:cs="Arial" w:eastAsia="Arial" w:hAnsi="Arial"/>
          <w:sz w:val="19"/>
          <w:szCs w:val="19"/>
          <w:color w:val="auto"/>
        </w:rPr>
        <w:t xml:space="preserve">") on which Borrowers will be charged with the all Advances (including Agent Advances, Overadvances and Swing Loans) made by Agent, Swing Lender, or the Lenders to Borrowers or for Borrowers' account, the Letters of Credit issued or arranged by Issuing Bank for Borrowers' account, and with all other payment Obligations hereunder or under the other Loan Documents, including, accrued interest, fees and expenses, and Lender Group Expenses. In accordance with </w:t>
      </w:r>
      <w:r>
        <w:rPr>
          <w:rFonts w:ascii="Arial" w:cs="Arial" w:eastAsia="Arial" w:hAnsi="Arial"/>
          <w:sz w:val="19"/>
          <w:szCs w:val="19"/>
          <w:u w:val="single" w:color="auto"/>
          <w:color w:val="auto"/>
        </w:rPr>
        <w:t>Section 2.8</w:t>
      </w:r>
      <w:r>
        <w:rPr>
          <w:rFonts w:ascii="Arial" w:cs="Arial" w:eastAsia="Arial" w:hAnsi="Arial"/>
          <w:sz w:val="19"/>
          <w:szCs w:val="19"/>
          <w:color w:val="auto"/>
        </w:rPr>
        <w:t>, the Loan Account will be credited with all payments received by Agent from Borrowers or for Borrowers' account. Agent shall make available to Borrowers monthly statements regarding the Loan Account, including the principal amount of the Advances, interest accrued hereunder, fees accrued or charged hereunder or under the other Loan Documents, and a summary itemization of all charges and expenses constituting Lender Group Expenses accrued hereunder or under the other Loan Documents, and each such statement, absent manifest error, shall be conclusively presumed to be correct and accurate and constitute an account stated between Borrowers and the Lender Group unless, within 45 days after Agent first makes such a statement available to Borrowers, Borrowers shall deliver to Agent written objection thereto describing the error or errors contained in such statement.</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Fees</w:t>
      </w:r>
    </w:p>
    <w:p>
      <w:pPr>
        <w:spacing w:after="0" w:line="212" w:lineRule="exact"/>
        <w:rPr>
          <w:sz w:val="20"/>
          <w:szCs w:val="20"/>
          <w:color w:val="auto"/>
        </w:rPr>
      </w:pPr>
    </w:p>
    <w:p>
      <w:pPr>
        <w:jc w:val="both"/>
        <w:ind w:firstLine="8"/>
        <w:spacing w:after="0"/>
        <w:tabs>
          <w:tab w:leader="none" w:pos="232" w:val="left"/>
        </w:tabs>
        <w:numPr>
          <w:ilvl w:val="0"/>
          <w:numId w:val="58"/>
        </w:numPr>
        <w:rPr>
          <w:rFonts w:ascii="Arial" w:cs="Arial" w:eastAsia="Arial" w:hAnsi="Arial"/>
          <w:sz w:val="22"/>
          <w:szCs w:val="22"/>
          <w:color w:val="auto"/>
        </w:rPr>
      </w:pPr>
      <w:r>
        <w:rPr>
          <w:rFonts w:ascii="Arial" w:cs="Arial" w:eastAsia="Arial" w:hAnsi="Arial"/>
          <w:sz w:val="22"/>
          <w:szCs w:val="22"/>
          <w:color w:val="auto"/>
        </w:rPr>
        <w:t>Borrowers shall pay to Agent the following fees and charges, which fees and charges shall be non-refundable when paid (irrespective of whether this Agreement is terminated thereafter) and shall be apportioned among the Lenders in accordance with the terms of letter agreements between Agent and individual Lenders:</w:t>
      </w:r>
    </w:p>
    <w:p>
      <w:pPr>
        <w:spacing w:after="0" w:line="180" w:lineRule="exact"/>
        <w:rPr>
          <w:sz w:val="20"/>
          <w:szCs w:val="20"/>
          <w:color w:val="auto"/>
        </w:rPr>
      </w:pPr>
    </w:p>
    <w:p>
      <w:pPr>
        <w:jc w:val="both"/>
        <w:ind w:firstLine="1497"/>
        <w:spacing w:after="0" w:line="289" w:lineRule="auto"/>
        <w:rPr>
          <w:sz w:val="20"/>
          <w:szCs w:val="20"/>
          <w:color w:val="auto"/>
        </w:rPr>
      </w:pPr>
      <w:r>
        <w:rPr>
          <w:rFonts w:ascii="Arial" w:cs="Arial" w:eastAsia="Arial" w:hAnsi="Arial"/>
          <w:sz w:val="19"/>
          <w:szCs w:val="19"/>
          <w:b w:val="1"/>
          <w:bCs w:val="1"/>
          <w:color w:val="auto"/>
        </w:rPr>
        <w:t>Unused Line Fee</w:t>
      </w:r>
      <w:r>
        <w:rPr>
          <w:rFonts w:ascii="Arial" w:cs="Arial" w:eastAsia="Arial" w:hAnsi="Arial"/>
          <w:sz w:val="19"/>
          <w:szCs w:val="19"/>
          <w:color w:val="auto"/>
        </w:rPr>
        <w:t>. On the first day of each month during the term of this Agreement, an unused line fee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amount equal to the Applicable Unused Line Fee per annum times the result of (a) the Maximum Revolver Amount, less (b) the sum of (i) the average Daily Balance of Advances that were outstanding during the immediately preceding month, plus (ii) the average Daily Balance of the Letter of Credit Usage during the immediately preceding month,</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Closing Fee</w:t>
      </w:r>
      <w:r>
        <w:rPr>
          <w:rFonts w:ascii="Arial" w:cs="Arial" w:eastAsia="Arial" w:hAnsi="Arial"/>
          <w:sz w:val="19"/>
          <w:szCs w:val="19"/>
          <w:color w:val="auto"/>
        </w:rPr>
        <w:t>. On the Restatement Effective Date, Borrowers shall pay to Agent a closing fee in an amount equal</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to $50,000.</w:t>
      </w:r>
    </w:p>
    <w:p>
      <w:pPr>
        <w:spacing w:after="0" w:line="18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Fee Letter Fees</w:t>
      </w:r>
      <w:r>
        <w:rPr>
          <w:rFonts w:ascii="Arial" w:cs="Arial" w:eastAsia="Arial" w:hAnsi="Arial"/>
          <w:sz w:val="22"/>
          <w:szCs w:val="22"/>
          <w:color w:val="auto"/>
        </w:rPr>
        <w:t>. As and when due and payable under the terms of the Fee Letter, Borrowers shall pay to Agent</w:t>
      </w:r>
      <w:r>
        <w:rPr>
          <w:rFonts w:ascii="Arial" w:cs="Arial" w:eastAsia="Arial" w:hAnsi="Arial"/>
          <w:sz w:val="22"/>
          <w:szCs w:val="22"/>
          <w:b w:val="1"/>
          <w:bCs w:val="1"/>
          <w:color w:val="auto"/>
        </w:rPr>
        <w:t xml:space="preserve"> </w:t>
      </w:r>
      <w:r>
        <w:rPr>
          <w:rFonts w:ascii="Arial" w:cs="Arial" w:eastAsia="Arial" w:hAnsi="Arial"/>
          <w:sz w:val="22"/>
          <w:szCs w:val="22"/>
          <w:color w:val="auto"/>
        </w:rPr>
        <w:t>the fees set forth in the Fee Letter, and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3" w:name="page114"/>
    <w:bookmarkEnd w:id="113"/>
    <w:p>
      <w:pPr>
        <w:jc w:val="both"/>
        <w:ind w:firstLine="1497"/>
        <w:spacing w:after="0" w:line="270" w:lineRule="auto"/>
        <w:rPr>
          <w:sz w:val="20"/>
          <w:szCs w:val="20"/>
          <w:color w:val="auto"/>
        </w:rPr>
      </w:pPr>
      <w:r>
        <w:rPr>
          <w:rFonts w:ascii="Arial" w:cs="Arial" w:eastAsia="Arial" w:hAnsi="Arial"/>
          <w:sz w:val="19"/>
          <w:szCs w:val="19"/>
          <w:color w:val="auto"/>
        </w:rPr>
        <w:t xml:space="preserve">For the separate account of each member of the Lender Group, audit, appraisal, and valuation fees and charges as follows, (i) a fee of $1,000 per day, per auditor, plus out-of-pocket expenses for each financial audit of a Borrower performed by personnel employed by Agent and each Lender that accompanies Agent's personnel in connection with such financial audit conducted by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absence of a continuing Event of Default, the Borrowers shall not be obligated to pay for more than two (2) financial audits in any 12 month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Borrower shall not be required to reimburse the Agent for the costs of more than one (1) financial audit in any 12 month period if, at the time of such financial audit, (x) no Default or Event of Default has occurred and is continuing and (y) no Advances have been outstanding since the Restatement Effective Date, (ii) if implemented, for the sole account of the Agent, a one-time charge of $3,000 plus out-of-pocket expenses for expenses for the establishment of electronic collateral reporting systems, (iii) a fee of $1,500 per day per appraiser, plus out-of-pocket expenses, for each appraisal of the Collateral consisting of Inventory and capital assets performed by personnel employed by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absence of a continuing Event of Default, the Borrowers shall not be obligated to pay for more than one (1) appraisal in any 12 month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Borrower shall not be required to reimburse the Agent for the costs of any such appraisal if, at the time of such appraisal, (x) no Default or Event of Default has occurred and is continuing and (y) no Advances have been outstanding since the Restatement Effective Date, and (iv) the actual charges paid or incurred by the Agent (and, subject to clause (i) above, each Lender) if it elects to employ the services of one or more third Persons to perform financial audits of Loan Parties, to appraise the Collateral, or any portion thereof, or to assess a Loan Parties' business valuation.</w:t>
      </w:r>
    </w:p>
    <w:p>
      <w:pPr>
        <w:spacing w:after="0" w:line="200" w:lineRule="exact"/>
        <w:rPr>
          <w:sz w:val="20"/>
          <w:szCs w:val="20"/>
          <w:color w:val="auto"/>
        </w:rPr>
      </w:pPr>
    </w:p>
    <w:p>
      <w:pPr>
        <w:spacing w:after="0" w:line="20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Letters of Credit</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Subject to the terms and conditions of this Agreement, upon the request of Borrowers made in accordance herewith, and prior to the Maturity Date, Issuing Bank agrees issue L/Cs for the account of Borrowers or to purchase participations or execute indemnities or reimbursement obligations (each such undertaking, an "</w:t>
      </w:r>
      <w:r>
        <w:rPr>
          <w:rFonts w:ascii="Arial" w:cs="Arial" w:eastAsia="Arial" w:hAnsi="Arial"/>
          <w:sz w:val="19"/>
          <w:szCs w:val="19"/>
          <w:u w:val="single" w:color="auto"/>
          <w:color w:val="auto"/>
        </w:rPr>
        <w:t>L/C Undertaking</w:t>
      </w:r>
      <w:r>
        <w:rPr>
          <w:rFonts w:ascii="Arial" w:cs="Arial" w:eastAsia="Arial" w:hAnsi="Arial"/>
          <w:sz w:val="19"/>
          <w:szCs w:val="19"/>
          <w:color w:val="auto"/>
        </w:rPr>
        <w:t>") with respect to letters of credit issued by an Underlying Issuer (as of the Restatement Effective Date, the prospective Underlying Issuer is to be Wells Fargo) for the account of Borrowers. By submitting a request to Issuing Bank for the issuance of a Letter of Credit, Borrowers shall be deemed to have requested that (x) Issuing Bank issue the requested Letter of Credit or (y) in the case in which WFCF is the Issuing Bank, that an Underlying Issuer issue the requested Letter of Credit (and, in such case, to have requested WFCF to issue a L/C Undertaking with respect to such requested Letter of Credit). Each request for the issuance of a Letter of Credit, or the amendment, renewal, or extension of any outstanding Letter of Credit, shall be (i) irrevocable, unless otherwise consented to in writing by Issuing Bank, and shall be made in writing by an Authorized Person, (ii) delivered to Agent and Issuing Bank via telefacsimile or other electronic method of transmission reasonably acceptable to Agent and Issuing Bank and reasonably in advance of the requested date of issuance, amendment, renewal, or extension, and (iii) subject to Issuing Bank's authentication procedures with results satisfactory to Issuing Bank. Each such request shall be in the form provided by Issuing Bank for such purpose or otherwise in form and substance reasonably satisfactory to Issuing Bank and (i) shall specify (A) the amount of such Letter of Credit, (B) the date of issuance, amendment, renewal, or extension of such Letter of Credit, (C) the proposed expiration date of such Letter of Credit, (D) the name and address of the beneficiary of the Letter of Credit, and (E) such other information (including, the conditions to drawing, and, in the case of an amendment,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4" w:name="page115"/>
    <w:bookmarkEnd w:id="114"/>
    <w:p>
      <w:pPr>
        <w:jc w:val="both"/>
        <w:spacing w:after="0" w:line="277" w:lineRule="auto"/>
        <w:rPr>
          <w:sz w:val="20"/>
          <w:szCs w:val="20"/>
          <w:color w:val="auto"/>
        </w:rPr>
      </w:pPr>
      <w:r>
        <w:rPr>
          <w:rFonts w:ascii="Arial" w:cs="Arial" w:eastAsia="Arial" w:hAnsi="Arial"/>
          <w:sz w:val="19"/>
          <w:szCs w:val="19"/>
          <w:color w:val="auto"/>
        </w:rPr>
        <w:t>renewal, or extension, identification of the Letter of Credit to be so amended, renewed, or extended) as shall be necessary to prepare, amend, renew, or extend such Letter of Credit, and (ii) shall be accompanied by such Issuer Documents as Agent or Issuing Bank or Underlying Issuer may request or require, to the extent that such requests or requirements are consistent with the Issuer Documents that Issuing Bank or Underlying Issuer generally requests for Letters of Credit in similar circumstances. Issuing Bank's records of the content of any such request will be conclusive. Anything contained herein to the contrary notwithstanding, Issuing Bank may, but shall not be obligated to, issue a Letter of Credit that supports the obligations of Borrowers or one of their Subsidiaries in respect of (x) a lease of real property, or (y) an employment contract</w:t>
      </w:r>
    </w:p>
    <w:p>
      <w:pPr>
        <w:spacing w:after="0" w:line="152"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Issuing Bank shall have no obligation to issue a Letter of Credit if any of the following would result after giving effect to the requested issuance:</w:t>
      </w:r>
    </w:p>
    <w:p>
      <w:pPr>
        <w:spacing w:after="0" w:line="175"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the Letter of Credit Usage would exceed the Letter of Credit Sublimit, or</w:t>
      </w:r>
    </w:p>
    <w:p>
      <w:pPr>
        <w:spacing w:after="0" w:line="206"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 xml:space="preserve">the Letter of Credit Usage would exceed the Maximum Revolver Amount </w:t>
      </w:r>
      <w:r>
        <w:rPr>
          <w:rFonts w:ascii="Arial" w:cs="Arial" w:eastAsia="Arial" w:hAnsi="Arial"/>
          <w:sz w:val="22"/>
          <w:szCs w:val="22"/>
          <w:i w:val="1"/>
          <w:iCs w:val="1"/>
          <w:color w:val="auto"/>
        </w:rPr>
        <w:t>less</w:t>
      </w:r>
      <w:r>
        <w:rPr>
          <w:rFonts w:ascii="Arial" w:cs="Arial" w:eastAsia="Arial" w:hAnsi="Arial"/>
          <w:sz w:val="22"/>
          <w:szCs w:val="22"/>
          <w:color w:val="auto"/>
        </w:rPr>
        <w:t xml:space="preserve"> the outstanding amount of Advances (including Swing Loans), or</w:t>
      </w:r>
    </w:p>
    <w:p>
      <w:pPr>
        <w:spacing w:after="0" w:line="175"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 xml:space="preserve">the Letter of Credit Usage would exceed the Borrowing Base at such time </w:t>
      </w:r>
      <w:r>
        <w:rPr>
          <w:rFonts w:ascii="Arial" w:cs="Arial" w:eastAsia="Arial" w:hAnsi="Arial"/>
          <w:sz w:val="22"/>
          <w:szCs w:val="22"/>
          <w:i w:val="1"/>
          <w:iCs w:val="1"/>
          <w:color w:val="auto"/>
        </w:rPr>
        <w:t>less</w:t>
      </w:r>
      <w:r>
        <w:rPr>
          <w:rFonts w:ascii="Arial" w:cs="Arial" w:eastAsia="Arial" w:hAnsi="Arial"/>
          <w:sz w:val="22"/>
          <w:szCs w:val="22"/>
          <w:color w:val="auto"/>
        </w:rPr>
        <w:t xml:space="preserve"> the outstanding principal balance of the Advances (inclusive of Swing Loans) at such time.</w:t>
      </w:r>
    </w:p>
    <w:p>
      <w:pPr>
        <w:spacing w:after="0" w:line="175"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 xml:space="preserve">In the event there is a Defaulting Lender as of the date of any request for the issuance of a Letter of Credit, the Issuing Bank shall not be required to issue or arrange for such Letter of Credit or any applicable L/C Undertaking to the extent (i) the Defaulting Lender's Letter of Credit Exposure with respect to such Letter of Credit or any applicable L/C Undertaking may not be reallocated pursuant to </w:t>
      </w:r>
      <w:r>
        <w:rPr>
          <w:rFonts w:ascii="Arial" w:cs="Arial" w:eastAsia="Arial" w:hAnsi="Arial"/>
          <w:sz w:val="19"/>
          <w:szCs w:val="19"/>
          <w:u w:val="single" w:color="auto"/>
          <w:color w:val="auto"/>
        </w:rPr>
        <w:t>Section 2.3(c)(iv)</w:t>
      </w:r>
      <w:r>
        <w:rPr>
          <w:rFonts w:ascii="Arial" w:cs="Arial" w:eastAsia="Arial" w:hAnsi="Arial"/>
          <w:sz w:val="19"/>
          <w:szCs w:val="19"/>
          <w:color w:val="auto"/>
        </w:rPr>
        <w:t xml:space="preserve">, or (ii) the Issuing Bank has not otherwise entered into arrangements reasonably satisfactory to it and Borrowers to eliminate the Issuing Bank's risk with respect to the participation in such Letter of Credit or any applicable L/C Undertaking of the Defaulting Lender, which arrangements may include Borrowers cash collateralizing such Defaulting Lender's Letter of Credit Exposure in accordance with </w:t>
      </w:r>
      <w:r>
        <w:rPr>
          <w:rFonts w:ascii="Arial" w:cs="Arial" w:eastAsia="Arial" w:hAnsi="Arial"/>
          <w:sz w:val="19"/>
          <w:szCs w:val="19"/>
          <w:u w:val="single" w:color="auto"/>
          <w:color w:val="auto"/>
        </w:rPr>
        <w:t>Section 2.3(c)(iv)</w:t>
      </w:r>
      <w:r>
        <w:rPr>
          <w:rFonts w:ascii="Arial" w:cs="Arial" w:eastAsia="Arial" w:hAnsi="Arial"/>
          <w:sz w:val="19"/>
          <w:szCs w:val="19"/>
          <w:color w:val="auto"/>
        </w:rPr>
        <w:t>. Additionally, Issuing Bank shall have no obligation to issue a Letter of Credit or a L/C Undertaking in respect of a Letter of Credit if (A) any order, judgment, or decree of any Governmental Authority or arbitrator shall, by its terms, purport to enjoin or restrain Issuing Bank from issuing such Letter of Credit or a L/C Undertaking or Underlying Issuer from issuing such Letter of Credit, or any law applicable to Issuing Bank or any request or directive (whether or not having the force of law) from any Governmental Authority with jurisdiction over Issuing Bank shall prohibit or request that Issuing Bank or Underlying Issuer refrain from the issuance of letters of credit generally or such Letter of Credit or L/C Undertaking in particular, (B) the issuance of such Letter of Credit would violate one or more policies of Issuing Bank applicable to letters of credit generally, or (C) if amounts demanded to be paid under any Letter of Credit will or may not be in Dollars.</w:t>
      </w:r>
    </w:p>
    <w:p>
      <w:pPr>
        <w:spacing w:after="0" w:line="200" w:lineRule="exact"/>
        <w:rPr>
          <w:sz w:val="20"/>
          <w:szCs w:val="20"/>
          <w:color w:val="auto"/>
        </w:rPr>
      </w:pPr>
    </w:p>
    <w:p>
      <w:pPr>
        <w:spacing w:after="0" w:line="207"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Any Issuing Bank (other than Wells Fargo or any of its Affiliates) shall notify Agent in writing no later than the Business Day prior to the Business Day on which such Issuing Bank issues any Letter of Credit. In addition, each Issuing Bank (other than Wells Fargo or any of its Affiliates) shall, on the first Business Day of each week, submit to Agent a report detailing the daily undrawn amount of each Letter of Credit or L/C Undertakings issued by such Issuing Bank during the prior calendar week. Each Letter of Credit shall be in form and substance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5" w:name="page116"/>
    <w:bookmarkEnd w:id="115"/>
    <w:p>
      <w:pPr>
        <w:jc w:val="both"/>
        <w:spacing w:after="0" w:line="244" w:lineRule="auto"/>
        <w:rPr>
          <w:sz w:val="20"/>
          <w:szCs w:val="20"/>
          <w:color w:val="auto"/>
        </w:rPr>
      </w:pPr>
      <w:r>
        <w:rPr>
          <w:rFonts w:ascii="Arial" w:cs="Arial" w:eastAsia="Arial" w:hAnsi="Arial"/>
          <w:sz w:val="21"/>
          <w:szCs w:val="21"/>
          <w:color w:val="auto"/>
        </w:rPr>
        <w:t xml:space="preserve">reasonably acceptable to Issuing Bank and, if applicable, Underlying Issuer, including the requirement that the amounts payable thereunder must be payable in Dollars. If Issuing Bank makes a payment under a Letter of Credit or L/C Undertakings, Borrowers shall pay to Agent an amount equal to the applicable L/C Disbursement on the Business Day such L/C Disbursement is made and, in the absence of such payment, the amount of the L/C Disbursement immediately and automatically shall be deemed to be a Advance hereunder (notwithstanding any failure to satisfy any condition precedent set forth in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and, initially, shall bear interest at the rate then applicable to Advances that are Base Rate Loans. If a L/C Disbursement is deemed to be a Advance hereunder, Borrowers' obligation to pay the amount of such L/C Disbursement to Issuing Bank shall be automatically converted into an obligation to pay the resulting Advance. Promptly following receipt by Agent of any payment from Borrowers pursuant to this paragraph, Agent shall distribute such payment to Issuing Bank or, to the extent that Revolving Lenders have made payments pursuant to </w:t>
      </w:r>
      <w:r>
        <w:rPr>
          <w:rFonts w:ascii="Arial" w:cs="Arial" w:eastAsia="Arial" w:hAnsi="Arial"/>
          <w:sz w:val="21"/>
          <w:szCs w:val="21"/>
          <w:u w:val="single" w:color="auto"/>
          <w:color w:val="auto"/>
        </w:rPr>
        <w:t>Section 2.12(e)</w:t>
      </w:r>
      <w:r>
        <w:rPr>
          <w:rFonts w:ascii="Arial" w:cs="Arial" w:eastAsia="Arial" w:hAnsi="Arial"/>
          <w:sz w:val="21"/>
          <w:szCs w:val="21"/>
          <w:color w:val="auto"/>
        </w:rPr>
        <w:t xml:space="preserve"> to reimburse Issuing Bank, then to such Revolving Lenders and Issuing Bank as their interests may appear.</w:t>
      </w:r>
    </w:p>
    <w:p>
      <w:pPr>
        <w:spacing w:after="0" w:line="188"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Promptly following receipt of a notice of a L/C Disbursement pursuant to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each Revolving Lender agrees to fund its Pro Rata Share of any Advance deemed made pursuant to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on the same terms and conditions as if Borrowers had requested the amount thereof as a Advance and Agent shall promptly pay to Issuing Bank the amounts so received by it from the Revolving Lenders. By the issuance of a Letter of Credit or L/C Undertaking (or an amendment, renewal, or extension of a Letter of Credit or L/C Undertaking) and without any further action on the part of Issuing Bank or the Revolving Lenders, Issuing Bank shall be deemed to have granted to each Revolving Lender, and each Revolving Lender shall be deemed to have purchased, a participation in each Letter of Credit or L/C Undertaking issued by Issuing Bank, in an amount equal to its Pro Rata Share of such Letter of Credit or L/C Undertaking, and each such Revolving Lender agrees to pay to Agent, for the account of Issuing Bank, such Revolving Lender's Pro Rata Share of any L/C Disbursement made by Issuing Bank under the applicable Letter of Credit or L/C Undertaking. In consideration and in furtherance of the foregoing, each Revolving Lender hereby absolutely and unconditionally agrees to pay to Agent, for the account of Issuing Bank, such Revolving Lender's Pro Rata Share of each L/C Disbursement made by Issuing Bank and not reimbursed by Borrowers on the date due as provided in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or of any reimbursement payment that is required to be refunded (or that Agent or Issuing Bank elects, based upon the advice of counsel, to refund) to Borrowers for any reason. Each Revolving Lender acknowledges and agrees that its obligation to deliver to Agent, for the account of Issuing Bank, an amount equal to its respective Pro Rata Share of each L/C Disbursement pursuant to this </w:t>
      </w:r>
      <w:r>
        <w:rPr>
          <w:rFonts w:ascii="Arial" w:cs="Arial" w:eastAsia="Arial" w:hAnsi="Arial"/>
          <w:sz w:val="19"/>
          <w:szCs w:val="19"/>
          <w:u w:val="single" w:color="auto"/>
          <w:color w:val="auto"/>
        </w:rPr>
        <w:t>Section 2.11(e)</w:t>
      </w:r>
      <w:r>
        <w:rPr>
          <w:rFonts w:ascii="Arial" w:cs="Arial" w:eastAsia="Arial" w:hAnsi="Arial"/>
          <w:sz w:val="19"/>
          <w:szCs w:val="19"/>
          <w:color w:val="auto"/>
        </w:rPr>
        <w:t xml:space="preserve"> shall be absolute and unconditional and such remittance shall be made notwithstanding the occurrence or continuation of an Event of Default or Default or the failure to satisfy any condition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If any such Revolving Lender fails to make available to Agent the amount of such Revolving Lender's Pro Rata Share of a L/C Disbursement as provided in this Section, such Revolving Lender shall be deemed to be a Defaulting Lender and Agent (for the account of Issuing Bank) shall be entitled to recover such amount on demand from such Revolving Lender together with interest thereon at the Defaulting Lender Rate until paid in full.</w:t>
      </w:r>
    </w:p>
    <w:p>
      <w:pPr>
        <w:spacing w:after="0" w:line="200" w:lineRule="exact"/>
        <w:rPr>
          <w:sz w:val="20"/>
          <w:szCs w:val="20"/>
          <w:color w:val="auto"/>
        </w:rPr>
      </w:pPr>
    </w:p>
    <w:p>
      <w:pPr>
        <w:spacing w:after="0" w:line="203"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Each Borrower agrees to indemnify, defend and hold harmless each member of the Lender Group (including Issuing Bank and its branches, Affiliates, and correspondents and Underlying Issuer and its branches, Affiliates and correspondents) and each such Person's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6" w:name="page117"/>
    <w:bookmarkEnd w:id="116"/>
    <w:p>
      <w:pPr>
        <w:jc w:val="both"/>
        <w:spacing w:after="0" w:line="234" w:lineRule="auto"/>
        <w:rPr>
          <w:sz w:val="20"/>
          <w:szCs w:val="20"/>
          <w:color w:val="auto"/>
        </w:rPr>
      </w:pPr>
      <w:r>
        <w:rPr>
          <w:rFonts w:ascii="Arial" w:cs="Arial" w:eastAsia="Arial" w:hAnsi="Arial"/>
          <w:sz w:val="22"/>
          <w:szCs w:val="22"/>
          <w:color w:val="auto"/>
        </w:rPr>
        <w:t>respective directors, officers, employees, attorneys and agents (each, including Issuing Bank, a "</w:t>
      </w:r>
      <w:r>
        <w:rPr>
          <w:rFonts w:ascii="Arial" w:cs="Arial" w:eastAsia="Arial" w:hAnsi="Arial"/>
          <w:sz w:val="22"/>
          <w:szCs w:val="22"/>
          <w:u w:val="single" w:color="auto"/>
          <w:color w:val="auto"/>
        </w:rPr>
        <w:t>Letter of Credit Related Person</w:t>
      </w:r>
      <w:r>
        <w:rPr>
          <w:rFonts w:ascii="Arial" w:cs="Arial" w:eastAsia="Arial" w:hAnsi="Arial"/>
          <w:sz w:val="22"/>
          <w:szCs w:val="22"/>
          <w:color w:val="auto"/>
        </w:rPr>
        <w:t xml:space="preserve">") (to the fullest extent permitted by law) from and against any and all claims, demands, suits, actions, investigations, proceedings, liabilities, fines, penalties, and damages, and all reasonable and documented fees and disbursements of attorneys, experts, or consultants and all other reasonable and documented costs and expenses actually incurred in connection therewith or in connection with the enforcement of this indemnification (as and when they are incurred and irrespective of whether suit is brought), which may be incurred by or awarded against any such Letter of Credit Related Person (other than Taxes, which shall be governed by </w:t>
      </w:r>
      <w:r>
        <w:rPr>
          <w:rFonts w:ascii="Arial" w:cs="Arial" w:eastAsia="Arial" w:hAnsi="Arial"/>
          <w:sz w:val="22"/>
          <w:szCs w:val="22"/>
          <w:u w:val="single" w:color="auto"/>
          <w:color w:val="auto"/>
        </w:rPr>
        <w:t>Section 16.11</w:t>
      </w:r>
      <w:r>
        <w:rPr>
          <w:rFonts w:ascii="Arial" w:cs="Arial" w:eastAsia="Arial" w:hAnsi="Arial"/>
          <w:sz w:val="22"/>
          <w:szCs w:val="22"/>
          <w:color w:val="auto"/>
        </w:rPr>
        <w:t>) (the "</w:t>
      </w:r>
      <w:r>
        <w:rPr>
          <w:rFonts w:ascii="Arial" w:cs="Arial" w:eastAsia="Arial" w:hAnsi="Arial"/>
          <w:sz w:val="22"/>
          <w:szCs w:val="22"/>
          <w:u w:val="single" w:color="auto"/>
          <w:color w:val="auto"/>
        </w:rPr>
        <w:t>Letter of Credit Indemnified Costs</w:t>
      </w:r>
      <w:r>
        <w:rPr>
          <w:rFonts w:ascii="Arial" w:cs="Arial" w:eastAsia="Arial" w:hAnsi="Arial"/>
          <w:sz w:val="22"/>
          <w:szCs w:val="22"/>
          <w:color w:val="auto"/>
        </w:rPr>
        <w:t>"), and which arise out of or in connection with, or as a result of:</w:t>
      </w:r>
    </w:p>
    <w:p>
      <w:pPr>
        <w:spacing w:after="0" w:line="18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any Letter of Credit or any pre-advice of its issuance;</w:t>
      </w:r>
    </w:p>
    <w:p>
      <w:pPr>
        <w:spacing w:after="0" w:line="206"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any transfer, sale, delivery, surrender or endorsement (or lack thereof) of any Drawing Document at any time(s) held by any such Letter of Credit Related Person in connection with any Letter of Credit;</w:t>
      </w:r>
    </w:p>
    <w:p>
      <w:pPr>
        <w:spacing w:after="0" w:line="175"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any action or proceeding arising out of, or in connection with, any Letter of Credit or L/C Undertaking (whether administrative, judicial or in connection with arbitration), including any action or proceeding to compel or restrain any presentation or payment under any Letter of Credit or L/C Undertaking, or for the wrongful dishonor of, or honoring a presentation under, any Letter of Credit;</w:t>
      </w:r>
    </w:p>
    <w:p>
      <w:pPr>
        <w:spacing w:after="0" w:line="185"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any independent undertakings issued by the beneficiary of any Letter of Credit;</w:t>
      </w:r>
    </w:p>
    <w:p>
      <w:pPr>
        <w:spacing w:after="0" w:line="206"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any unauthorized instruction or request made to Issuing Bank or Underlying Issuer in connection with any Letter of Credit or L/C Undertaking or requested Letter of Credit or L/C Undertaking, or any error, omission, interruption or delay in such instruction or request, whether transmitted by mail, courier, electronic transmission, SWIFT, or any other telecommunication including communications through a correspondent;</w:t>
      </w:r>
    </w:p>
    <w:p>
      <w:pPr>
        <w:spacing w:after="0" w:line="185" w:lineRule="exact"/>
        <w:rPr>
          <w:sz w:val="20"/>
          <w:szCs w:val="20"/>
          <w:color w:val="auto"/>
        </w:rPr>
      </w:pPr>
    </w:p>
    <w:p>
      <w:pPr>
        <w:ind w:left="1960" w:hanging="508"/>
        <w:spacing w:after="0"/>
        <w:tabs>
          <w:tab w:leader="none" w:pos="1960"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an adviser, confirmer or other nominated person seeking to be reimbursed, indemnified or</w:t>
      </w:r>
    </w:p>
    <w:p>
      <w:pPr>
        <w:spacing w:after="0" w:line="8"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22"/>
          <w:szCs w:val="22"/>
          <w:color w:val="auto"/>
        </w:rPr>
        <w:t>compensated;</w:t>
      </w:r>
    </w:p>
    <w:p>
      <w:pPr>
        <w:spacing w:after="0" w:line="188" w:lineRule="exact"/>
        <w:rPr>
          <w:rFonts w:ascii="Arial" w:cs="Arial" w:eastAsia="Arial" w:hAnsi="Arial"/>
          <w:sz w:val="22"/>
          <w:szCs w:val="22"/>
          <w:b w:val="1"/>
          <w:bCs w:val="1"/>
          <w:color w:val="auto"/>
        </w:rPr>
      </w:pPr>
    </w:p>
    <w:p>
      <w:pPr>
        <w:ind w:left="760" w:right="740" w:firstLine="692"/>
        <w:spacing w:after="0" w:line="250" w:lineRule="auto"/>
        <w:tabs>
          <w:tab w:leader="none" w:pos="1956"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(vii) any third party seeking to enforce the rights of an applicant, beneficiary, nominated person, transferee, assignee of Letter of Credit proceeds or holder of an instrument or document;</w:t>
      </w:r>
    </w:p>
    <w:p>
      <w:pPr>
        <w:spacing w:after="0" w:line="174" w:lineRule="exact"/>
        <w:rPr>
          <w:rFonts w:ascii="Arial" w:cs="Arial" w:eastAsia="Arial" w:hAnsi="Arial"/>
          <w:sz w:val="22"/>
          <w:szCs w:val="22"/>
          <w:b w:val="1"/>
          <w:bCs w:val="1"/>
          <w:color w:val="auto"/>
        </w:rPr>
      </w:pPr>
    </w:p>
    <w:p>
      <w:pPr>
        <w:ind w:left="1960" w:hanging="508"/>
        <w:spacing w:after="0"/>
        <w:tabs>
          <w:tab w:leader="none" w:pos="1960"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(viii) the fraud, forgery or illegal action of parties other than the Letter of Credit Related Person;</w:t>
      </w:r>
    </w:p>
    <w:p>
      <w:pPr>
        <w:spacing w:after="0" w:line="206" w:lineRule="exact"/>
        <w:rPr>
          <w:rFonts w:ascii="Arial" w:cs="Arial" w:eastAsia="Arial" w:hAnsi="Arial"/>
          <w:sz w:val="22"/>
          <w:szCs w:val="22"/>
          <w:b w:val="1"/>
          <w:bCs w:val="1"/>
          <w:color w:val="auto"/>
        </w:rPr>
      </w:pPr>
    </w:p>
    <w:p>
      <w:pPr>
        <w:jc w:val="both"/>
        <w:ind w:left="760" w:right="740" w:firstLine="692"/>
        <w:spacing w:after="0"/>
        <w:tabs>
          <w:tab w:leader="none" w:pos="1956"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(ix) any prohibition on payment or delay in payment of any amount payable by Issuing Bank or Underlying Issuer to a beneficiary or transferee beneficiary of a Letter of Credit arising out of Anti-Corruption Laws, Anti-Money Laundering Laws, or Sanctions;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7" w:name="page118"/>
    <w:bookmarkEnd w:id="117"/>
    <w:p>
      <w:pPr>
        <w:ind w:left="760" w:right="740" w:firstLine="692"/>
        <w:spacing w:after="0" w:line="250" w:lineRule="auto"/>
        <w:tabs>
          <w:tab w:leader="none" w:pos="1956"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(x) Issuing Bank's or Underlying Issuer's performance of the obligations of a confirming institution or entity that wrongfully dishonors a confirmation;</w:t>
      </w:r>
    </w:p>
    <w:p>
      <w:pPr>
        <w:spacing w:after="0" w:line="174" w:lineRule="exact"/>
        <w:rPr>
          <w:rFonts w:ascii="Arial" w:cs="Arial" w:eastAsia="Arial" w:hAnsi="Arial"/>
          <w:sz w:val="22"/>
          <w:szCs w:val="22"/>
          <w:b w:val="1"/>
          <w:bCs w:val="1"/>
          <w:color w:val="auto"/>
        </w:rPr>
      </w:pPr>
    </w:p>
    <w:p>
      <w:pPr>
        <w:ind w:left="760" w:right="740" w:firstLine="692"/>
        <w:spacing w:after="0" w:line="250" w:lineRule="auto"/>
        <w:tabs>
          <w:tab w:leader="none" w:pos="1956"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(xi) any foreign language translation provided to Issuing Bank or Underlying Issuer in connection with any Letter of Credit;</w:t>
      </w:r>
    </w:p>
    <w:p>
      <w:pPr>
        <w:spacing w:after="0" w:line="174" w:lineRule="exact"/>
        <w:rPr>
          <w:rFonts w:ascii="Arial" w:cs="Arial" w:eastAsia="Arial" w:hAnsi="Arial"/>
          <w:sz w:val="22"/>
          <w:szCs w:val="22"/>
          <w:b w:val="1"/>
          <w:bCs w:val="1"/>
          <w:color w:val="auto"/>
        </w:rPr>
      </w:pPr>
    </w:p>
    <w:p>
      <w:pPr>
        <w:jc w:val="both"/>
        <w:ind w:left="760" w:right="740" w:firstLine="692"/>
        <w:spacing w:after="0" w:line="238" w:lineRule="auto"/>
        <w:tabs>
          <w:tab w:leader="none" w:pos="1956"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(xii) any foreign law or usage as it relates to Issuing Bank's or Underlying Issuer's issuance of a Letter of Credit or L/C Undertaking in support of a foreign guaranty including the expiration of such guaranty after the related Letter of Credit expiration date and any resulting drawing paid by Issuing Bank in connection therewith; or</w:t>
      </w:r>
    </w:p>
    <w:p>
      <w:pPr>
        <w:spacing w:after="0" w:line="184" w:lineRule="exact"/>
        <w:rPr>
          <w:rFonts w:ascii="Arial" w:cs="Arial" w:eastAsia="Arial" w:hAnsi="Arial"/>
          <w:sz w:val="22"/>
          <w:szCs w:val="22"/>
          <w:b w:val="1"/>
          <w:bCs w:val="1"/>
          <w:color w:val="auto"/>
        </w:rPr>
      </w:pPr>
    </w:p>
    <w:p>
      <w:pPr>
        <w:jc w:val="both"/>
        <w:ind w:left="760" w:right="740" w:firstLine="692"/>
        <w:spacing w:after="0"/>
        <w:tabs>
          <w:tab w:leader="none" w:pos="1956"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(xiii) the acts or omissions, whether rightful or wrongful, of any present or future de jure or de facto governmental or regulatory authority or cause or event beyond the control of the Letter of Credit Related Person;</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be available to any Letter of Credit Related Person claiming indemnification under clauses (i) through (x) above to the extent that such Letter of Credit Indemnified Costs may be finally determined in a final, non-appealable judgment of a court of competent jurisdiction to have resulted directly from the gross negligence or willful misconduct of the Letter of Credit Related Person claiming indemnity. Borrowers hereby agree to pay the Letter of Credit Related Person claiming indemnity on demand from time to time all amounts owing under this </w:t>
      </w:r>
      <w:r>
        <w:rPr>
          <w:rFonts w:ascii="Arial" w:cs="Arial" w:eastAsia="Arial" w:hAnsi="Arial"/>
          <w:sz w:val="19"/>
          <w:szCs w:val="19"/>
          <w:u w:val="single" w:color="auto"/>
          <w:color w:val="auto"/>
        </w:rPr>
        <w:t>Section 2.12(f)</w:t>
      </w:r>
      <w:r>
        <w:rPr>
          <w:rFonts w:ascii="Arial" w:cs="Arial" w:eastAsia="Arial" w:hAnsi="Arial"/>
          <w:sz w:val="19"/>
          <w:szCs w:val="19"/>
          <w:color w:val="auto"/>
        </w:rPr>
        <w:t xml:space="preserve">. If and to the extent that the obligations of Borrowers under this </w:t>
      </w:r>
      <w:r>
        <w:rPr>
          <w:rFonts w:ascii="Arial" w:cs="Arial" w:eastAsia="Arial" w:hAnsi="Arial"/>
          <w:sz w:val="19"/>
          <w:szCs w:val="19"/>
          <w:u w:val="single" w:color="auto"/>
          <w:color w:val="auto"/>
        </w:rPr>
        <w:t>Section 2.12(f)</w:t>
      </w:r>
      <w:r>
        <w:rPr>
          <w:rFonts w:ascii="Arial" w:cs="Arial" w:eastAsia="Arial" w:hAnsi="Arial"/>
          <w:sz w:val="19"/>
          <w:szCs w:val="19"/>
          <w:color w:val="auto"/>
        </w:rPr>
        <w:t xml:space="preserve"> are unenforceable for any reason, Borrowers agree to make the maximum contribution to the Letter of Credit Indemnified Costs permissible under applicable law. This indemnification provision shall survive termination of this Agreement and all Letters of Credit and L/C Undertakings.</w:t>
      </w:r>
    </w:p>
    <w:p>
      <w:pPr>
        <w:spacing w:after="0" w:line="157"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The liability of Issuing Bank (or any other Letter of Credit Related Person) under, in connection with or arising out of any Letter of Credit (or pre-advice) or L/C Undertaking, regardless of the form or legal grounds of the action or proceeding, shall be limited to direct damages suffered by Borrowers that are caused directly by Issuing Bank's gross negligence or willful misconduct in (i) honoring a presentation under a Letter of Credit that on its face does not at least substantially comply with the terms and conditions of such Letter of Credit, (ii) failing to honor a presentation under a Letter of Credit that strictly complies with the terms and conditions of such Letter of Credit, or (iii) retaining Drawing Documents presented under a Letter of Credit.</w:t>
      </w:r>
    </w:p>
    <w:p>
      <w:pPr>
        <w:spacing w:after="0" w:line="191"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Borrowers are responsible for the final text of the Letter of Credit as issued by Issuing Bank or Underlying Issuer, irrespective of any assistance Issuing Bank or Underlying Issuer may provide such as drafting or recommending text or by Issuing Bank's or Underlying Issuer's use or refusal to use text submitted by Borrowers. If Borrowers request Issuing Bank or Underlying Issuer to issue a Letter of Credit for an affiliated or unaffiliated third party (an "</w:t>
      </w:r>
      <w:r>
        <w:rPr>
          <w:rFonts w:ascii="Arial" w:cs="Arial" w:eastAsia="Arial" w:hAnsi="Arial"/>
          <w:sz w:val="19"/>
          <w:szCs w:val="19"/>
          <w:u w:val="single" w:color="auto"/>
          <w:color w:val="auto"/>
        </w:rPr>
        <w:t>Account Party</w:t>
      </w:r>
      <w:r>
        <w:rPr>
          <w:rFonts w:ascii="Arial" w:cs="Arial" w:eastAsia="Arial" w:hAnsi="Arial"/>
          <w:sz w:val="19"/>
          <w:szCs w:val="19"/>
          <w:color w:val="auto"/>
        </w:rPr>
        <w:t>"), (i) such Account Party shall have no rights against Issuing Bank or Underlying Issuer; (ii) Borrowers shall be responsible for the application and obligations under this Agreement; and (iii) communications (including notices) related to the respective Letter of Credit shall be among Issuing Bank or Underlying Issuer and Borrowers. Borrowers will examine the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8" w:name="page119"/>
    <w:bookmarkEnd w:id="118"/>
    <w:p>
      <w:pPr>
        <w:jc w:val="both"/>
        <w:spacing w:after="0" w:line="273" w:lineRule="auto"/>
        <w:rPr>
          <w:sz w:val="20"/>
          <w:szCs w:val="20"/>
          <w:color w:val="auto"/>
        </w:rPr>
      </w:pPr>
      <w:r>
        <w:rPr>
          <w:rFonts w:ascii="Arial" w:cs="Arial" w:eastAsia="Arial" w:hAnsi="Arial"/>
          <w:sz w:val="19"/>
          <w:szCs w:val="19"/>
          <w:color w:val="auto"/>
        </w:rPr>
        <w:t>copy of the Letter of Credit and any other documents sent by Issuing Bank in connection therewith and shall promptly notify Issuing Bank and Underlying Issuer (not later than three (3) Business Days following Borrowers' receipt of documents from Issuing Bank) of any non-compliance with Borrowers' instructions and of any discrepancy in any document under any presentment or other irregularity. Borrowers understand and agree that neither Issuing Bank or Underlying Issuer is required to extend the expiration date of any Letter of Credit for any reason. With respect to any Letter of Credit containing an "automatic amendment" to extend the expiration date of such Letter of Credit, Issuing Bank and Underlying Issuer, each in its sole and absolute discretion, may give notice of nonrenewal of such Letter of Credit and, if Borrowers do not at any time want the then current expiration date of such Letter of Credit to be extended, Borrowers will so notify Agent and Issuing Bank and Underlying Issuer at least 30 calendar days before Issuing Bank or Underlying Issuer is required to notify the beneficiary of such Letter of Credit or any advising bank of such non-extension pursuant to the terms of such Letter of Credit.</w:t>
      </w:r>
    </w:p>
    <w:p>
      <w:pPr>
        <w:spacing w:after="0" w:line="161"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Borrowers' reimbursement and payment obligations under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are absolute, unconditional and irrevocable and shall be performed strictly in accordance with the terms of this Agreement under any and all circumstances whatsoever, including:</w:t>
      </w:r>
    </w:p>
    <w:p>
      <w:pPr>
        <w:spacing w:after="0" w:line="186"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any lack of validity, enforceability or legal effect of any Letter of Credit, any Issuer Document, any L/C Undertaking, this Agreement, or any Loan Document, or any term or provision therein or herein;</w:t>
      </w:r>
    </w:p>
    <w:p>
      <w:pPr>
        <w:spacing w:after="0" w:line="175"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payment against presentation of any draft, demand or claim for payment under any Drawing Document that does not comply in whole or in part with the terms of the applicable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Letter of Credit;</w:t>
      </w:r>
    </w:p>
    <w:p>
      <w:pPr>
        <w:spacing w:after="0" w:line="187" w:lineRule="exact"/>
        <w:rPr>
          <w:sz w:val="20"/>
          <w:szCs w:val="20"/>
          <w:color w:val="auto"/>
        </w:rPr>
      </w:pPr>
    </w:p>
    <w:p>
      <w:pPr>
        <w:ind w:left="2260"/>
        <w:spacing w:after="0"/>
        <w:rPr>
          <w:sz w:val="20"/>
          <w:szCs w:val="20"/>
          <w:color w:val="auto"/>
        </w:rPr>
      </w:pPr>
      <w:r>
        <w:rPr>
          <w:rFonts w:ascii="Arial" w:cs="Arial" w:eastAsia="Arial" w:hAnsi="Arial"/>
          <w:sz w:val="21"/>
          <w:szCs w:val="21"/>
          <w:color w:val="auto"/>
        </w:rPr>
        <w:t>Issuing Bank or Underlying Issuer or any of its branches or Affiliates being the beneficiary of any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Letter of Credit;</w:t>
      </w:r>
    </w:p>
    <w:p>
      <w:pPr>
        <w:spacing w:after="0" w:line="188"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Issuing Bank or any correspondent or Underlying Issuer honoring a drawing against a Drawing Document up to the amount available under any Letter of Credit even if such Drawing Document claims an amount in excess of the amount available under the Letter of Credit;</w:t>
      </w:r>
    </w:p>
    <w:p>
      <w:pPr>
        <w:spacing w:after="0" w:line="18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the existence of any claim, set-off, defense or other right that any Loan Party or any of its Subsidiaries may have at any time against any beneficiary or transferee beneficiary, any assignee of proceeds, Issuing Bank, Underlying Issuer or any other Person;</w:t>
      </w:r>
    </w:p>
    <w:p>
      <w:pPr>
        <w:spacing w:after="0" w:line="18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Issuing Bank or any correspondent honoring a drawing upon receipt of an electronic presentation under a Letter of Credit requiring the same, regardless of whether the original Drawing Documents arrive at Issuing Bank's counters or are different from the electronic presentation;</w:t>
      </w:r>
    </w:p>
    <w:p>
      <w:pPr>
        <w:spacing w:after="0" w:line="18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 xml:space="preserve">any other event, circumstance or conduct whatsoever, whether or not similar to any of the foregoing that might, but for this </w:t>
      </w:r>
      <w:r>
        <w:rPr>
          <w:rFonts w:ascii="Arial" w:cs="Arial" w:eastAsia="Arial" w:hAnsi="Arial"/>
          <w:sz w:val="22"/>
          <w:szCs w:val="22"/>
          <w:u w:val="single" w:color="auto"/>
          <w:color w:val="auto"/>
        </w:rPr>
        <w:t>Section 2.12(i)</w:t>
      </w:r>
      <w:r>
        <w:rPr>
          <w:rFonts w:ascii="Arial" w:cs="Arial" w:eastAsia="Arial" w:hAnsi="Arial"/>
          <w:sz w:val="22"/>
          <w:szCs w:val="22"/>
          <w:color w:val="auto"/>
        </w:rPr>
        <w:t>, constitute a legal or equitable defense to or discharge of, or provide a right of set-off against, any Borrower's or any of its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9" w:name="page120"/>
    <w:bookmarkEnd w:id="119"/>
    <w:p>
      <w:pPr>
        <w:spacing w:after="0" w:line="250" w:lineRule="auto"/>
        <w:rPr>
          <w:sz w:val="20"/>
          <w:szCs w:val="20"/>
          <w:color w:val="auto"/>
        </w:rPr>
      </w:pPr>
      <w:r>
        <w:rPr>
          <w:rFonts w:ascii="Arial" w:cs="Arial" w:eastAsia="Arial" w:hAnsi="Arial"/>
          <w:sz w:val="22"/>
          <w:szCs w:val="22"/>
          <w:color w:val="auto"/>
        </w:rPr>
        <w:t>Subsidiaries' reimbursement and other payment obligations and liabilities, arising under, or in connection with, any Letter of Credit, whether against Issuing Bank, Underlying Issuer, the beneficiary or any other Person; or</w:t>
      </w:r>
    </w:p>
    <w:p>
      <w:pPr>
        <w:spacing w:after="0" w:line="175"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the fact that any Default or Event of Default shall have occurred and be continuing;</w:t>
      </w:r>
    </w:p>
    <w:p>
      <w:pPr>
        <w:spacing w:after="0" w:line="200" w:lineRule="exact"/>
        <w:rPr>
          <w:sz w:val="20"/>
          <w:szCs w:val="20"/>
          <w:color w:val="auto"/>
        </w:rPr>
      </w:pPr>
    </w:p>
    <w:p>
      <w:pPr>
        <w:jc w:val="both"/>
        <w:ind w:left="760"/>
        <w:spacing w:after="0" w:line="251" w:lineRule="auto"/>
        <w:rPr>
          <w:sz w:val="20"/>
          <w:szCs w:val="20"/>
          <w:color w:val="auto"/>
        </w:rPr>
      </w:pPr>
      <w:r>
        <w:rPr>
          <w:rFonts w:ascii="Arial" w:cs="Arial" w:eastAsia="Arial" w:hAnsi="Arial"/>
          <w:sz w:val="21"/>
          <w:szCs w:val="21"/>
          <w:b w:val="1"/>
          <w:bCs w:val="1"/>
          <w:color w:val="auto"/>
        </w:rPr>
        <w:t>10.</w:t>
      </w:r>
      <w:r>
        <w:rPr>
          <w:rFonts w:ascii="Arial" w:cs="Arial" w:eastAsia="Arial" w:hAnsi="Arial"/>
          <w:sz w:val="21"/>
          <w:szCs w:val="21"/>
          <w:u w:val="single" w:color="auto"/>
          <w:color w:val="auto"/>
        </w:rPr>
        <w:t>provided</w:t>
      </w:r>
      <w:r>
        <w:rPr>
          <w:rFonts w:ascii="Arial" w:cs="Arial" w:eastAsia="Arial" w:hAnsi="Arial"/>
          <w:sz w:val="21"/>
          <w:szCs w:val="21"/>
          <w:color w:val="auto"/>
        </w:rPr>
        <w:t>, that subject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2.12(g)</w:t>
      </w:r>
      <w:r>
        <w:rPr>
          <w:rFonts w:ascii="Arial" w:cs="Arial" w:eastAsia="Arial" w:hAnsi="Arial"/>
          <w:sz w:val="21"/>
          <w:szCs w:val="21"/>
          <w:b w:val="1"/>
          <w:bCs w:val="1"/>
          <w:color w:val="auto"/>
        </w:rPr>
        <w:t xml:space="preserve"> </w:t>
      </w:r>
      <w:r>
        <w:rPr>
          <w:rFonts w:ascii="Arial" w:cs="Arial" w:eastAsia="Arial" w:hAnsi="Arial"/>
          <w:sz w:val="21"/>
          <w:szCs w:val="21"/>
          <w:color w:val="auto"/>
        </w:rPr>
        <w:t>above, the foregoing shall not release Issuing Bank or Underlying Issuer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from such liability to Borrowers as may be finally determined in a final, non-appealable judgment of a court of competent jurisdiction against Issuing Bank or Underlying Issuer following reimbursement or payment of the obligations and liabilities, including reimbursement and other payment obligations, of Borrowers to Issuing Bank arising under, or in connection with, this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or any Letter of Credit or L/C Undertaking.</w:t>
      </w:r>
    </w:p>
    <w:p>
      <w:pPr>
        <w:spacing w:after="0" w:line="174"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Without limiting any other provision of this Agreement, Issuing Bank, Underlying Issuer and each other Letter of Credit Related Person (if applicable) shall not be responsible to Borrowers for, and Issuing Bank's and Underlying Issuer's rights and remedies against Borrowers and the obligation of Borrowers to reimburse Issuing Bank and Underlying Issuer for each drawing under each Letter of Credit and L/C Undertaking shall not be impaired by:</w:t>
      </w:r>
    </w:p>
    <w:p>
      <w:pPr>
        <w:spacing w:after="0" w:line="174" w:lineRule="exact"/>
        <w:rPr>
          <w:sz w:val="20"/>
          <w:szCs w:val="20"/>
          <w:color w:val="auto"/>
        </w:rPr>
      </w:pPr>
    </w:p>
    <w:p>
      <w:pPr>
        <w:jc w:val="both"/>
        <w:ind w:firstLine="2246"/>
        <w:spacing w:after="0" w:line="274" w:lineRule="auto"/>
        <w:rPr>
          <w:sz w:val="20"/>
          <w:szCs w:val="20"/>
          <w:color w:val="auto"/>
        </w:rPr>
      </w:pPr>
      <w:r>
        <w:rPr>
          <w:rFonts w:ascii="Arial" w:cs="Arial" w:eastAsia="Arial" w:hAnsi="Arial"/>
          <w:sz w:val="21"/>
          <w:szCs w:val="21"/>
          <w:color w:val="auto"/>
        </w:rPr>
        <w:t>honor of a presentation under any Letter of Credit that on its face substantially complies with the terms and conditions of such Letter of Credit, even if the Letter of Credit requires strict compliance by the beneficiary;</w:t>
      </w:r>
    </w:p>
    <w:p>
      <w:pPr>
        <w:spacing w:after="0" w:line="151"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18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acceptance as a draft of any written or electronic demand or request for payment under a Letter of Credit, even if nonnegotiable or not in the form of a draft or notwithstanding any requirement that such draft, demand or request bear any or adequate reference to the Letter of Credit;</w:t>
      </w:r>
    </w:p>
    <w:p>
      <w:pPr>
        <w:spacing w:after="0" w:line="186" w:lineRule="exact"/>
        <w:rPr>
          <w:sz w:val="20"/>
          <w:szCs w:val="20"/>
          <w:color w:val="auto"/>
        </w:rPr>
      </w:pPr>
    </w:p>
    <w:p>
      <w:pPr>
        <w:jc w:val="both"/>
        <w:ind w:firstLine="2246"/>
        <w:spacing w:after="0" w:line="297" w:lineRule="auto"/>
        <w:rPr>
          <w:sz w:val="20"/>
          <w:szCs w:val="20"/>
          <w:color w:val="auto"/>
        </w:rPr>
      </w:pPr>
      <w:r>
        <w:rPr>
          <w:rFonts w:ascii="Arial" w:cs="Arial" w:eastAsia="Arial" w:hAnsi="Arial"/>
          <w:sz w:val="19"/>
          <w:szCs w:val="19"/>
          <w:color w:val="auto"/>
        </w:rPr>
        <w:t>the identity or authority of any presenter or signer of any Drawing Document or the form, accuracy, genuineness or legal effect of any Drawing Document (other than Issuing Bank's or Underlying Issuer's determination that such Drawing Document appears on its face substantially to comply with the terms and conditions of the Letter of Credit);</w:t>
      </w:r>
    </w:p>
    <w:p>
      <w:pPr>
        <w:spacing w:after="0" w:line="134"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acting upon any instruction or request relative to a Letter of Credit or requested Letter of Credit that Issuing Bank and/or Underlying Issuer in good faith believes to have been given by a Person authorized to give such instruction or request;</w:t>
      </w:r>
    </w:p>
    <w:p>
      <w:pPr>
        <w:spacing w:after="0" w:line="18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any Borrower;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0" w:name="page121"/>
    <w:bookmarkEnd w:id="120"/>
    <w:p>
      <w:pPr>
        <w:jc w:val="both"/>
        <w:ind w:firstLine="2246"/>
        <w:spacing w:after="0"/>
        <w:rPr>
          <w:sz w:val="20"/>
          <w:szCs w:val="20"/>
          <w:color w:val="auto"/>
        </w:rPr>
      </w:pPr>
      <w:r>
        <w:rPr>
          <w:rFonts w:ascii="Arial" w:cs="Arial" w:eastAsia="Arial" w:hAnsi="Arial"/>
          <w:sz w:val="22"/>
          <w:szCs w:val="22"/>
          <w:color w:val="auto"/>
        </w:rPr>
        <w:t>any acts, omissions or fraud by, or the insolvency of, any beneficiary, any nominated person or entity or any other Person or any breach of contract between any beneficiary and any Borrower or any of the parties to the underlying transaction to which the Letter of Credit relates;</w:t>
      </w:r>
    </w:p>
    <w:p>
      <w:pPr>
        <w:spacing w:after="0" w:line="186" w:lineRule="exact"/>
        <w:rPr>
          <w:sz w:val="20"/>
          <w:szCs w:val="20"/>
          <w:color w:val="auto"/>
        </w:rPr>
      </w:pPr>
    </w:p>
    <w:p>
      <w:pPr>
        <w:jc w:val="both"/>
        <w:ind w:firstLine="2246"/>
        <w:spacing w:after="0" w:line="274" w:lineRule="auto"/>
        <w:rPr>
          <w:sz w:val="20"/>
          <w:szCs w:val="20"/>
          <w:color w:val="auto"/>
        </w:rPr>
      </w:pPr>
      <w:r>
        <w:rPr>
          <w:rFonts w:ascii="Arial" w:cs="Arial" w:eastAsia="Arial" w:hAnsi="Arial"/>
          <w:sz w:val="21"/>
          <w:szCs w:val="21"/>
          <w:color w:val="auto"/>
        </w:rPr>
        <w:t>assertion or waiver of any provision of the ISP or UCP that primarily benefits an issuer of a letter of credit, including any requirement that any Drawing Document be presented to it at a particular hour or place;</w:t>
      </w:r>
    </w:p>
    <w:p>
      <w:pPr>
        <w:spacing w:after="0" w:line="151"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payment to any presenting bank (designated or permitted by the terms of the applicable Letter of Credit) claiming that it rightfully honored or is entitled to reimbursement or indemnity under Standard Letter of Credit Practice applicable to it;</w:t>
      </w:r>
    </w:p>
    <w:p>
      <w:pPr>
        <w:spacing w:after="0" w:line="186" w:lineRule="exact"/>
        <w:rPr>
          <w:sz w:val="20"/>
          <w:szCs w:val="20"/>
          <w:color w:val="auto"/>
        </w:rPr>
      </w:pPr>
    </w:p>
    <w:p>
      <w:pPr>
        <w:jc w:val="both"/>
        <w:ind w:firstLine="2246"/>
        <w:spacing w:after="0" w:line="328" w:lineRule="auto"/>
        <w:rPr>
          <w:sz w:val="20"/>
          <w:szCs w:val="20"/>
          <w:color w:val="auto"/>
        </w:rPr>
      </w:pPr>
      <w:r>
        <w:rPr>
          <w:rFonts w:ascii="Arial" w:cs="Arial" w:eastAsia="Arial" w:hAnsi="Arial"/>
          <w:sz w:val="19"/>
          <w:szCs w:val="19"/>
          <w:color w:val="auto"/>
        </w:rPr>
        <w:t>acting or failing to act as required or permitted under Standard Letter of Credit Practice applicable to where Issuing Bank or Underlying Issuer has issued, confirmed, advised or negotiated such Letter of Credit, as the case may be;</w:t>
      </w:r>
    </w:p>
    <w:p>
      <w:pPr>
        <w:spacing w:after="0" w:line="105"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honor of a presentation after the expiration date of any Letter of Credit notwithstanding that a presentation was made prior to such expiration date and dishonored by Issuing Bank or Underlying Issuer, as applicable, if subsequently Issuing Bank or Underlying Issuer, as applicable, or any court or other finder of fact determines such presentation should have been honored;</w:t>
      </w:r>
    </w:p>
    <w:p>
      <w:pPr>
        <w:spacing w:after="0" w:line="185"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dishonor of any presentation that does not strictly comply or that is fraudulent, forged or otherwise not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entitled to honor; or</w:t>
      </w:r>
    </w:p>
    <w:p>
      <w:pPr>
        <w:spacing w:after="0" w:line="188"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honor of a presentation that is subsequently determined by Issuing Bank or Underlying Issuer, as applicable, to have been made in violation of international, federal, state or local restrictions on the transaction of business with certain prohibited Persons.</w:t>
      </w:r>
    </w:p>
    <w:p>
      <w:pPr>
        <w:spacing w:after="0" w:line="18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Borrowers shall immediately reimburse upon demand to Agent for the account of Issuing Bank as non-refundable fees, commissions, and charges (it being acknowledged and agreed that any charging of such fees, commissions, and charges to the Loan Account pursuant to the provisions of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shall be deemed to constitute a demand for payment thereof for the purposes of this </w:t>
      </w:r>
      <w:r>
        <w:rPr>
          <w:rFonts w:ascii="Arial" w:cs="Arial" w:eastAsia="Arial" w:hAnsi="Arial"/>
          <w:sz w:val="19"/>
          <w:szCs w:val="19"/>
          <w:u w:val="single" w:color="auto"/>
          <w:color w:val="auto"/>
        </w:rPr>
        <w:t>Section 2.12(k)</w:t>
      </w:r>
      <w:r>
        <w:rPr>
          <w:rFonts w:ascii="Arial" w:cs="Arial" w:eastAsia="Arial" w:hAnsi="Arial"/>
          <w:sz w:val="19"/>
          <w:szCs w:val="19"/>
          <w:color w:val="auto"/>
        </w:rPr>
        <w:t xml:space="preserve">): (i) a fronting fee which shall be imposed by Issuing Bank equal to 0.825% </w:t>
      </w:r>
      <w:r>
        <w:rPr>
          <w:rFonts w:ascii="Arial" w:cs="Arial" w:eastAsia="Arial" w:hAnsi="Arial"/>
          <w:sz w:val="19"/>
          <w:szCs w:val="19"/>
          <w:i w:val="1"/>
          <w:iCs w:val="1"/>
          <w:color w:val="auto"/>
        </w:rPr>
        <w:t>per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annum </w:t>
      </w:r>
      <w:r>
        <w:rPr>
          <w:rFonts w:ascii="Arial" w:cs="Arial" w:eastAsia="Arial" w:hAnsi="Arial"/>
          <w:sz w:val="19"/>
          <w:szCs w:val="19"/>
          <w:color w:val="auto"/>
        </w:rPr>
        <w:t>times the average amount of the Letter of Credit Usage during the immediately preceding quarter (or portion thereof),</w:t>
      </w:r>
      <w:r>
        <w:rPr>
          <w:rFonts w:ascii="Arial" w:cs="Arial" w:eastAsia="Arial" w:hAnsi="Arial"/>
          <w:sz w:val="19"/>
          <w:szCs w:val="19"/>
          <w:i w:val="1"/>
          <w:iCs w:val="1"/>
          <w:color w:val="auto"/>
        </w:rPr>
        <w:t xml:space="preserve"> plus</w:t>
      </w:r>
    </w:p>
    <w:p>
      <w:pPr>
        <w:spacing w:after="0" w:line="4" w:lineRule="exact"/>
        <w:rPr>
          <w:sz w:val="20"/>
          <w:szCs w:val="20"/>
          <w:color w:val="auto"/>
        </w:rPr>
      </w:pPr>
    </w:p>
    <w:p>
      <w:pPr>
        <w:jc w:val="both"/>
        <w:ind w:firstLine="8"/>
        <w:spacing w:after="0" w:line="280" w:lineRule="auto"/>
        <w:tabs>
          <w:tab w:leader="none" w:pos="329"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and all other customary commissions, fees and charges then in effect imposed by, and any and all expenses incurred by, Issuing Bank or Underlying Issuer, or by any adviser, confirming institution or entity or other nominated person, relating to Letters of Credit, at the time of issuance of any Letter of Credit and upon the occurrence of any other activity with respect to any Letter of Credit (including transfers, assignments of proceeds, amendments, drawings, renewals or cancellations).</w:t>
      </w:r>
    </w:p>
    <w:p>
      <w:pPr>
        <w:spacing w:after="0" w:line="150"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If by reason of (x) any Change in Law, or (y) compliance by Issuing Bank, Underlying Issuer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1" w:name="page122"/>
    <w:bookmarkEnd w:id="121"/>
    <w:p>
      <w:pPr>
        <w:jc w:val="both"/>
        <w:ind w:firstLine="2246"/>
        <w:spacing w:after="0"/>
        <w:rPr>
          <w:sz w:val="20"/>
          <w:szCs w:val="20"/>
          <w:color w:val="auto"/>
        </w:rPr>
      </w:pPr>
      <w:r>
        <w:rPr>
          <w:rFonts w:ascii="Arial" w:cs="Arial" w:eastAsia="Arial" w:hAnsi="Arial"/>
          <w:sz w:val="22"/>
          <w:szCs w:val="22"/>
          <w:color w:val="auto"/>
        </w:rPr>
        <w:t>any reserve, deposit, or similar requirement is or shall be imposed or modified in respect of any Letter of Credit or L/C Undertaking issued or caused to be issued hereunder or hereby, or any Loans or obligations to make Loans hereunder or hereby, or</w:t>
      </w:r>
    </w:p>
    <w:p>
      <w:pPr>
        <w:spacing w:after="0" w:line="186" w:lineRule="exact"/>
        <w:rPr>
          <w:sz w:val="20"/>
          <w:szCs w:val="20"/>
          <w:color w:val="auto"/>
        </w:rPr>
      </w:pPr>
    </w:p>
    <w:p>
      <w:pPr>
        <w:jc w:val="both"/>
        <w:ind w:firstLine="2246"/>
        <w:spacing w:after="0" w:line="328" w:lineRule="auto"/>
        <w:rPr>
          <w:sz w:val="20"/>
          <w:szCs w:val="20"/>
          <w:color w:val="auto"/>
        </w:rPr>
      </w:pPr>
      <w:r>
        <w:rPr>
          <w:rFonts w:ascii="Arial" w:cs="Arial" w:eastAsia="Arial" w:hAnsi="Arial"/>
          <w:sz w:val="19"/>
          <w:szCs w:val="19"/>
          <w:color w:val="auto"/>
        </w:rPr>
        <w:t>there shall be imposed on Issuing Bank, Underlying Issuer or any other member of the Lender Group any other condition regarding any Letter of Credit, L/C Undertaking, Loans, or obligations to make Loans hereunder,</w:t>
      </w:r>
    </w:p>
    <w:p>
      <w:pPr>
        <w:spacing w:after="0" w:line="99" w:lineRule="exact"/>
        <w:rPr>
          <w:sz w:val="20"/>
          <w:szCs w:val="20"/>
          <w:color w:val="auto"/>
        </w:rPr>
      </w:pPr>
    </w:p>
    <w:p>
      <w:pPr>
        <w:jc w:val="both"/>
        <w:ind w:left="760" w:right="740"/>
        <w:spacing w:after="0" w:line="271" w:lineRule="auto"/>
        <w:rPr>
          <w:sz w:val="20"/>
          <w:szCs w:val="20"/>
          <w:color w:val="auto"/>
        </w:rPr>
      </w:pPr>
      <w:r>
        <w:rPr>
          <w:rFonts w:ascii="Arial" w:cs="Arial" w:eastAsia="Arial" w:hAnsi="Arial"/>
          <w:sz w:val="19"/>
          <w:szCs w:val="19"/>
          <w:b w:val="1"/>
          <w:bCs w:val="1"/>
          <w:color w:val="auto"/>
        </w:rPr>
        <w:t>11.</w:t>
      </w:r>
      <w:r>
        <w:rPr>
          <w:rFonts w:ascii="Arial" w:cs="Arial" w:eastAsia="Arial" w:hAnsi="Arial"/>
          <w:sz w:val="19"/>
          <w:szCs w:val="19"/>
          <w:color w:val="auto"/>
        </w:rPr>
        <w:t>and the result of the foregoing is to increase, directly or indirectly, the cost to Issuing Bank, Underlying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Issuer or any other member of the Lender Group of issuing, making, participating in, or maintaining any Letter of Credit or L/C Undertaking or to reduce the amount receivable in respect thereof, then, and in any such case, Agent may, at any time within a reasonable period after the additional cost is incurred or the amount received is reduced, notify Borrowers, and Borrowers shall pay within 30 days after demand therefor, such amounts as Agent may specify to be necessary to compensate Issuing Bank or any other member of the Lender Group for such additional cost or reduced receipt, together with interest on such amount from the date of such demand until payment in full thereof at the rate then applicable to Base Rate Loans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Borrowers shall not be required to provide any compensation pursuant to this </w:t>
      </w:r>
      <w:r>
        <w:rPr>
          <w:rFonts w:ascii="Arial" w:cs="Arial" w:eastAsia="Arial" w:hAnsi="Arial"/>
          <w:sz w:val="19"/>
          <w:szCs w:val="19"/>
          <w:u w:val="single" w:color="auto"/>
          <w:color w:val="auto"/>
        </w:rPr>
        <w:t>Section 2.12(l)</w:t>
      </w:r>
      <w:r>
        <w:rPr>
          <w:rFonts w:ascii="Arial" w:cs="Arial" w:eastAsia="Arial" w:hAnsi="Arial"/>
          <w:sz w:val="19"/>
          <w:szCs w:val="19"/>
          <w:color w:val="auto"/>
        </w:rPr>
        <w:t xml:space="preserve"> for any such amounts incurred more than 180 days prior to the date on which the demand for payment of such amounts is first made to Borrowers, and (B) if an event or circumstance giving rise to such amounts is retroactive, then the 180-day period referred to above shall be extended to include the period of retroactive effect thereof. The determination by Agent of any amount due pursuant to this </w:t>
      </w:r>
      <w:r>
        <w:rPr>
          <w:rFonts w:ascii="Arial" w:cs="Arial" w:eastAsia="Arial" w:hAnsi="Arial"/>
          <w:sz w:val="19"/>
          <w:szCs w:val="19"/>
          <w:u w:val="single" w:color="auto"/>
          <w:color w:val="auto"/>
        </w:rPr>
        <w:t>Section 2.12(l)</w:t>
      </w:r>
      <w:r>
        <w:rPr>
          <w:rFonts w:ascii="Arial" w:cs="Arial" w:eastAsia="Arial" w:hAnsi="Arial"/>
          <w:sz w:val="19"/>
          <w:szCs w:val="19"/>
          <w:color w:val="auto"/>
        </w:rPr>
        <w:t>, as set forth in a certificate setting forth the calculation thereof in reasonable detail, shall, in the absence of manifest or demonstrable error, be final and conclusive and binding on all of the parties hereto.</w:t>
      </w:r>
    </w:p>
    <w:p>
      <w:pPr>
        <w:spacing w:after="0" w:line="200" w:lineRule="exact"/>
        <w:rPr>
          <w:sz w:val="20"/>
          <w:szCs w:val="20"/>
          <w:color w:val="auto"/>
        </w:rPr>
      </w:pPr>
    </w:p>
    <w:p>
      <w:pPr>
        <w:spacing w:after="0" w:line="213"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 xml:space="preserve">Each standby Letter of Credit shall expire not later than the date that is 12 months after the date of the issuance of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standby Letter of Credit may provide for the automatic extension thereof for any number of additional periods each of up to one year in duration;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with respect to any Letter of Credit which extends beyond the Maturity Date, Letter of Credit Collateralization shall be provided therefor on or before the date that is five Business Days prior to the Maturity Date. Each commercial Letter of Credit shall expire on the earlier of (i) 120 days after the date of the issuance of such commercial Letter of Credit and (ii) five Business Days prior to the Maturity Date.</w:t>
      </w:r>
    </w:p>
    <w:p>
      <w:pPr>
        <w:spacing w:after="0" w:line="150"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 xml:space="preserve">If (i) any Event of Default shall occur and be continuing, or (ii) Availability shall at any time be less than zero, then on the Business Day following the date when the Administrative Borrower receives notice from Agent or the Required Lenders (or, if the maturity of the Obligations has been accelerated, Revolving Lenders with Letter of Credit Exposure representing greater than 50% of the total Letter Credit Exposure) demanding Letter of Credit Collateralization pursuant to this </w:t>
      </w:r>
      <w:r>
        <w:rPr>
          <w:rFonts w:ascii="Arial" w:cs="Arial" w:eastAsia="Arial" w:hAnsi="Arial"/>
          <w:sz w:val="19"/>
          <w:szCs w:val="19"/>
          <w:u w:val="single" w:color="auto"/>
          <w:color w:val="auto"/>
        </w:rPr>
        <w:t>Section 2.12(n)</w:t>
      </w:r>
      <w:r>
        <w:rPr>
          <w:rFonts w:ascii="Arial" w:cs="Arial" w:eastAsia="Arial" w:hAnsi="Arial"/>
          <w:sz w:val="19"/>
          <w:szCs w:val="19"/>
          <w:color w:val="auto"/>
        </w:rPr>
        <w:t xml:space="preserve"> upon such demand, Borrowers shall provide Letter of Credit Collateralization with respect to the then existing Letter of Credit Usage. If Borrowers fail to provide Letter of Credit Collateralization as required by this </w:t>
      </w:r>
      <w:r>
        <w:rPr>
          <w:rFonts w:ascii="Arial" w:cs="Arial" w:eastAsia="Arial" w:hAnsi="Arial"/>
          <w:sz w:val="19"/>
          <w:szCs w:val="19"/>
          <w:u w:val="single" w:color="auto"/>
          <w:color w:val="auto"/>
        </w:rPr>
        <w:t>Section 2.12(n)</w:t>
      </w:r>
      <w:r>
        <w:rPr>
          <w:rFonts w:ascii="Arial" w:cs="Arial" w:eastAsia="Arial" w:hAnsi="Arial"/>
          <w:sz w:val="19"/>
          <w:szCs w:val="19"/>
          <w:color w:val="auto"/>
        </w:rPr>
        <w:t>, the Revolving Lenders may (and, upon direction of Agent, shall) advance, as Advances the amount of the cash</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2" w:name="page123"/>
    <w:bookmarkEnd w:id="122"/>
    <w:p>
      <w:pPr>
        <w:jc w:val="both"/>
        <w:spacing w:after="0"/>
        <w:rPr>
          <w:sz w:val="20"/>
          <w:szCs w:val="20"/>
          <w:color w:val="auto"/>
        </w:rPr>
      </w:pPr>
      <w:r>
        <w:rPr>
          <w:rFonts w:ascii="Arial" w:cs="Arial" w:eastAsia="Arial" w:hAnsi="Arial"/>
          <w:sz w:val="22"/>
          <w:szCs w:val="22"/>
          <w:color w:val="auto"/>
        </w:rPr>
        <w:t xml:space="preserve">collateral required pursuant to the Letter of Credit Collateralization provision so that the then existing Letter of Credit Usage is cash collateralized in accordance with the Letter of Credit Collateralization provision (whether or not the Revolver Commitments have terminated, an Overadvance exists or the conditions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are satisfied.</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Unless otherwise expressly agreed by Issuing Bank and Borrowers when a Letter of Credit is issued, (i) the rules of the ISP shall apply to each standby Letter of Credit, and (ii) the rules of the UCP shall apply to each commercial Letter of Credit.</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Issuing Bank shall be deemed to have acted with due diligence and reasonable care if Issuing Bank's conduct is in accordance with Standard Letter of Credit Practice or in accordance with this Agreement.</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In the event of a direct conflict between the provisions of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shall control and govern.</w:t>
      </w:r>
    </w:p>
    <w:p>
      <w:pPr>
        <w:spacing w:after="0" w:line="185"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shall survive the termination of this Agreement and the repayment in full of the Obligations with respect to any Letters of Credit or L/C Undertakings that remain outstanding.</w:t>
      </w:r>
    </w:p>
    <w:p>
      <w:pPr>
        <w:spacing w:after="0" w:line="151"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At Borrowers' costs and expense, Borrowers shall execute and deliver to Issuing Bank such additional certificates, instruments and/or documents and take such additional action as may be reasonably requested by Issuing Bank to enable Issuing Bank to issue any Letter of Credit pursuant to this Agreement and related Issuer Document.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FF0000"/>
          <w:strike w:val="1"/>
        </w:rPr>
        <w:t>LIBOR</w:t>
      </w:r>
      <w:r>
        <w:rPr>
          <w:rFonts w:ascii="Arial" w:cs="Arial" w:eastAsia="Arial" w:hAnsi="Arial"/>
          <w:sz w:val="22"/>
          <w:szCs w:val="22"/>
          <w:b w:val="1"/>
          <w:bCs w:val="1"/>
          <w:u w:val="single" w:color="auto"/>
          <w:color w:val="0000FF"/>
        </w:rPr>
        <w:t>SOFR</w:t>
      </w:r>
      <w:r>
        <w:rPr>
          <w:rFonts w:ascii="Arial" w:cs="Arial" w:eastAsia="Arial" w:hAnsi="Arial"/>
          <w:sz w:val="22"/>
          <w:szCs w:val="22"/>
          <w:b w:val="1"/>
          <w:bCs w:val="1"/>
          <w:color w:val="FF0000"/>
        </w:rPr>
        <w:t xml:space="preserve"> </w:t>
      </w:r>
      <w:r>
        <w:rPr>
          <w:rFonts w:ascii="Arial" w:cs="Arial" w:eastAsia="Arial" w:hAnsi="Arial"/>
          <w:sz w:val="22"/>
          <w:szCs w:val="22"/>
          <w:b w:val="1"/>
          <w:bCs w:val="1"/>
          <w:u w:val="single" w:color="auto"/>
          <w:color w:val="000000"/>
        </w:rPr>
        <w:t>Option</w:t>
      </w:r>
      <w:r>
        <w:rPr>
          <w:rFonts w:ascii="Arial" w:cs="Arial" w:eastAsia="Arial" w:hAnsi="Arial"/>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b w:val="1"/>
          <w:bCs w:val="1"/>
          <w:color w:val="auto"/>
        </w:rPr>
        <w:t>Interest and Interest Payment Dates</w:t>
      </w:r>
      <w:r>
        <w:rPr>
          <w:rFonts w:ascii="Arial" w:cs="Arial" w:eastAsia="Arial" w:hAnsi="Arial"/>
          <w:sz w:val="19"/>
          <w:szCs w:val="19"/>
          <w:color w:val="auto"/>
        </w:rPr>
        <w:t>. In lieu of having interest charged at the rate based upon the Base Rate,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Borrowers shall have the option,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2.12</w:t>
      </w:r>
      <w:r>
        <w:rPr>
          <w:rFonts w:ascii="Arial" w:cs="Arial" w:eastAsia="Arial" w:hAnsi="Arial"/>
          <w:sz w:val="19"/>
          <w:szCs w:val="19"/>
          <w:u w:val="single" w:color="auto"/>
          <w:color w:val="0000FF"/>
        </w:rPr>
        <w:t>2.13</w:t>
      </w:r>
      <w:r>
        <w:rPr>
          <w:rFonts w:ascii="Arial" w:cs="Arial" w:eastAsia="Arial" w:hAnsi="Arial"/>
          <w:sz w:val="19"/>
          <w:szCs w:val="19"/>
          <w:u w:val="single" w:color="auto"/>
          <w:color w:val="auto"/>
        </w:rPr>
        <w:t>(b)</w:t>
      </w:r>
      <w:r>
        <w:rPr>
          <w:rFonts w:ascii="Arial" w:cs="Arial" w:eastAsia="Arial" w:hAnsi="Arial"/>
          <w:sz w:val="19"/>
          <w:szCs w:val="19"/>
          <w:color w:val="auto"/>
        </w:rPr>
        <w:t xml:space="preserve"> below (the "</w:t>
      </w:r>
      <w:r>
        <w:rPr>
          <w:rFonts w:ascii="Arial" w:cs="Arial" w:eastAsia="Arial" w:hAnsi="Arial"/>
          <w:sz w:val="19"/>
          <w:szCs w:val="19"/>
          <w:u w:val="single" w:color="auto"/>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w:t>
      </w:r>
      <w:r>
        <w:rPr>
          <w:rFonts w:ascii="Arial" w:cs="Arial" w:eastAsia="Arial" w:hAnsi="Arial"/>
          <w:sz w:val="19"/>
          <w:szCs w:val="19"/>
          <w:color w:val="auto"/>
        </w:rPr>
        <w:t xml:space="preserve">") to have interest on all or a portion of the Advances be charged (whether at the time when made (unless otherwise provided herein), upon conversion from a Base Rate Loan to a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or upon continuation of a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as a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at a rate of interest based upon </w:t>
      </w:r>
      <w:r>
        <w:rPr>
          <w:rFonts w:ascii="Arial" w:cs="Arial" w:eastAsia="Arial" w:hAnsi="Arial"/>
          <w:sz w:val="19"/>
          <w:szCs w:val="19"/>
          <w:color w:val="FF0000"/>
          <w:strike w:val="1"/>
        </w:rPr>
        <w:t>the LIBOR Rate</w:t>
      </w:r>
      <w:r>
        <w:rPr>
          <w:rFonts w:ascii="Arial" w:cs="Arial" w:eastAsia="Arial" w:hAnsi="Arial"/>
          <w:sz w:val="19"/>
          <w:szCs w:val="19"/>
          <w:u w:val="single" w:color="auto"/>
          <w:color w:val="0000FF"/>
        </w:rPr>
        <w:t>Adjusted Term SOFR</w:t>
      </w:r>
      <w:r>
        <w:rPr>
          <w:rFonts w:ascii="Arial" w:cs="Arial" w:eastAsia="Arial" w:hAnsi="Arial"/>
          <w:sz w:val="19"/>
          <w:szCs w:val="19"/>
          <w:color w:val="auto"/>
        </w:rPr>
        <w:t xml:space="preserve">. Interest on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shall be payable on the earliest of (i) the last day of the Interest Period applicable thereto, (ii) the date on which all or any portion of the Obligations are accelerated pursuant to the terms hereof, or (iii) the date on which this Agreement is terminated pursuant to the terms hereof. On the last day of each applicable Interest Period, unless Borrowers have properly exercised the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Option with respect thereto, the interest rate applicable to such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automatically shall convert to the rate of interest then applicable to Base Rate Loans of the same type hereunder. At any time that an Event of Default has occurred and is continuing, Borrowers no longer shall have the option to request that Advances bear interest at a rate based upon </w:t>
      </w:r>
      <w:r>
        <w:rPr>
          <w:rFonts w:ascii="Arial" w:cs="Arial" w:eastAsia="Arial" w:hAnsi="Arial"/>
          <w:sz w:val="19"/>
          <w:szCs w:val="19"/>
          <w:color w:val="FF0000"/>
          <w:strike w:val="1"/>
        </w:rPr>
        <w:t>the LIBOR Rate</w:t>
      </w:r>
      <w:r>
        <w:rPr>
          <w:rFonts w:ascii="Arial" w:cs="Arial" w:eastAsia="Arial" w:hAnsi="Arial"/>
          <w:sz w:val="19"/>
          <w:szCs w:val="19"/>
          <w:u w:val="single" w:color="auto"/>
          <w:color w:val="0000FF"/>
        </w:rPr>
        <w:t>Adjusted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Term SOFR</w:t>
      </w:r>
      <w:r>
        <w:rPr>
          <w:rFonts w:ascii="Arial" w:cs="Arial" w:eastAsia="Arial" w:hAnsi="Arial"/>
          <w:sz w:val="19"/>
          <w:szCs w:val="19"/>
          <w:color w:val="000000"/>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3" w:name="page124"/>
    <w:bookmarkEnd w:id="123"/>
    <w:p>
      <w:pPr>
        <w:ind w:left="1500"/>
        <w:spacing w:after="0"/>
        <w:rPr>
          <w:sz w:val="20"/>
          <w:szCs w:val="20"/>
          <w:color w:val="auto"/>
        </w:rPr>
      </w:pPr>
      <w:r>
        <w:rPr>
          <w:rFonts w:ascii="Arial" w:cs="Arial" w:eastAsia="Arial" w:hAnsi="Arial"/>
          <w:sz w:val="22"/>
          <w:szCs w:val="22"/>
          <w:b w:val="1"/>
          <w:bCs w:val="1"/>
          <w:color w:val="FF0000"/>
          <w:strike w:val="1"/>
        </w:rPr>
        <w:t>LIBOR</w:t>
      </w:r>
      <w:r>
        <w:rPr>
          <w:rFonts w:ascii="Arial" w:cs="Arial" w:eastAsia="Arial" w:hAnsi="Arial"/>
          <w:sz w:val="22"/>
          <w:szCs w:val="22"/>
          <w:b w:val="1"/>
          <w:bCs w:val="1"/>
          <w:u w:val="single" w:color="auto"/>
          <w:color w:val="0000FF"/>
        </w:rPr>
        <w:t>SOFR</w:t>
      </w:r>
      <w:r>
        <w:rPr>
          <w:rFonts w:ascii="Arial" w:cs="Arial" w:eastAsia="Arial" w:hAnsi="Arial"/>
          <w:sz w:val="22"/>
          <w:szCs w:val="22"/>
          <w:b w:val="1"/>
          <w:bCs w:val="1"/>
          <w:color w:val="FF0000"/>
        </w:rPr>
        <w:t xml:space="preserve"> </w:t>
      </w:r>
      <w:r>
        <w:rPr>
          <w:rFonts w:ascii="Arial" w:cs="Arial" w:eastAsia="Arial" w:hAnsi="Arial"/>
          <w:sz w:val="22"/>
          <w:szCs w:val="22"/>
          <w:b w:val="1"/>
          <w:bCs w:val="1"/>
          <w:color w:val="000000"/>
        </w:rPr>
        <w:t>Election</w:t>
      </w:r>
      <w:r>
        <w:rPr>
          <w:rFonts w:ascii="Arial" w:cs="Arial" w:eastAsia="Arial" w:hAnsi="Arial"/>
          <w:sz w:val="22"/>
          <w:szCs w:val="22"/>
          <w:color w:val="000000"/>
        </w:rPr>
        <w:t>.</w:t>
      </w:r>
    </w:p>
    <w:p>
      <w:pPr>
        <w:spacing w:after="0" w:line="212"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2"/>
          <w:szCs w:val="22"/>
          <w:color w:val="auto"/>
        </w:rPr>
        <w:t xml:space="preserve">Borrowers may, at any time and from time to time, so long as no Event of Default has occurred and is continuing, elect to exercise the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Option by notifying Agent prior to 11:00 a.m. at least three </w:t>
      </w:r>
      <w:r>
        <w:rPr>
          <w:rFonts w:ascii="Arial" w:cs="Arial" w:eastAsia="Arial" w:hAnsi="Arial"/>
          <w:sz w:val="22"/>
          <w:szCs w:val="22"/>
          <w:u w:val="single" w:color="auto"/>
          <w:color w:val="0000FF"/>
        </w:rPr>
        <w:t>U.S. Government</w:t>
      </w:r>
      <w:r>
        <w:rPr>
          <w:rFonts w:ascii="Arial" w:cs="Arial" w:eastAsia="Arial" w:hAnsi="Arial"/>
          <w:sz w:val="22"/>
          <w:szCs w:val="22"/>
          <w:color w:val="auto"/>
        </w:rPr>
        <w:t xml:space="preserve"> </w:t>
      </w:r>
      <w:r>
        <w:rPr>
          <w:rFonts w:ascii="Arial" w:cs="Arial" w:eastAsia="Arial" w:hAnsi="Arial"/>
          <w:sz w:val="22"/>
          <w:szCs w:val="22"/>
          <w:u w:val="single" w:color="auto"/>
          <w:color w:val="0000FF"/>
        </w:rPr>
        <w:t>Securities</w:t>
      </w:r>
      <w:r>
        <w:rPr>
          <w:rFonts w:ascii="Arial" w:cs="Arial" w:eastAsia="Arial" w:hAnsi="Arial"/>
          <w:sz w:val="22"/>
          <w:szCs w:val="22"/>
          <w:color w:val="0000FF"/>
        </w:rPr>
        <w:t xml:space="preserve"> </w:t>
      </w:r>
      <w:r>
        <w:rPr>
          <w:rFonts w:ascii="Arial" w:cs="Arial" w:eastAsia="Arial" w:hAnsi="Arial"/>
          <w:sz w:val="22"/>
          <w:szCs w:val="22"/>
          <w:color w:val="000000"/>
        </w:rPr>
        <w:t>Business Days prior to the commencement of the proposed Interest Period (the "</w:t>
      </w:r>
      <w:r>
        <w:rPr>
          <w:rFonts w:ascii="Arial" w:cs="Arial" w:eastAsia="Arial" w:hAnsi="Arial"/>
          <w:sz w:val="22"/>
          <w:szCs w:val="22"/>
          <w:u w:val="single" w:color="auto"/>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0000FF"/>
        </w:rPr>
        <w:t xml:space="preserve"> </w:t>
      </w:r>
      <w:r>
        <w:rPr>
          <w:rFonts w:ascii="Arial" w:cs="Arial" w:eastAsia="Arial" w:hAnsi="Arial"/>
          <w:sz w:val="22"/>
          <w:szCs w:val="22"/>
          <w:u w:val="single" w:color="auto"/>
          <w:color w:val="000000"/>
        </w:rPr>
        <w:t>Deadline</w:t>
      </w:r>
      <w:r>
        <w:rPr>
          <w:rFonts w:ascii="Arial" w:cs="Arial" w:eastAsia="Arial" w:hAnsi="Arial"/>
          <w:sz w:val="22"/>
          <w:szCs w:val="22"/>
          <w:color w:val="000000"/>
        </w:rPr>
        <w:t>"). Notice of</w:t>
      </w:r>
      <w:r>
        <w:rPr>
          <w:rFonts w:ascii="Arial" w:cs="Arial" w:eastAsia="Arial" w:hAnsi="Arial"/>
          <w:sz w:val="22"/>
          <w:szCs w:val="22"/>
          <w:color w:val="0000FF"/>
        </w:rPr>
        <w:t xml:space="preserve"> </w:t>
      </w:r>
      <w:r>
        <w:rPr>
          <w:rFonts w:ascii="Arial" w:cs="Arial" w:eastAsia="Arial" w:hAnsi="Arial"/>
          <w:sz w:val="22"/>
          <w:szCs w:val="22"/>
          <w:color w:val="000000"/>
        </w:rPr>
        <w:t xml:space="preserve">Borrowers' election of the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000000"/>
        </w:rPr>
        <w:t xml:space="preserve"> Option for a permitted portion of the Advances and an Interest Period pursuant to this Section shall be made by delivery to Agent of a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000000"/>
        </w:rPr>
        <w:t xml:space="preserve"> Notice received by Agent before the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000000"/>
        </w:rPr>
        <w:t xml:space="preserve"> Deadline. Promptly upon its receipt of each such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000000"/>
        </w:rPr>
        <w:t xml:space="preserve"> Notice, Agent shall provide a </w:t>
      </w:r>
      <w:r>
        <w:rPr>
          <w:rFonts w:ascii="Arial" w:cs="Arial" w:eastAsia="Arial" w:hAnsi="Arial"/>
          <w:sz w:val="22"/>
          <w:szCs w:val="22"/>
          <w:color w:val="FF0000"/>
          <w:strike w:val="1"/>
        </w:rPr>
        <w:t>copy</w:t>
      </w:r>
      <w:r>
        <w:rPr>
          <w:rFonts w:ascii="Arial" w:cs="Arial" w:eastAsia="Arial" w:hAnsi="Arial"/>
          <w:sz w:val="22"/>
          <w:szCs w:val="22"/>
          <w:u w:val="single" w:color="auto"/>
          <w:color w:val="0000FF"/>
        </w:rPr>
        <w:t>notice</w:t>
      </w:r>
      <w:r>
        <w:rPr>
          <w:rFonts w:ascii="Arial" w:cs="Arial" w:eastAsia="Arial" w:hAnsi="Arial"/>
          <w:sz w:val="22"/>
          <w:szCs w:val="22"/>
          <w:color w:val="000000"/>
        </w:rPr>
        <w:t xml:space="preserve"> thereof to each of the affected Lenders.</w:t>
      </w:r>
    </w:p>
    <w:p>
      <w:pPr>
        <w:spacing w:after="0" w:line="191" w:lineRule="exact"/>
        <w:rPr>
          <w:sz w:val="20"/>
          <w:szCs w:val="20"/>
          <w:color w:val="auto"/>
        </w:rPr>
      </w:pPr>
    </w:p>
    <w:p>
      <w:pPr>
        <w:jc w:val="both"/>
        <w:ind w:firstLine="2246"/>
        <w:spacing w:after="0" w:line="270" w:lineRule="auto"/>
        <w:rPr>
          <w:sz w:val="20"/>
          <w:szCs w:val="20"/>
          <w:color w:val="auto"/>
        </w:rPr>
      </w:pPr>
      <w:r>
        <w:rPr>
          <w:rFonts w:ascii="Arial" w:cs="Arial" w:eastAsia="Arial" w:hAnsi="Arial"/>
          <w:sz w:val="19"/>
          <w:szCs w:val="19"/>
          <w:color w:val="auto"/>
        </w:rPr>
        <w:t xml:space="preserve">Each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Notice shall be irrevocable and binding on Borrowers. In connection with each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FF0000"/>
        </w:rPr>
        <w:t xml:space="preserve"> </w:t>
      </w:r>
      <w:r>
        <w:rPr>
          <w:rFonts w:ascii="Arial" w:cs="Arial" w:eastAsia="Arial" w:hAnsi="Arial"/>
          <w:sz w:val="19"/>
          <w:szCs w:val="19"/>
          <w:color w:val="000000"/>
        </w:rPr>
        <w:t>Loan, each Borrower shall indemnify, defend, and hold Agent and the Lenders harmless against any loss, cost,</w:t>
      </w:r>
      <w:r>
        <w:rPr>
          <w:rFonts w:ascii="Arial" w:cs="Arial" w:eastAsia="Arial" w:hAnsi="Arial"/>
          <w:sz w:val="19"/>
          <w:szCs w:val="19"/>
          <w:color w:val="FF0000"/>
        </w:rPr>
        <w:t xml:space="preserve"> </w:t>
      </w:r>
      <w:r>
        <w:rPr>
          <w:rFonts w:ascii="Arial" w:cs="Arial" w:eastAsia="Arial" w:hAnsi="Arial"/>
          <w:sz w:val="19"/>
          <w:szCs w:val="19"/>
          <w:color w:val="000000"/>
        </w:rPr>
        <w:t xml:space="preserve">or expense actually incurred by Agent or any Lender as a result of (A) the payment or required assignment of any principal of any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FF0000"/>
        </w:rPr>
        <w:t xml:space="preserve"> </w:t>
      </w:r>
      <w:r>
        <w:rPr>
          <w:rFonts w:ascii="Arial" w:cs="Arial" w:eastAsia="Arial" w:hAnsi="Arial"/>
          <w:sz w:val="19"/>
          <w:szCs w:val="19"/>
          <w:color w:val="000000"/>
        </w:rPr>
        <w:t>Loan other than on the last day of an Interest Period applicable thereto (including as a result of an Event of</w:t>
      </w:r>
      <w:r>
        <w:rPr>
          <w:rFonts w:ascii="Arial" w:cs="Arial" w:eastAsia="Arial" w:hAnsi="Arial"/>
          <w:sz w:val="19"/>
          <w:szCs w:val="19"/>
          <w:color w:val="FF0000"/>
        </w:rPr>
        <w:t xml:space="preserve"> </w:t>
      </w:r>
      <w:r>
        <w:rPr>
          <w:rFonts w:ascii="Arial" w:cs="Arial" w:eastAsia="Arial" w:hAnsi="Arial"/>
          <w:sz w:val="19"/>
          <w:szCs w:val="19"/>
          <w:color w:val="000000"/>
        </w:rPr>
        <w:t xml:space="preserve">Default), (B) the conversion of any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Loan other than on the last day of the Interest Period applicable thereto, or</w:t>
      </w:r>
    </w:p>
    <w:p>
      <w:pPr>
        <w:spacing w:after="0" w:line="4" w:lineRule="exact"/>
        <w:rPr>
          <w:sz w:val="20"/>
          <w:szCs w:val="20"/>
          <w:color w:val="auto"/>
        </w:rPr>
      </w:pPr>
    </w:p>
    <w:p>
      <w:pPr>
        <w:jc w:val="both"/>
        <w:ind w:firstLine="8"/>
        <w:spacing w:after="0" w:line="287" w:lineRule="auto"/>
        <w:tabs>
          <w:tab w:leader="none" w:pos="364"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the failure to borrow, convert, continue or prepay any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on the date specified in any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Notice delivered pursuant hereto (such losses, costs, or expenses, "</w:t>
      </w:r>
      <w:r>
        <w:rPr>
          <w:rFonts w:ascii="Arial" w:cs="Arial" w:eastAsia="Arial" w:hAnsi="Arial"/>
          <w:sz w:val="19"/>
          <w:szCs w:val="19"/>
          <w:u w:val="single" w:color="auto"/>
          <w:color w:val="auto"/>
        </w:rPr>
        <w:t>Funding Losses</w:t>
      </w:r>
      <w:r>
        <w:rPr>
          <w:rFonts w:ascii="Arial" w:cs="Arial" w:eastAsia="Arial" w:hAnsi="Arial"/>
          <w:sz w:val="19"/>
          <w:szCs w:val="19"/>
          <w:color w:val="auto"/>
        </w:rPr>
        <w:t xml:space="preserve">"). </w:t>
      </w:r>
      <w:r>
        <w:rPr>
          <w:rFonts w:ascii="Arial" w:cs="Arial" w:eastAsia="Arial" w:hAnsi="Arial"/>
          <w:sz w:val="19"/>
          <w:szCs w:val="19"/>
          <w:color w:val="FF0000"/>
        </w:rPr>
        <w:t>Funding Losses shall, with respect to</w:t>
      </w:r>
      <w:r>
        <w:rPr>
          <w:rFonts w:ascii="Arial" w:cs="Arial" w:eastAsia="Arial" w:hAnsi="Arial"/>
          <w:sz w:val="19"/>
          <w:szCs w:val="19"/>
          <w:color w:val="auto"/>
        </w:rPr>
        <w:t xml:space="preserve"> </w:t>
      </w:r>
      <w:r>
        <w:rPr>
          <w:rFonts w:ascii="Arial" w:cs="Arial" w:eastAsia="Arial" w:hAnsi="Arial"/>
          <w:sz w:val="19"/>
          <w:szCs w:val="19"/>
          <w:color w:val="FF0000"/>
          <w:strike w:val="1"/>
        </w:rPr>
        <w:t>Agent or any Lender, be deemed to equal the amount determined by Agent or such Lender to be the excess, if any, of</w:t>
      </w:r>
    </w:p>
    <w:p>
      <w:pPr>
        <w:spacing w:after="0" w:line="143" w:lineRule="exact"/>
        <w:rPr>
          <w:rFonts w:ascii="Arial" w:cs="Arial" w:eastAsia="Arial" w:hAnsi="Arial"/>
          <w:sz w:val="19"/>
          <w:szCs w:val="19"/>
          <w:color w:val="auto"/>
        </w:rPr>
      </w:pPr>
    </w:p>
    <w:p>
      <w:pPr>
        <w:jc w:val="both"/>
        <w:ind w:firstLine="2254"/>
        <w:spacing w:after="0" w:line="274" w:lineRule="auto"/>
        <w:tabs>
          <w:tab w:leader="none" w:pos="2622" w:val="left"/>
        </w:tabs>
        <w:numPr>
          <w:ilvl w:val="1"/>
          <w:numId w:val="62"/>
        </w:numPr>
        <w:rPr>
          <w:rFonts w:ascii="Arial" w:cs="Arial" w:eastAsia="Arial" w:hAnsi="Arial"/>
          <w:sz w:val="19"/>
          <w:szCs w:val="19"/>
          <w:u w:val="single" w:color="auto"/>
          <w:color w:val="0000FF"/>
        </w:rPr>
      </w:pPr>
      <w:r>
        <w:rPr>
          <w:rFonts w:ascii="Arial" w:cs="Arial" w:eastAsia="Arial" w:hAnsi="Arial"/>
          <w:sz w:val="19"/>
          <w:szCs w:val="19"/>
          <w:color w:val="FF0000"/>
        </w:rPr>
        <w:t xml:space="preserve">(i) the amount of interest that would have accrued on the principal amount of such LIBOR Rate </w:t>
      </w:r>
      <w:r>
        <w:rPr>
          <w:rFonts w:ascii="Arial" w:cs="Arial" w:eastAsia="Arial" w:hAnsi="Arial"/>
          <w:sz w:val="19"/>
          <w:szCs w:val="19"/>
          <w:color w:val="FF0000"/>
          <w:strike w:val="1"/>
        </w:rPr>
        <w:t xml:space="preserve">Loan had such event not occurred, at the LIBOR Rate that would have been applicable thereto, for the period from the date of such event to the last day of the then current Interest Period therefor (or, in the case of a failure to borrow, convert or continue, for the period that would have been the Interest Period therefor), minus (ii) the amount of interest that would accrue on such principal amount for such period at the interest rate which Agent or such Lender would be offered were it to be offered, at the commencement of such period, Dollar deposits of a comparable amount and period in the London interbank market. </w:t>
      </w:r>
      <w:r>
        <w:rPr>
          <w:rFonts w:ascii="Arial" w:cs="Arial" w:eastAsia="Arial" w:hAnsi="Arial"/>
          <w:sz w:val="19"/>
          <w:szCs w:val="19"/>
          <w:color w:val="000000"/>
          <w:strike w:val="1"/>
        </w:rPr>
        <w:t>A certificate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of Agent or a Lender delivered to Borrowers setting forth in reasonable detail any amount or amounts that Agent or such Lender is entitled to receive pursuant to this </w:t>
      </w:r>
      <w:r>
        <w:rPr>
          <w:rFonts w:ascii="Arial" w:cs="Arial" w:eastAsia="Arial" w:hAnsi="Arial"/>
          <w:sz w:val="19"/>
          <w:szCs w:val="19"/>
          <w:u w:val="single" w:color="auto"/>
          <w:color w:val="000000"/>
          <w:strike w:val="1"/>
        </w:rPr>
        <w:t>Section</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FF0000"/>
          <w:strike w:val="1"/>
        </w:rPr>
        <w:t>2.12</w:t>
      </w:r>
      <w:r>
        <w:rPr>
          <w:rFonts w:ascii="Arial" w:cs="Arial" w:eastAsia="Arial" w:hAnsi="Arial"/>
          <w:sz w:val="19"/>
          <w:szCs w:val="19"/>
          <w:u w:val="single" w:color="auto"/>
          <w:color w:val="0000FF"/>
          <w:strike w:val="1"/>
        </w:rPr>
        <w:t>2.13</w:t>
      </w:r>
      <w:r>
        <w:rPr>
          <w:rFonts w:ascii="Arial" w:cs="Arial" w:eastAsia="Arial" w:hAnsi="Arial"/>
          <w:sz w:val="19"/>
          <w:szCs w:val="19"/>
          <w:color w:val="000000"/>
          <w:strike w:val="1"/>
        </w:rPr>
        <w:t xml:space="preserve"> shall be conclusive absent manifest error. Borrowers shall pay such amount to Agent or the Lender, as applicable, within 30 days of the date of its receipt of such certificate.</w:t>
      </w:r>
    </w:p>
    <w:p>
      <w:pPr>
        <w:spacing w:after="0" w:line="158" w:lineRule="exact"/>
        <w:rPr>
          <w:rFonts w:ascii="Arial" w:cs="Arial" w:eastAsia="Arial" w:hAnsi="Arial"/>
          <w:sz w:val="19"/>
          <w:szCs w:val="19"/>
          <w:u w:val="single" w:color="auto"/>
          <w:color w:val="0000FF"/>
        </w:rPr>
      </w:pPr>
    </w:p>
    <w:p>
      <w:pPr>
        <w:jc w:val="both"/>
        <w:ind w:firstLine="2254"/>
        <w:spacing w:after="0" w:line="257" w:lineRule="auto"/>
        <w:tabs>
          <w:tab w:leader="none" w:pos="2546" w:val="left"/>
        </w:tabs>
        <w:numPr>
          <w:ilvl w:val="1"/>
          <w:numId w:val="62"/>
        </w:numPr>
        <w:rPr>
          <w:rFonts w:ascii="Arial" w:cs="Arial" w:eastAsia="Arial" w:hAnsi="Arial"/>
          <w:sz w:val="21"/>
          <w:szCs w:val="21"/>
          <w:u w:val="single" w:color="auto"/>
          <w:color w:val="0000FF"/>
        </w:rPr>
      </w:pPr>
      <w:r>
        <w:rPr>
          <w:rFonts w:ascii="Arial" w:cs="Arial" w:eastAsia="Arial" w:hAnsi="Arial"/>
          <w:sz w:val="21"/>
          <w:szCs w:val="21"/>
          <w:color w:val="FF0000"/>
          <w:strike w:val="1"/>
        </w:rPr>
        <w:t>(iii)</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Unless Agent, in its sole discretion, agrees otherwise,</w:t>
      </w:r>
      <w:r>
        <w:rPr>
          <w:rFonts w:ascii="Arial" w:cs="Arial" w:eastAsia="Arial" w:hAnsi="Arial"/>
          <w:sz w:val="21"/>
          <w:szCs w:val="21"/>
          <w:color w:val="FF0000"/>
        </w:rPr>
        <w:t xml:space="preserve"> </w:t>
      </w:r>
      <w:r>
        <w:rPr>
          <w:rFonts w:ascii="Arial" w:cs="Arial" w:eastAsia="Arial" w:hAnsi="Arial"/>
          <w:sz w:val="21"/>
          <w:szCs w:val="21"/>
          <w:color w:val="000000"/>
        </w:rPr>
        <w:t>Borrowers shall have not more than</w:t>
      </w:r>
      <w:r>
        <w:rPr>
          <w:rFonts w:ascii="Arial" w:cs="Arial" w:eastAsia="Arial" w:hAnsi="Arial"/>
          <w:sz w:val="21"/>
          <w:szCs w:val="21"/>
          <w:color w:val="FF0000"/>
        </w:rPr>
        <w:t xml:space="preserve"> </w:t>
      </w:r>
      <w:r>
        <w:rPr>
          <w:rFonts w:ascii="Arial" w:cs="Arial" w:eastAsia="Arial" w:hAnsi="Arial"/>
          <w:sz w:val="21"/>
          <w:szCs w:val="21"/>
          <w:color w:val="FF0000"/>
          <w:strike w:val="1"/>
        </w:rPr>
        <w:t>5</w:t>
      </w:r>
      <w:r>
        <w:rPr>
          <w:rFonts w:ascii="Arial" w:cs="Arial" w:eastAsia="Arial" w:hAnsi="Arial"/>
          <w:sz w:val="21"/>
          <w:szCs w:val="21"/>
          <w:color w:val="FF0000"/>
        </w:rPr>
        <w:t xml:space="preserve"> </w:t>
      </w:r>
      <w:r>
        <w:rPr>
          <w:rFonts w:ascii="Arial" w:cs="Arial" w:eastAsia="Arial" w:hAnsi="Arial"/>
          <w:sz w:val="21"/>
          <w:szCs w:val="21"/>
          <w:color w:val="FF0000"/>
          <w:strike w:val="1"/>
        </w:rPr>
        <w:t>LIBOR Rate</w:t>
      </w:r>
      <w:r>
        <w:rPr>
          <w:rFonts w:ascii="Arial" w:cs="Arial" w:eastAsia="Arial" w:hAnsi="Arial"/>
          <w:sz w:val="21"/>
          <w:szCs w:val="21"/>
          <w:u w:val="single" w:color="auto"/>
          <w:color w:val="0000FF"/>
        </w:rPr>
        <w:t>five SOFR</w:t>
      </w:r>
      <w:r>
        <w:rPr>
          <w:rFonts w:ascii="Arial" w:cs="Arial" w:eastAsia="Arial" w:hAnsi="Arial"/>
          <w:sz w:val="21"/>
          <w:szCs w:val="21"/>
          <w:color w:val="FF0000"/>
        </w:rPr>
        <w:t xml:space="preserve"> </w:t>
      </w:r>
      <w:r>
        <w:rPr>
          <w:rFonts w:ascii="Arial" w:cs="Arial" w:eastAsia="Arial" w:hAnsi="Arial"/>
          <w:sz w:val="21"/>
          <w:szCs w:val="21"/>
          <w:color w:val="000000"/>
        </w:rPr>
        <w:t>Loans in effect at any given time. Borrowers</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may</w:t>
      </w:r>
      <w:r>
        <w:rPr>
          <w:rFonts w:ascii="Arial" w:cs="Arial" w:eastAsia="Arial" w:hAnsi="Arial"/>
          <w:sz w:val="21"/>
          <w:szCs w:val="21"/>
          <w:color w:val="FF0000"/>
        </w:rPr>
        <w:t xml:space="preserve"> </w:t>
      </w:r>
      <w:r>
        <w:rPr>
          <w:rFonts w:ascii="Arial" w:cs="Arial" w:eastAsia="Arial" w:hAnsi="Arial"/>
          <w:sz w:val="21"/>
          <w:szCs w:val="21"/>
          <w:color w:val="000000"/>
        </w:rPr>
        <w:t>only</w:t>
      </w:r>
      <w:r>
        <w:rPr>
          <w:rFonts w:ascii="Arial" w:cs="Arial" w:eastAsia="Arial" w:hAnsi="Arial"/>
          <w:sz w:val="21"/>
          <w:szCs w:val="21"/>
          <w:color w:val="FF0000"/>
        </w:rPr>
        <w:t xml:space="preserve"> </w:t>
      </w:r>
      <w:r>
        <w:rPr>
          <w:rFonts w:ascii="Arial" w:cs="Arial" w:eastAsia="Arial" w:hAnsi="Arial"/>
          <w:sz w:val="21"/>
          <w:szCs w:val="21"/>
          <w:color w:val="FF0000"/>
          <w:strike w:val="1"/>
        </w:rPr>
        <w:t>may</w:t>
      </w:r>
      <w:r>
        <w:rPr>
          <w:rFonts w:ascii="Arial" w:cs="Arial" w:eastAsia="Arial" w:hAnsi="Arial"/>
          <w:sz w:val="21"/>
          <w:szCs w:val="21"/>
          <w:color w:val="FF0000"/>
        </w:rPr>
        <w:t xml:space="preserve"> </w:t>
      </w:r>
      <w:r>
        <w:rPr>
          <w:rFonts w:ascii="Arial" w:cs="Arial" w:eastAsia="Arial" w:hAnsi="Arial"/>
          <w:sz w:val="21"/>
          <w:szCs w:val="21"/>
          <w:color w:val="000000"/>
        </w:rPr>
        <w:t>exercise the</w:t>
      </w:r>
      <w:r>
        <w:rPr>
          <w:rFonts w:ascii="Arial" w:cs="Arial" w:eastAsia="Arial" w:hAnsi="Arial"/>
          <w:sz w:val="21"/>
          <w:szCs w:val="21"/>
          <w:color w:val="FF0000"/>
        </w:rPr>
        <w:t xml:space="preserve"> </w:t>
      </w:r>
      <w:r>
        <w:rPr>
          <w:rFonts w:ascii="Arial" w:cs="Arial" w:eastAsia="Arial" w:hAnsi="Arial"/>
          <w:sz w:val="21"/>
          <w:szCs w:val="21"/>
          <w:color w:val="FF0000"/>
          <w:strike w:val="1"/>
        </w:rPr>
        <w:t>LIBOR</w:t>
      </w:r>
      <w:r>
        <w:rPr>
          <w:rFonts w:ascii="Arial" w:cs="Arial" w:eastAsia="Arial" w:hAnsi="Arial"/>
          <w:sz w:val="21"/>
          <w:szCs w:val="21"/>
          <w:u w:val="single" w:color="auto"/>
          <w:color w:val="0000FF"/>
        </w:rPr>
        <w:t>SOFR</w:t>
      </w:r>
      <w:r>
        <w:rPr>
          <w:rFonts w:ascii="Arial" w:cs="Arial" w:eastAsia="Arial" w:hAnsi="Arial"/>
          <w:sz w:val="21"/>
          <w:szCs w:val="21"/>
          <w:color w:val="FF0000"/>
        </w:rPr>
        <w:t xml:space="preserve"> </w:t>
      </w:r>
      <w:r>
        <w:rPr>
          <w:rFonts w:ascii="Arial" w:cs="Arial" w:eastAsia="Arial" w:hAnsi="Arial"/>
          <w:sz w:val="21"/>
          <w:szCs w:val="21"/>
          <w:color w:val="000000"/>
        </w:rPr>
        <w:t>Option for</w:t>
      </w:r>
      <w:r>
        <w:rPr>
          <w:rFonts w:ascii="Arial" w:cs="Arial" w:eastAsia="Arial" w:hAnsi="Arial"/>
          <w:sz w:val="21"/>
          <w:szCs w:val="21"/>
          <w:color w:val="FF0000"/>
        </w:rPr>
        <w:t xml:space="preserve"> </w:t>
      </w:r>
      <w:r>
        <w:rPr>
          <w:rFonts w:ascii="Arial" w:cs="Arial" w:eastAsia="Arial" w:hAnsi="Arial"/>
          <w:sz w:val="21"/>
          <w:szCs w:val="21"/>
          <w:color w:val="FF0000"/>
          <w:strike w:val="1"/>
        </w:rPr>
        <w:t>LIBOR Rate</w:t>
      </w:r>
      <w:r>
        <w:rPr>
          <w:rFonts w:ascii="Arial" w:cs="Arial" w:eastAsia="Arial" w:hAnsi="Arial"/>
          <w:sz w:val="21"/>
          <w:szCs w:val="21"/>
          <w:u w:val="single" w:color="auto"/>
          <w:color w:val="0000FF"/>
        </w:rPr>
        <w:t>proposed SOFR</w:t>
      </w:r>
      <w:r>
        <w:rPr>
          <w:rFonts w:ascii="Arial" w:cs="Arial" w:eastAsia="Arial" w:hAnsi="Arial"/>
          <w:sz w:val="21"/>
          <w:szCs w:val="21"/>
          <w:color w:val="FF0000"/>
        </w:rPr>
        <w:t xml:space="preserve"> </w:t>
      </w:r>
      <w:r>
        <w:rPr>
          <w:rFonts w:ascii="Arial" w:cs="Arial" w:eastAsia="Arial" w:hAnsi="Arial"/>
          <w:sz w:val="21"/>
          <w:szCs w:val="21"/>
          <w:color w:val="000000"/>
        </w:rPr>
        <w:t>Loans of at</w:t>
      </w:r>
      <w:r>
        <w:rPr>
          <w:rFonts w:ascii="Arial" w:cs="Arial" w:eastAsia="Arial" w:hAnsi="Arial"/>
          <w:sz w:val="21"/>
          <w:szCs w:val="21"/>
          <w:color w:val="FF0000"/>
        </w:rPr>
        <w:t xml:space="preserve"> </w:t>
      </w:r>
      <w:r>
        <w:rPr>
          <w:rFonts w:ascii="Arial" w:cs="Arial" w:eastAsia="Arial" w:hAnsi="Arial"/>
          <w:sz w:val="21"/>
          <w:szCs w:val="21"/>
          <w:u w:val="single" w:color="auto"/>
          <w:color w:val="000000"/>
        </w:rPr>
        <w:t>least</w:t>
      </w:r>
      <w:r>
        <w:rPr>
          <w:rFonts w:ascii="Arial" w:cs="Arial" w:eastAsia="Arial" w:hAnsi="Arial"/>
          <w:sz w:val="21"/>
          <w:szCs w:val="21"/>
          <w:color w:val="FF0000"/>
        </w:rPr>
        <w:t xml:space="preserve"> </w:t>
      </w:r>
      <w:r>
        <w:rPr>
          <w:rFonts w:ascii="Arial" w:cs="Arial" w:eastAsia="Arial" w:hAnsi="Arial"/>
          <w:sz w:val="21"/>
          <w:szCs w:val="21"/>
          <w:color w:val="000000"/>
        </w:rPr>
        <w:t>$1,000,000 and integral multiples of $500,000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-2372995</wp:posOffset>
            </wp:positionV>
            <wp:extent cx="22783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2278380" cy="8255"/>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-1927225</wp:posOffset>
            </wp:positionV>
            <wp:extent cx="55499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5549900" cy="8255"/>
                    </a:xfrm>
                    <a:prstGeom prst="rect">
                      <a:avLst/>
                    </a:prstGeom>
                    <a:noFill/>
                  </pic:spPr>
                </pic:pic>
              </a:graphicData>
            </a:graphic>
          </wp:anchor>
        </w:drawing>
      </w:r>
    </w:p>
    <w:p>
      <w:pPr>
        <w:spacing w:after="0" w:line="143"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21"/>
          <w:szCs w:val="21"/>
          <w:b w:val="1"/>
          <w:bCs w:val="1"/>
          <w:color w:val="auto"/>
        </w:rPr>
        <w:t xml:space="preserve">Conversion; </w:t>
      </w:r>
      <w:r>
        <w:rPr>
          <w:rFonts w:ascii="Arial" w:cs="Arial" w:eastAsia="Arial" w:hAnsi="Arial"/>
          <w:sz w:val="21"/>
          <w:szCs w:val="21"/>
          <w:b w:val="1"/>
          <w:bCs w:val="1"/>
          <w:color w:val="FF0000"/>
          <w:strike w:val="1"/>
        </w:rPr>
        <w:t>Prepayments</w:t>
      </w:r>
      <w:r>
        <w:rPr>
          <w:rFonts w:ascii="Arial" w:cs="Arial" w:eastAsia="Arial" w:hAnsi="Arial"/>
          <w:sz w:val="21"/>
          <w:szCs w:val="21"/>
          <w:b w:val="1"/>
          <w:bCs w:val="1"/>
          <w:u w:val="single" w:color="auto"/>
          <w:color w:val="0000FF"/>
        </w:rPr>
        <w:t>Prepayment</w:t>
      </w:r>
      <w:r>
        <w:rPr>
          <w:rFonts w:ascii="Arial" w:cs="Arial" w:eastAsia="Arial" w:hAnsi="Arial"/>
          <w:sz w:val="21"/>
          <w:szCs w:val="21"/>
          <w:color w:val="auto"/>
        </w:rPr>
        <w:t>. Borrowers may convert</w:t>
      </w:r>
      <w:r>
        <w:rPr>
          <w:rFonts w:ascii="Arial" w:cs="Arial" w:eastAsia="Arial" w:hAnsi="Arial"/>
          <w:sz w:val="21"/>
          <w:szCs w:val="21"/>
          <w:b w:val="1"/>
          <w:bCs w:val="1"/>
          <w:color w:val="auto"/>
        </w:rPr>
        <w:t xml:space="preserve"> </w:t>
      </w:r>
      <w:r>
        <w:rPr>
          <w:rFonts w:ascii="Arial" w:cs="Arial" w:eastAsia="Arial" w:hAnsi="Arial"/>
          <w:sz w:val="21"/>
          <w:szCs w:val="21"/>
          <w:color w:val="FF0000"/>
          <w:strike w:val="1"/>
        </w:rPr>
        <w:t>LIBOR Rate</w:t>
      </w:r>
      <w:r>
        <w:rPr>
          <w:rFonts w:ascii="Arial" w:cs="Arial" w:eastAsia="Arial" w:hAnsi="Arial"/>
          <w:sz w:val="21"/>
          <w:szCs w:val="21"/>
          <w:u w:val="single" w:color="auto"/>
          <w:color w:val="0000FF"/>
        </w:rPr>
        <w:t>SOFR</w:t>
      </w:r>
      <w:r>
        <w:rPr>
          <w:rFonts w:ascii="Arial" w:cs="Arial" w:eastAsia="Arial" w:hAnsi="Arial"/>
          <w:sz w:val="21"/>
          <w:szCs w:val="21"/>
          <w:b w:val="1"/>
          <w:bCs w:val="1"/>
          <w:color w:val="auto"/>
        </w:rPr>
        <w:t xml:space="preserve"> </w:t>
      </w:r>
      <w:r>
        <w:rPr>
          <w:rFonts w:ascii="Arial" w:cs="Arial" w:eastAsia="Arial" w:hAnsi="Arial"/>
          <w:sz w:val="21"/>
          <w:szCs w:val="21"/>
          <w:color w:val="auto"/>
        </w:rPr>
        <w:t>Loans to Base Rate Loans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or prepay </w:t>
      </w:r>
      <w:r>
        <w:rPr>
          <w:rFonts w:ascii="Arial" w:cs="Arial" w:eastAsia="Arial" w:hAnsi="Arial"/>
          <w:sz w:val="21"/>
          <w:szCs w:val="21"/>
          <w:color w:val="FF0000"/>
          <w:strike w:val="1"/>
        </w:rPr>
        <w:t>LIBOR Rate</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Loans at any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that </w:t>
      </w:r>
      <w:r>
        <w:rPr>
          <w:rFonts w:ascii="Arial" w:cs="Arial" w:eastAsia="Arial" w:hAnsi="Arial"/>
          <w:sz w:val="21"/>
          <w:szCs w:val="21"/>
          <w:color w:val="FF0000"/>
          <w:strike w:val="1"/>
        </w:rPr>
        <w:t>LIBOR Rate</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Loans are converted or prepaid on any date that is not the last day of the Interest Period applicable thereto, including as a result of any prepayment through the required application by Agent of any payments or proceeds of Collateral in accordance with</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4" w:name="page125"/>
    <w:bookmarkEnd w:id="124"/>
    <w:p>
      <w:pPr>
        <w:jc w:val="both"/>
        <w:spacing w:after="0" w:line="297" w:lineRule="auto"/>
        <w:rPr>
          <w:sz w:val="20"/>
          <w:szCs w:val="20"/>
          <w:color w:val="auto"/>
        </w:rPr>
      </w:pPr>
      <w:r>
        <w:rPr>
          <w:rFonts w:ascii="Arial" w:cs="Arial" w:eastAsia="Arial" w:hAnsi="Arial"/>
          <w:sz w:val="19"/>
          <w:szCs w:val="19"/>
          <w:u w:val="single" w:color="auto"/>
          <w:color w:val="auto"/>
        </w:rPr>
        <w:t>Section 2.4(b)</w:t>
      </w:r>
      <w:r>
        <w:rPr>
          <w:rFonts w:ascii="Arial" w:cs="Arial" w:eastAsia="Arial" w:hAnsi="Arial"/>
          <w:sz w:val="19"/>
          <w:szCs w:val="19"/>
          <w:color w:val="auto"/>
        </w:rPr>
        <w:t xml:space="preserve"> or for any other reason, including early termination of the term of this Agreement or acceleration of all or any portion of the Obligations pursuant to the terms hereof, each Borrower shall indemnify, defend, and hold Agent and the Lenders and their Participants harmless against any and all Funding Losses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2.12</w:t>
      </w:r>
      <w:r>
        <w:rPr>
          <w:rFonts w:ascii="Arial" w:cs="Arial" w:eastAsia="Arial" w:hAnsi="Arial"/>
          <w:sz w:val="19"/>
          <w:szCs w:val="19"/>
          <w:u w:val="single" w:color="auto"/>
          <w:color w:val="0000FF"/>
        </w:rPr>
        <w:t>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(b)(ii)</w:t>
      </w:r>
      <w:r>
        <w:rPr>
          <w:rFonts w:ascii="Arial" w:cs="Arial" w:eastAsia="Arial" w:hAnsi="Arial"/>
          <w:sz w:val="19"/>
          <w:szCs w:val="19"/>
          <w:color w:val="auto"/>
        </w:rPr>
        <w:t>.</w:t>
      </w:r>
    </w:p>
    <w:p>
      <w:pPr>
        <w:spacing w:after="0" w:line="128"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Special Provisions Applicable to </w:t>
      </w:r>
      <w:r>
        <w:rPr>
          <w:rFonts w:ascii="Arial" w:cs="Arial" w:eastAsia="Arial" w:hAnsi="Arial"/>
          <w:sz w:val="22"/>
          <w:szCs w:val="22"/>
          <w:b w:val="1"/>
          <w:bCs w:val="1"/>
          <w:color w:val="FF0000"/>
          <w:strike w:val="1"/>
        </w:rPr>
        <w:t>LIBOR Rate</w:t>
      </w:r>
      <w:r>
        <w:rPr>
          <w:rFonts w:ascii="Arial" w:cs="Arial" w:eastAsia="Arial" w:hAnsi="Arial"/>
          <w:sz w:val="22"/>
          <w:szCs w:val="22"/>
          <w:b w:val="1"/>
          <w:bCs w:val="1"/>
          <w:u w:val="single" w:color="auto"/>
          <w:color w:val="0000FF"/>
        </w:rPr>
        <w:t>Adjusted Term SOFR</w:t>
      </w:r>
      <w:r>
        <w:rPr>
          <w:rFonts w:ascii="Arial" w:cs="Arial" w:eastAsia="Arial" w:hAnsi="Arial"/>
          <w:sz w:val="22"/>
          <w:szCs w:val="22"/>
          <w:color w:val="auto"/>
        </w:rPr>
        <w:t>.</w:t>
      </w:r>
    </w:p>
    <w:p>
      <w:pPr>
        <w:spacing w:after="0" w:line="212" w:lineRule="exact"/>
        <w:rPr>
          <w:sz w:val="20"/>
          <w:szCs w:val="20"/>
          <w:color w:val="auto"/>
        </w:rPr>
      </w:pPr>
    </w:p>
    <w:p>
      <w:pPr>
        <w:jc w:val="both"/>
        <w:ind w:firstLine="2246"/>
        <w:spacing w:after="0" w:line="244" w:lineRule="auto"/>
        <w:rPr>
          <w:sz w:val="20"/>
          <w:szCs w:val="20"/>
          <w:color w:val="auto"/>
        </w:rPr>
      </w:pPr>
      <w:r>
        <w:rPr>
          <w:rFonts w:ascii="Arial" w:cs="Arial" w:eastAsia="Arial" w:hAnsi="Arial"/>
          <w:sz w:val="21"/>
          <w:szCs w:val="21"/>
          <w:color w:val="FF0000"/>
          <w:strike w:val="1"/>
        </w:rPr>
        <w:t>The LIBOR Rate</w:t>
      </w:r>
      <w:r>
        <w:rPr>
          <w:rFonts w:ascii="Arial" w:cs="Arial" w:eastAsia="Arial" w:hAnsi="Arial"/>
          <w:sz w:val="21"/>
          <w:szCs w:val="21"/>
          <w:u w:val="single" w:color="auto"/>
          <w:color w:val="0000FF"/>
        </w:rPr>
        <w:t>Adjusted Term SOFR</w:t>
      </w:r>
      <w:r>
        <w:rPr>
          <w:rFonts w:ascii="Arial" w:cs="Arial" w:eastAsia="Arial" w:hAnsi="Arial"/>
          <w:sz w:val="21"/>
          <w:szCs w:val="21"/>
          <w:color w:val="FF0000"/>
        </w:rPr>
        <w:t xml:space="preserve"> </w:t>
      </w:r>
      <w:r>
        <w:rPr>
          <w:rFonts w:ascii="Arial" w:cs="Arial" w:eastAsia="Arial" w:hAnsi="Arial"/>
          <w:sz w:val="21"/>
          <w:szCs w:val="21"/>
          <w:color w:val="000000"/>
        </w:rPr>
        <w:t>may be adjusted by Agent with respect to any Lender on a</w:t>
      </w:r>
      <w:r>
        <w:rPr>
          <w:rFonts w:ascii="Arial" w:cs="Arial" w:eastAsia="Arial" w:hAnsi="Arial"/>
          <w:sz w:val="21"/>
          <w:szCs w:val="21"/>
          <w:color w:val="FF0000"/>
        </w:rPr>
        <w:t xml:space="preserve"> </w:t>
      </w:r>
      <w:r>
        <w:rPr>
          <w:rFonts w:ascii="Arial" w:cs="Arial" w:eastAsia="Arial" w:hAnsi="Arial"/>
          <w:sz w:val="21"/>
          <w:szCs w:val="21"/>
          <w:color w:val="000000"/>
        </w:rPr>
        <w:t xml:space="preserve">prospective basis to take into account any additional </w:t>
      </w:r>
      <w:r>
        <w:rPr>
          <w:rFonts w:ascii="Arial" w:cs="Arial" w:eastAsia="Arial" w:hAnsi="Arial"/>
          <w:sz w:val="21"/>
          <w:szCs w:val="21"/>
          <w:color w:val="FF0000"/>
          <w:strike w:val="1"/>
        </w:rPr>
        <w:t>or increased costs to such Lender of maintaining or obtaining any eurodollar</w:t>
      </w:r>
      <w:r>
        <w:rPr>
          <w:rFonts w:ascii="Arial" w:cs="Arial" w:eastAsia="Arial" w:hAnsi="Arial"/>
          <w:sz w:val="21"/>
          <w:szCs w:val="21"/>
          <w:color w:val="000000"/>
        </w:rPr>
        <w:t xml:space="preserve"> </w:t>
      </w:r>
      <w:r>
        <w:rPr>
          <w:rFonts w:ascii="Arial" w:cs="Arial" w:eastAsia="Arial" w:hAnsi="Arial"/>
          <w:sz w:val="21"/>
          <w:szCs w:val="21"/>
          <w:color w:val="FF0000"/>
          <w:strike w:val="1"/>
        </w:rPr>
        <w:t>deposits</w:t>
      </w:r>
      <w:r>
        <w:rPr>
          <w:rFonts w:ascii="Arial" w:cs="Arial" w:eastAsia="Arial" w:hAnsi="Arial"/>
          <w:sz w:val="21"/>
          <w:szCs w:val="21"/>
          <w:color w:val="FF0000"/>
        </w:rPr>
        <w:t xml:space="preserve"> </w:t>
      </w:r>
      <w:r>
        <w:rPr>
          <w:rFonts w:ascii="Arial" w:cs="Arial" w:eastAsia="Arial" w:hAnsi="Arial"/>
          <w:sz w:val="21"/>
          <w:szCs w:val="21"/>
          <w:color w:val="000000"/>
        </w:rPr>
        <w:t>or increased costs (other than Taxes which shall be governed by</w:t>
      </w:r>
      <w:r>
        <w:rPr>
          <w:rFonts w:ascii="Arial" w:cs="Arial" w:eastAsia="Arial" w:hAnsi="Arial"/>
          <w:sz w:val="21"/>
          <w:szCs w:val="21"/>
          <w:color w:val="FF0000"/>
        </w:rPr>
        <w:t xml:space="preserve"> </w:t>
      </w:r>
      <w:r>
        <w:rPr>
          <w:rFonts w:ascii="Arial" w:cs="Arial" w:eastAsia="Arial" w:hAnsi="Arial"/>
          <w:sz w:val="21"/>
          <w:szCs w:val="21"/>
          <w:u w:val="single" w:color="auto"/>
          <w:color w:val="000000"/>
        </w:rPr>
        <w:t>Section 16.11</w:t>
      </w:r>
      <w:r>
        <w:rPr>
          <w:rFonts w:ascii="Arial" w:cs="Arial" w:eastAsia="Arial" w:hAnsi="Arial"/>
          <w:sz w:val="21"/>
          <w:szCs w:val="21"/>
          <w:color w:val="000000"/>
        </w:rPr>
        <w:t>), in each case, due to changes in</w:t>
      </w:r>
      <w:r>
        <w:rPr>
          <w:rFonts w:ascii="Arial" w:cs="Arial" w:eastAsia="Arial" w:hAnsi="Arial"/>
          <w:sz w:val="21"/>
          <w:szCs w:val="21"/>
          <w:color w:val="FF0000"/>
        </w:rPr>
        <w:t xml:space="preserve"> </w:t>
      </w:r>
      <w:r>
        <w:rPr>
          <w:rFonts w:ascii="Arial" w:cs="Arial" w:eastAsia="Arial" w:hAnsi="Arial"/>
          <w:sz w:val="21"/>
          <w:szCs w:val="21"/>
          <w:color w:val="000000"/>
        </w:rPr>
        <w:t xml:space="preserve">applicable law occurring subsequent to the commencement of the then applicable Interest Period, </w:t>
      </w:r>
      <w:r>
        <w:rPr>
          <w:rFonts w:ascii="Arial" w:cs="Arial" w:eastAsia="Arial" w:hAnsi="Arial"/>
          <w:sz w:val="21"/>
          <w:szCs w:val="21"/>
          <w:color w:val="FF0000"/>
          <w:strike w:val="1"/>
        </w:rPr>
        <w:t>including</w:t>
      </w:r>
      <w:r>
        <w:rPr>
          <w:rFonts w:ascii="Arial" w:cs="Arial" w:eastAsia="Arial" w:hAnsi="Arial"/>
          <w:sz w:val="21"/>
          <w:szCs w:val="21"/>
          <w:u w:val="single" w:color="auto"/>
          <w:color w:val="0000FF"/>
        </w:rPr>
        <w:t>or pursuant to</w:t>
      </w:r>
      <w:r>
        <w:rPr>
          <w:rFonts w:ascii="Arial" w:cs="Arial" w:eastAsia="Arial" w:hAnsi="Arial"/>
          <w:sz w:val="21"/>
          <w:szCs w:val="21"/>
          <w:color w:val="000000"/>
        </w:rPr>
        <w:t xml:space="preserve"> any </w:t>
      </w:r>
      <w:r>
        <w:rPr>
          <w:rFonts w:ascii="Arial" w:cs="Arial" w:eastAsia="Arial" w:hAnsi="Arial"/>
          <w:sz w:val="21"/>
          <w:szCs w:val="21"/>
          <w:color w:val="FF0000"/>
          <w:strike w:val="1"/>
        </w:rPr>
        <w:t>Changes</w:t>
      </w:r>
      <w:r>
        <w:rPr>
          <w:rFonts w:ascii="Arial" w:cs="Arial" w:eastAsia="Arial" w:hAnsi="Arial"/>
          <w:sz w:val="21"/>
          <w:szCs w:val="21"/>
          <w:u w:val="single" w:color="auto"/>
          <w:color w:val="0000FF"/>
        </w:rPr>
        <w:t>Change</w:t>
      </w:r>
      <w:r>
        <w:rPr>
          <w:rFonts w:ascii="Arial" w:cs="Arial" w:eastAsia="Arial" w:hAnsi="Arial"/>
          <w:sz w:val="21"/>
          <w:szCs w:val="21"/>
          <w:color w:val="FF0000"/>
        </w:rPr>
        <w:t xml:space="preserve"> </w:t>
      </w:r>
      <w:r>
        <w:rPr>
          <w:rFonts w:ascii="Arial" w:cs="Arial" w:eastAsia="Arial" w:hAnsi="Arial"/>
          <w:sz w:val="21"/>
          <w:szCs w:val="21"/>
          <w:color w:val="000000"/>
        </w:rPr>
        <w:t>in Law</w:t>
      </w:r>
      <w:r>
        <w:rPr>
          <w:rFonts w:ascii="Arial" w:cs="Arial" w:eastAsia="Arial" w:hAnsi="Arial"/>
          <w:sz w:val="21"/>
          <w:szCs w:val="21"/>
          <w:color w:val="FF0000"/>
        </w:rPr>
        <w:t xml:space="preserve"> </w:t>
      </w:r>
      <w:r>
        <w:rPr>
          <w:rFonts w:ascii="Arial" w:cs="Arial" w:eastAsia="Arial" w:hAnsi="Arial"/>
          <w:sz w:val="21"/>
          <w:szCs w:val="21"/>
          <w:color w:val="FF0000"/>
          <w:strike w:val="1"/>
        </w:rPr>
        <w:t>and changes</w:t>
      </w:r>
      <w:r>
        <w:rPr>
          <w:rFonts w:ascii="Arial" w:cs="Arial" w:eastAsia="Arial" w:hAnsi="Arial"/>
          <w:sz w:val="21"/>
          <w:szCs w:val="21"/>
          <w:u w:val="single" w:color="auto"/>
          <w:color w:val="0000FF"/>
        </w:rPr>
        <w:t>or change</w:t>
      </w:r>
      <w:r>
        <w:rPr>
          <w:rFonts w:ascii="Arial" w:cs="Arial" w:eastAsia="Arial" w:hAnsi="Arial"/>
          <w:sz w:val="21"/>
          <w:szCs w:val="21"/>
          <w:color w:val="FF0000"/>
        </w:rPr>
        <w:t xml:space="preserve"> </w:t>
      </w:r>
      <w:r>
        <w:rPr>
          <w:rFonts w:ascii="Arial" w:cs="Arial" w:eastAsia="Arial" w:hAnsi="Arial"/>
          <w:sz w:val="21"/>
          <w:szCs w:val="21"/>
          <w:color w:val="000000"/>
        </w:rPr>
        <w:t>in the reserve requirements imposed by the Board of Governors, which additional</w:t>
      </w:r>
      <w:r>
        <w:rPr>
          <w:rFonts w:ascii="Arial" w:cs="Arial" w:eastAsia="Arial" w:hAnsi="Arial"/>
          <w:sz w:val="21"/>
          <w:szCs w:val="21"/>
          <w:color w:val="FF0000"/>
        </w:rPr>
        <w:t xml:space="preserve"> </w:t>
      </w:r>
      <w:r>
        <w:rPr>
          <w:rFonts w:ascii="Arial" w:cs="Arial" w:eastAsia="Arial" w:hAnsi="Arial"/>
          <w:sz w:val="21"/>
          <w:szCs w:val="21"/>
          <w:color w:val="000000"/>
        </w:rPr>
        <w:t xml:space="preserve">or increased costs would increase the cost of funding or maintaining loans bearing interest at </w:t>
      </w:r>
      <w:r>
        <w:rPr>
          <w:rFonts w:ascii="Arial" w:cs="Arial" w:eastAsia="Arial" w:hAnsi="Arial"/>
          <w:sz w:val="21"/>
          <w:szCs w:val="21"/>
          <w:color w:val="FF0000"/>
          <w:strike w:val="1"/>
        </w:rPr>
        <w:t>the LIBOR Rate</w:t>
      </w:r>
      <w:r>
        <w:rPr>
          <w:rFonts w:ascii="Arial" w:cs="Arial" w:eastAsia="Arial" w:hAnsi="Arial"/>
          <w:sz w:val="21"/>
          <w:szCs w:val="21"/>
          <w:u w:val="single" w:color="auto"/>
          <w:color w:val="0000FF"/>
        </w:rPr>
        <w:t>Adjusted Term</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SOFR</w:t>
      </w:r>
      <w:r>
        <w:rPr>
          <w:rFonts w:ascii="Arial" w:cs="Arial" w:eastAsia="Arial" w:hAnsi="Arial"/>
          <w:sz w:val="21"/>
          <w:szCs w:val="21"/>
          <w:color w:val="0000FF"/>
        </w:rPr>
        <w:t xml:space="preserve"> </w:t>
      </w:r>
      <w:r>
        <w:rPr>
          <w:rFonts w:ascii="Arial" w:cs="Arial" w:eastAsia="Arial" w:hAnsi="Arial"/>
          <w:sz w:val="21"/>
          <w:szCs w:val="21"/>
          <w:color w:val="000000"/>
        </w:rPr>
        <w:t>. In any such event, the affected Lender shall give Borrowers and Agent notice of such a determination and adjustment and</w:t>
      </w:r>
      <w:r>
        <w:rPr>
          <w:rFonts w:ascii="Arial" w:cs="Arial" w:eastAsia="Arial" w:hAnsi="Arial"/>
          <w:sz w:val="21"/>
          <w:szCs w:val="21"/>
          <w:color w:val="0000FF"/>
        </w:rPr>
        <w:t xml:space="preserve"> </w:t>
      </w:r>
      <w:r>
        <w:rPr>
          <w:rFonts w:ascii="Arial" w:cs="Arial" w:eastAsia="Arial" w:hAnsi="Arial"/>
          <w:sz w:val="21"/>
          <w:szCs w:val="21"/>
          <w:color w:val="000000"/>
        </w:rPr>
        <w:t xml:space="preserve">Agent promptly shall transmit the notice to each other Lender and, upon its receipt of the notice from the affected Lender, Borrowers may, by notice to such affected Lender (A) require such Lender to furnish to Borrowers a statement setting forth in reasonable detail the basis for adjusting </w:t>
      </w:r>
      <w:r>
        <w:rPr>
          <w:rFonts w:ascii="Arial" w:cs="Arial" w:eastAsia="Arial" w:hAnsi="Arial"/>
          <w:sz w:val="21"/>
          <w:szCs w:val="21"/>
          <w:color w:val="FF0000"/>
          <w:strike w:val="1"/>
        </w:rPr>
        <w:t>such LIBOR Rate</w:t>
      </w:r>
      <w:r>
        <w:rPr>
          <w:rFonts w:ascii="Arial" w:cs="Arial" w:eastAsia="Arial" w:hAnsi="Arial"/>
          <w:sz w:val="21"/>
          <w:szCs w:val="21"/>
          <w:u w:val="single" w:color="auto"/>
          <w:color w:val="0000FF"/>
        </w:rPr>
        <w:t>Adjusted Term SOFR</w:t>
      </w:r>
      <w:r>
        <w:rPr>
          <w:rFonts w:ascii="Arial" w:cs="Arial" w:eastAsia="Arial" w:hAnsi="Arial"/>
          <w:sz w:val="21"/>
          <w:szCs w:val="21"/>
          <w:color w:val="000000"/>
        </w:rPr>
        <w:t xml:space="preserve"> and the method for determining the amount of such adjustment, or (B) repay the </w:t>
      </w:r>
      <w:r>
        <w:rPr>
          <w:rFonts w:ascii="Arial" w:cs="Arial" w:eastAsia="Arial" w:hAnsi="Arial"/>
          <w:sz w:val="21"/>
          <w:szCs w:val="21"/>
          <w:color w:val="FF0000"/>
          <w:strike w:val="1"/>
        </w:rPr>
        <w:t>LIBOR</w:t>
      </w:r>
      <w:r>
        <w:rPr>
          <w:rFonts w:ascii="Arial" w:cs="Arial" w:eastAsia="Arial" w:hAnsi="Arial"/>
          <w:sz w:val="21"/>
          <w:szCs w:val="21"/>
          <w:u w:val="single" w:color="auto"/>
          <w:color w:val="0000FF"/>
        </w:rPr>
        <w:t>SOFR Loans or Base</w:t>
      </w:r>
      <w:r>
        <w:rPr>
          <w:rFonts w:ascii="Arial" w:cs="Arial" w:eastAsia="Arial" w:hAnsi="Arial"/>
          <w:sz w:val="21"/>
          <w:szCs w:val="21"/>
          <w:color w:val="000000"/>
        </w:rPr>
        <w:t xml:space="preserve"> Rate Loans </w:t>
      </w:r>
      <w:r>
        <w:rPr>
          <w:rFonts w:ascii="Arial" w:cs="Arial" w:eastAsia="Arial" w:hAnsi="Arial"/>
          <w:sz w:val="21"/>
          <w:szCs w:val="21"/>
          <w:color w:val="FF0000"/>
          <w:strike w:val="1"/>
        </w:rPr>
        <w:t>of</w:t>
      </w:r>
      <w:r>
        <w:rPr>
          <w:rFonts w:ascii="Arial" w:cs="Arial" w:eastAsia="Arial" w:hAnsi="Arial"/>
          <w:sz w:val="21"/>
          <w:szCs w:val="21"/>
          <w:u w:val="single" w:color="auto"/>
          <w:color w:val="0000FF"/>
        </w:rPr>
        <w:t>determined with reference to Adjusted Term SOFR,</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in each case, of</w:t>
      </w:r>
      <w:r>
        <w:rPr>
          <w:rFonts w:ascii="Arial" w:cs="Arial" w:eastAsia="Arial" w:hAnsi="Arial"/>
          <w:sz w:val="21"/>
          <w:szCs w:val="21"/>
          <w:color w:val="0000FF"/>
        </w:rPr>
        <w:t xml:space="preserve"> </w:t>
      </w:r>
      <w:r>
        <w:rPr>
          <w:rFonts w:ascii="Arial" w:cs="Arial" w:eastAsia="Arial" w:hAnsi="Arial"/>
          <w:sz w:val="21"/>
          <w:szCs w:val="21"/>
          <w:color w:val="000000"/>
        </w:rPr>
        <w:t>such Lender with respect to which such adjustment is made (together with any amounts due under</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Section</w:t>
      </w:r>
      <w:r>
        <w:rPr>
          <w:rFonts w:ascii="Arial" w:cs="Arial" w:eastAsia="Arial" w:hAnsi="Arial"/>
          <w:sz w:val="21"/>
          <w:szCs w:val="21"/>
          <w:color w:val="0000FF"/>
        </w:rPr>
        <w:t xml:space="preserve"> </w:t>
      </w:r>
      <w:r>
        <w:rPr>
          <w:rFonts w:ascii="Arial" w:cs="Arial" w:eastAsia="Arial" w:hAnsi="Arial"/>
          <w:sz w:val="21"/>
          <w:szCs w:val="21"/>
          <w:u w:val="single" w:color="auto"/>
          <w:color w:val="FF0000"/>
          <w:strike w:val="1"/>
        </w:rPr>
        <w:t>2.12</w:t>
      </w:r>
      <w:r>
        <w:rPr>
          <w:rFonts w:ascii="Arial" w:cs="Arial" w:eastAsia="Arial" w:hAnsi="Arial"/>
          <w:sz w:val="21"/>
          <w:szCs w:val="21"/>
          <w:u w:val="single" w:color="auto"/>
          <w:color w:val="0000FF"/>
        </w:rPr>
        <w:t>2.13</w:t>
      </w:r>
      <w:r>
        <w:rPr>
          <w:rFonts w:ascii="Arial" w:cs="Arial" w:eastAsia="Arial" w:hAnsi="Arial"/>
          <w:sz w:val="21"/>
          <w:szCs w:val="21"/>
          <w:u w:val="single" w:color="auto"/>
          <w:color w:val="000000"/>
        </w:rPr>
        <w:t>(b)(ii)</w:t>
      </w:r>
      <w:r>
        <w:rPr>
          <w:rFonts w:ascii="Arial" w:cs="Arial" w:eastAsia="Arial" w:hAnsi="Arial"/>
          <w:sz w:val="21"/>
          <w:szCs w:val="21"/>
          <w:color w:val="000000"/>
        </w:rPr>
        <w:t>).</w:t>
      </w:r>
    </w:p>
    <w:p>
      <w:pPr>
        <w:spacing w:after="0" w:line="183" w:lineRule="exact"/>
        <w:rPr>
          <w:sz w:val="20"/>
          <w:szCs w:val="20"/>
          <w:color w:val="auto"/>
        </w:rPr>
      </w:pPr>
    </w:p>
    <w:p>
      <w:pPr>
        <w:jc w:val="both"/>
        <w:ind w:firstLine="2246"/>
        <w:spacing w:after="0" w:line="270" w:lineRule="auto"/>
        <w:rPr>
          <w:sz w:val="20"/>
          <w:szCs w:val="20"/>
          <w:color w:val="auto"/>
        </w:rPr>
      </w:pPr>
      <w:r>
        <w:rPr>
          <w:rFonts w:ascii="Arial" w:cs="Arial" w:eastAsia="Arial" w:hAnsi="Arial"/>
          <w:sz w:val="19"/>
          <w:szCs w:val="19"/>
          <w:color w:val="FF0000"/>
          <w:strike w:val="1"/>
        </w:rPr>
        <w:t>In the</w:t>
      </w:r>
      <w:r>
        <w:rPr>
          <w:rFonts w:ascii="Arial" w:cs="Arial" w:eastAsia="Arial" w:hAnsi="Arial"/>
          <w:sz w:val="19"/>
          <w:szCs w:val="19"/>
          <w:u w:val="single" w:color="auto"/>
          <w:color w:val="0000FF"/>
        </w:rPr>
        <w:t>Subject to the provisions set forth in Section 2.13(d)(iii) below, in the</w:t>
      </w:r>
      <w:r>
        <w:rPr>
          <w:rFonts w:ascii="Arial" w:cs="Arial" w:eastAsia="Arial" w:hAnsi="Arial"/>
          <w:sz w:val="19"/>
          <w:szCs w:val="19"/>
          <w:color w:val="FF0000"/>
        </w:rPr>
        <w:t xml:space="preserve"> </w:t>
      </w:r>
      <w:r>
        <w:rPr>
          <w:rFonts w:ascii="Arial" w:cs="Arial" w:eastAsia="Arial" w:hAnsi="Arial"/>
          <w:sz w:val="19"/>
          <w:szCs w:val="19"/>
          <w:color w:val="000000"/>
        </w:rPr>
        <w:t>event that any change in</w:t>
      </w:r>
      <w:r>
        <w:rPr>
          <w:rFonts w:ascii="Arial" w:cs="Arial" w:eastAsia="Arial" w:hAnsi="Arial"/>
          <w:sz w:val="19"/>
          <w:szCs w:val="19"/>
          <w:color w:val="FF0000"/>
        </w:rPr>
        <w:t xml:space="preserve"> </w:t>
      </w:r>
      <w:r>
        <w:rPr>
          <w:rFonts w:ascii="Arial" w:cs="Arial" w:eastAsia="Arial" w:hAnsi="Arial"/>
          <w:sz w:val="19"/>
          <w:szCs w:val="19"/>
          <w:color w:val="000000"/>
        </w:rPr>
        <w:t xml:space="preserve">market conditions or any Change in Law shall at any time after the date hereof, in the reasonable opinion of any Lender, make it unlawful or impractical for such Lender to fund or maintain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SOFR Loans (or Base</w:t>
      </w:r>
      <w:r>
        <w:rPr>
          <w:rFonts w:ascii="Arial" w:cs="Arial" w:eastAsia="Arial" w:hAnsi="Arial"/>
          <w:sz w:val="19"/>
          <w:szCs w:val="19"/>
          <w:color w:val="000000"/>
        </w:rPr>
        <w:t xml:space="preserve"> Rate Loans </w:t>
      </w:r>
      <w:r>
        <w:rPr>
          <w:rFonts w:ascii="Arial" w:cs="Arial" w:eastAsia="Arial" w:hAnsi="Arial"/>
          <w:sz w:val="19"/>
          <w:szCs w:val="19"/>
          <w:u w:val="single" w:color="auto"/>
          <w:color w:val="0000FF"/>
        </w:rPr>
        <w:t>determined with reference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to Adjusted Term SOFR)</w:t>
      </w:r>
      <w:r>
        <w:rPr>
          <w:rFonts w:ascii="Arial" w:cs="Arial" w:eastAsia="Arial" w:hAnsi="Arial"/>
          <w:sz w:val="19"/>
          <w:szCs w:val="19"/>
          <w:color w:val="0000FF"/>
        </w:rPr>
        <w:t xml:space="preserve"> </w:t>
      </w:r>
      <w:r>
        <w:rPr>
          <w:rFonts w:ascii="Arial" w:cs="Arial" w:eastAsia="Arial" w:hAnsi="Arial"/>
          <w:sz w:val="19"/>
          <w:szCs w:val="19"/>
          <w:color w:val="000000"/>
        </w:rPr>
        <w:t>or to continue such funding or maintaining, or to determine or charge interest rates at the</w:t>
      </w:r>
      <w:r>
        <w:rPr>
          <w:rFonts w:ascii="Arial" w:cs="Arial" w:eastAsia="Arial" w:hAnsi="Arial"/>
          <w:sz w:val="19"/>
          <w:szCs w:val="19"/>
          <w:color w:val="0000FF"/>
        </w:rPr>
        <w:t xml:space="preserv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SOFR Reference</w:t>
      </w:r>
      <w:r>
        <w:rPr>
          <w:rFonts w:ascii="Arial" w:cs="Arial" w:eastAsia="Arial" w:hAnsi="Arial"/>
          <w:sz w:val="19"/>
          <w:szCs w:val="19"/>
          <w:color w:val="0000FF"/>
        </w:rPr>
        <w:t xml:space="preserve"> </w:t>
      </w:r>
      <w:r>
        <w:rPr>
          <w:rFonts w:ascii="Arial" w:cs="Arial" w:eastAsia="Arial" w:hAnsi="Arial"/>
          <w:sz w:val="19"/>
          <w:szCs w:val="19"/>
          <w:color w:val="000000"/>
        </w:rPr>
        <w:t>Rate</w:t>
      </w:r>
      <w:r>
        <w:rPr>
          <w:rFonts w:ascii="Arial" w:cs="Arial" w:eastAsia="Arial" w:hAnsi="Arial"/>
          <w:sz w:val="19"/>
          <w:szCs w:val="19"/>
          <w:u w:val="single" w:color="auto"/>
          <w:color w:val="0000FF"/>
        </w:rPr>
        <w:t>, Adjusted Term SOFR, Term SOFR or SOFR</w:t>
      </w:r>
      <w:r>
        <w:rPr>
          <w:rFonts w:ascii="Arial" w:cs="Arial" w:eastAsia="Arial" w:hAnsi="Arial"/>
          <w:sz w:val="19"/>
          <w:szCs w:val="19"/>
          <w:color w:val="000000"/>
        </w:rPr>
        <w:t>, such Lender shall give notice of such changed</w:t>
      </w:r>
      <w:r>
        <w:rPr>
          <w:rFonts w:ascii="Arial" w:cs="Arial" w:eastAsia="Arial" w:hAnsi="Arial"/>
          <w:sz w:val="19"/>
          <w:szCs w:val="19"/>
          <w:color w:val="0000FF"/>
        </w:rPr>
        <w:t xml:space="preserve"> </w:t>
      </w:r>
      <w:r>
        <w:rPr>
          <w:rFonts w:ascii="Arial" w:cs="Arial" w:eastAsia="Arial" w:hAnsi="Arial"/>
          <w:sz w:val="19"/>
          <w:szCs w:val="19"/>
          <w:color w:val="000000"/>
        </w:rPr>
        <w:t>circumstances to Agent and Borrowers and Agent promptly shall transmit the notice to each other Lender and (y)</w:t>
      </w:r>
      <w:r>
        <w:rPr>
          <w:rFonts w:ascii="Arial" w:cs="Arial" w:eastAsia="Arial" w:hAnsi="Arial"/>
          <w:sz w:val="19"/>
          <w:szCs w:val="19"/>
          <w:u w:val="single" w:color="auto"/>
          <w:color w:val="0000FF"/>
        </w:rPr>
        <w:t>(i)</w:t>
      </w:r>
      <w:r>
        <w:rPr>
          <w:rFonts w:ascii="Arial" w:cs="Arial" w:eastAsia="Arial" w:hAnsi="Arial"/>
          <w:sz w:val="19"/>
          <w:szCs w:val="19"/>
          <w:color w:val="000000"/>
        </w:rPr>
        <w:t xml:space="preserve"> in the case of any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Loans of such Lender that are outstanding, </w:t>
      </w:r>
      <w:r>
        <w:rPr>
          <w:rFonts w:ascii="Arial" w:cs="Arial" w:eastAsia="Arial" w:hAnsi="Arial"/>
          <w:sz w:val="19"/>
          <w:szCs w:val="19"/>
          <w:color w:val="FF0000"/>
          <w:strike w:val="1"/>
        </w:rPr>
        <w:t>the date specified in such Lender's notice shall</w:t>
      </w:r>
      <w:r>
        <w:rPr>
          <w:rFonts w:ascii="Arial" w:cs="Arial" w:eastAsia="Arial" w:hAnsi="Arial"/>
          <w:sz w:val="19"/>
          <w:szCs w:val="19"/>
          <w:u w:val="single" w:color="auto"/>
          <w:color w:val="0000FF"/>
        </w:rPr>
        <w:t>such SOFR</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Loans of such Lender will</w:t>
      </w:r>
      <w:r>
        <w:rPr>
          <w:rFonts w:ascii="Arial" w:cs="Arial" w:eastAsia="Arial" w:hAnsi="Arial"/>
          <w:sz w:val="19"/>
          <w:szCs w:val="19"/>
          <w:color w:val="0000FF"/>
        </w:rPr>
        <w:t xml:space="preserve"> </w:t>
      </w:r>
      <w:r>
        <w:rPr>
          <w:rFonts w:ascii="Arial" w:cs="Arial" w:eastAsia="Arial" w:hAnsi="Arial"/>
          <w:sz w:val="19"/>
          <w:szCs w:val="19"/>
          <w:color w:val="000000"/>
        </w:rPr>
        <w:t>be deemed to</w:t>
      </w:r>
      <w:r>
        <w:rPr>
          <w:rFonts w:ascii="Arial" w:cs="Arial" w:eastAsia="Arial" w:hAnsi="Arial"/>
          <w:sz w:val="19"/>
          <w:szCs w:val="19"/>
          <w:color w:val="0000FF"/>
        </w:rPr>
        <w:t xml:space="preserve"> </w:t>
      </w:r>
      <w:r>
        <w:rPr>
          <w:rFonts w:ascii="Arial" w:cs="Arial" w:eastAsia="Arial" w:hAnsi="Arial"/>
          <w:sz w:val="19"/>
          <w:szCs w:val="19"/>
          <w:color w:val="FF0000"/>
          <w:strike w:val="1"/>
        </w:rPr>
        <w:t>be</w:t>
      </w:r>
      <w:r>
        <w:rPr>
          <w:rFonts w:ascii="Arial" w:cs="Arial" w:eastAsia="Arial" w:hAnsi="Arial"/>
          <w:sz w:val="19"/>
          <w:szCs w:val="19"/>
          <w:u w:val="single" w:color="auto"/>
          <w:color w:val="0000FF"/>
        </w:rPr>
        <w:t>have been converted Base Rate Loans on</w:t>
      </w:r>
      <w:r>
        <w:rPr>
          <w:rFonts w:ascii="Arial" w:cs="Arial" w:eastAsia="Arial" w:hAnsi="Arial"/>
          <w:sz w:val="19"/>
          <w:szCs w:val="19"/>
          <w:color w:val="0000FF"/>
        </w:rPr>
        <w:t xml:space="preserve"> </w:t>
      </w:r>
      <w:r>
        <w:rPr>
          <w:rFonts w:ascii="Arial" w:cs="Arial" w:eastAsia="Arial" w:hAnsi="Arial"/>
          <w:sz w:val="19"/>
          <w:szCs w:val="19"/>
          <w:color w:val="000000"/>
        </w:rPr>
        <w:t>the last day of the Interest Period of such</w:t>
      </w:r>
      <w:r>
        <w:rPr>
          <w:rFonts w:ascii="Arial" w:cs="Arial" w:eastAsia="Arial" w:hAnsi="Arial"/>
          <w:sz w:val="19"/>
          <w:szCs w:val="19"/>
          <w:color w:val="0000FF"/>
        </w:rPr>
        <w:t xml:space="preserve"> </w:t>
      </w:r>
      <w:r>
        <w:rPr>
          <w:rFonts w:ascii="Arial" w:cs="Arial" w:eastAsia="Arial" w:hAnsi="Arial"/>
          <w:sz w:val="19"/>
          <w:szCs w:val="19"/>
          <w:color w:val="FF0000"/>
          <w:strike w:val="1"/>
        </w:rPr>
        <w:t>LIBOR Rate Loans, and</w:t>
      </w:r>
      <w:r>
        <w:rPr>
          <w:rFonts w:ascii="Arial" w:cs="Arial" w:eastAsia="Arial" w:hAnsi="Arial"/>
          <w:sz w:val="19"/>
          <w:szCs w:val="19"/>
          <w:u w:val="single" w:color="auto"/>
          <w:color w:val="0000FF"/>
          <w:strike w:val="1"/>
        </w:rPr>
        <w:t>SOFR Loans, if such Lender may lawfully continue to maintain such SOFR Loans, or immediately, if</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such Lender may not lawfully continue to maintain such SOFR Loans, and thereafter</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interest upon the</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strike w:val="1"/>
        </w:rPr>
        <w:t>SOFR</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Loans</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of such Lender thereafter shall accrue interest at the rate then applicable to Base Rate Loans</w:t>
      </w:r>
      <w:r>
        <w:rPr>
          <w:rFonts w:ascii="Arial" w:cs="Arial" w:eastAsia="Arial" w:hAnsi="Arial"/>
          <w:sz w:val="19"/>
          <w:szCs w:val="19"/>
          <w:color w:val="FF0000"/>
          <w:strike w:val="1"/>
        </w:rPr>
        <w:t>,</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(and if applicable, without reference</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to the Adjusted Term SOFR component thereof) and (ii) in the case of any such Base Rate Loans of such Lender that are outstanding and that are determined with reference to Adjusted Term SOFR, interest upon the Base Rate Loans of such Lender after the date specified in such Lender's notice shall accrue interest at the rate then applicable to Base Rate Loans without reference to the Adjusted Term SOFR component thereof</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and (z) Borrowers shall not be entitled to elect the</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LIBOR Option</w:t>
      </w:r>
      <w:r>
        <w:rPr>
          <w:rFonts w:ascii="Arial" w:cs="Arial" w:eastAsia="Arial" w:hAnsi="Arial"/>
          <w:sz w:val="19"/>
          <w:szCs w:val="19"/>
          <w:u w:val="single" w:color="auto"/>
          <w:color w:val="0000FF"/>
          <w:strike w:val="1"/>
        </w:rPr>
        <w:t>SOFR</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00FF"/>
          <w:strike w:val="1"/>
        </w:rPr>
        <w:t xml:space="preserve">Option and Base Rate Loans shall not be determined with reference to the Adjusted Term SOFR component thereof, in each case, </w:t>
      </w:r>
      <w:r>
        <w:rPr>
          <w:rFonts w:ascii="Arial" w:cs="Arial" w:eastAsia="Arial" w:hAnsi="Arial"/>
          <w:sz w:val="19"/>
          <w:szCs w:val="19"/>
          <w:color w:val="000000"/>
          <w:strike w:val="1"/>
        </w:rPr>
        <w:t>until such Lender determines that it would no longer be unlawful or impractical to do so.</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5" w:name="page126"/>
    <w:bookmarkEnd w:id="125"/>
    <w:p>
      <w:pPr>
        <w:ind w:left="2260"/>
        <w:spacing w:after="0"/>
        <w:rPr>
          <w:sz w:val="20"/>
          <w:szCs w:val="20"/>
          <w:color w:val="auto"/>
        </w:rPr>
      </w:pPr>
      <w:r>
        <w:rPr>
          <w:rFonts w:ascii="Arial" w:cs="Arial" w:eastAsia="Arial" w:hAnsi="Arial"/>
          <w:sz w:val="22"/>
          <w:szCs w:val="22"/>
          <w:u w:val="single" w:color="auto"/>
          <w:color w:val="0000FF"/>
        </w:rPr>
        <w:t>(iii)</w:t>
      </w:r>
      <w:r>
        <w:rPr>
          <w:rFonts w:ascii="Arial" w:cs="Arial" w:eastAsia="Arial" w:hAnsi="Arial"/>
          <w:sz w:val="22"/>
          <w:szCs w:val="22"/>
          <w:b w:val="1"/>
          <w:bCs w:val="1"/>
          <w:u w:val="single" w:color="auto"/>
          <w:color w:val="0000FF"/>
        </w:rPr>
        <w:t>Benchmark Replacement Setting</w:t>
      </w:r>
      <w:r>
        <w:rPr>
          <w:rFonts w:ascii="Arial" w:cs="Arial" w:eastAsia="Arial" w:hAnsi="Arial"/>
          <w:sz w:val="22"/>
          <w:szCs w:val="22"/>
          <w:u w:val="single" w:color="auto"/>
          <w:color w:val="0000FF"/>
        </w:rPr>
        <w:t>.</w:t>
      </w:r>
    </w:p>
    <w:p>
      <w:pPr>
        <w:spacing w:after="0" w:line="206" w:lineRule="exact"/>
        <w:rPr>
          <w:sz w:val="20"/>
          <w:szCs w:val="20"/>
          <w:color w:val="auto"/>
        </w:rPr>
      </w:pPr>
    </w:p>
    <w:p>
      <w:pPr>
        <w:jc w:val="both"/>
        <w:ind w:firstLine="3003"/>
        <w:spacing w:after="0" w:line="234" w:lineRule="auto"/>
        <w:tabs>
          <w:tab w:leader="none" w:pos="3564" w:val="left"/>
        </w:tabs>
        <w:numPr>
          <w:ilvl w:val="0"/>
          <w:numId w:val="63"/>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Benchmark Replacement</w:t>
      </w:r>
      <w:r>
        <w:rPr>
          <w:rFonts w:ascii="Arial" w:cs="Arial" w:eastAsia="Arial" w:hAnsi="Arial"/>
          <w:sz w:val="22"/>
          <w:szCs w:val="22"/>
          <w:u w:val="single" w:color="auto"/>
          <w:color w:val="0000FF"/>
        </w:rPr>
        <w:t>. Notwithstanding anything to the contrary herein or in any</w:t>
      </w:r>
      <w:r>
        <w:rPr>
          <w:rFonts w:ascii="Arial" w:cs="Arial" w:eastAsia="Arial" w:hAnsi="Arial"/>
          <w:sz w:val="22"/>
          <w:szCs w:val="22"/>
          <w:b w:val="1"/>
          <w:bCs w:val="1"/>
          <w:u w:val="single" w:color="auto"/>
          <w:color w:val="0000FF"/>
        </w:rPr>
        <w:t xml:space="preserve"> </w:t>
      </w:r>
      <w:r>
        <w:rPr>
          <w:rFonts w:ascii="Arial" w:cs="Arial" w:eastAsia="Arial" w:hAnsi="Arial"/>
          <w:sz w:val="22"/>
          <w:szCs w:val="22"/>
          <w:u w:val="single" w:color="auto"/>
          <w:color w:val="0000FF"/>
        </w:rPr>
        <w:t>other Loan Document, upon the occurrence of a Benchmark Transition Event, Agent and Administrative Borrower may amend this Agreement to replace the then-current Benchmark with a Benchmark Replacement. Any such amendment with respect to a Benchmark Transition Event will become effective at 5:00 p.m. on the fifth (5</w:t>
      </w:r>
      <w:r>
        <w:rPr>
          <w:rFonts w:ascii="Arial" w:cs="Arial" w:eastAsia="Arial" w:hAnsi="Arial"/>
          <w:sz w:val="14"/>
          <w:szCs w:val="14"/>
          <w:u w:val="single" w:color="auto"/>
          <w:color w:val="0000FF"/>
        </w:rPr>
        <w:t>th</w:t>
      </w:r>
      <w:r>
        <w:rPr>
          <w:rFonts w:ascii="Arial" w:cs="Arial" w:eastAsia="Arial" w:hAnsi="Arial"/>
          <w:sz w:val="22"/>
          <w:szCs w:val="22"/>
          <w:u w:val="single" w:color="auto"/>
          <w:color w:val="0000FF"/>
        </w:rPr>
        <w:t>) Business Day after Agent has posted such proposed amendment to all affected Lenders and Administrative Borrower so long as Agent has not received, by such time, written notice of objection to such amendment from Lenders comprising the Required Lenders. No replacement of a Benchmark with a Benchmark Replacement pursuant to this Section 2.13(d)(iii) will occur prior to the applicable Benchmark Transition Start Date.</w:t>
      </w:r>
    </w:p>
    <w:p>
      <w:pPr>
        <w:spacing w:after="0" w:line="186" w:lineRule="exact"/>
        <w:rPr>
          <w:rFonts w:ascii="Arial" w:cs="Arial" w:eastAsia="Arial" w:hAnsi="Arial"/>
          <w:sz w:val="22"/>
          <w:szCs w:val="22"/>
          <w:b w:val="1"/>
          <w:bCs w:val="1"/>
          <w:u w:val="single" w:color="auto"/>
          <w:color w:val="0000FF"/>
        </w:rPr>
      </w:pPr>
    </w:p>
    <w:p>
      <w:pPr>
        <w:jc w:val="both"/>
        <w:ind w:firstLine="3003"/>
        <w:spacing w:after="0" w:line="236" w:lineRule="auto"/>
        <w:tabs>
          <w:tab w:leader="none" w:pos="3564" w:val="left"/>
        </w:tabs>
        <w:numPr>
          <w:ilvl w:val="0"/>
          <w:numId w:val="63"/>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Benchmark Replacement Conforming Changes</w:t>
      </w:r>
      <w:r>
        <w:rPr>
          <w:rFonts w:ascii="Arial" w:cs="Arial" w:eastAsia="Arial" w:hAnsi="Arial"/>
          <w:sz w:val="22"/>
          <w:szCs w:val="22"/>
          <w:u w:val="single" w:color="auto"/>
          <w:color w:val="0000FF"/>
        </w:rPr>
        <w:t>. In connection with the use,</w:t>
      </w:r>
      <w:r>
        <w:rPr>
          <w:rFonts w:ascii="Arial" w:cs="Arial" w:eastAsia="Arial" w:hAnsi="Arial"/>
          <w:sz w:val="22"/>
          <w:szCs w:val="22"/>
          <w:b w:val="1"/>
          <w:bCs w:val="1"/>
          <w:u w:val="single" w:color="auto"/>
          <w:color w:val="0000FF"/>
        </w:rPr>
        <w:t xml:space="preserve"> </w:t>
      </w:r>
      <w:r>
        <w:rPr>
          <w:rFonts w:ascii="Arial" w:cs="Arial" w:eastAsia="Arial" w:hAnsi="Arial"/>
          <w:sz w:val="22"/>
          <w:szCs w:val="22"/>
          <w:u w:val="single" w:color="auto"/>
          <w:color w:val="0000FF"/>
        </w:rPr>
        <w:t>administration, adoption or implementation of a Benchmark Replacement, Agent will have the right to make Conforming Changes (in consultation with the Administrative Borrower as set forth in the definition of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7" w:lineRule="exact"/>
        <w:rPr>
          <w:rFonts w:ascii="Arial" w:cs="Arial" w:eastAsia="Arial" w:hAnsi="Arial"/>
          <w:sz w:val="22"/>
          <w:szCs w:val="22"/>
          <w:b w:val="1"/>
          <w:bCs w:val="1"/>
          <w:u w:val="single" w:color="auto"/>
          <w:color w:val="0000FF"/>
        </w:rPr>
      </w:pPr>
    </w:p>
    <w:p>
      <w:pPr>
        <w:jc w:val="both"/>
        <w:ind w:firstLine="3003"/>
        <w:spacing w:after="0" w:line="270" w:lineRule="auto"/>
        <w:tabs>
          <w:tab w:leader="none" w:pos="3564" w:val="left"/>
        </w:tabs>
        <w:numPr>
          <w:ilvl w:val="0"/>
          <w:numId w:val="63"/>
        </w:numPr>
        <w:rPr>
          <w:rFonts w:ascii="Arial" w:cs="Arial" w:eastAsia="Arial" w:hAnsi="Arial"/>
          <w:sz w:val="19"/>
          <w:szCs w:val="19"/>
          <w:color w:val="FF0000"/>
          <w:strike w:val="1"/>
        </w:rPr>
      </w:pPr>
      <w:r>
        <w:rPr>
          <w:rFonts w:ascii="Arial" w:cs="Arial" w:eastAsia="Arial" w:hAnsi="Arial"/>
          <w:sz w:val="19"/>
          <w:szCs w:val="19"/>
          <w:color w:val="FF0000"/>
          <w:strike w:val="1"/>
        </w:rPr>
        <w:t>If at any time the Agent determines (which determination shall be conclusive absent manifest error), or the Required Lenders notify the Agent (with a copy to the Borrower) that the Required Lenders have determined, that (i) adequate and reasonable means do not exist for ascertaining the LIBOR Rate (including because the LIBOR Rate is not available or published on a current basis or the circumstances set forth in Section 2.12(d)(ii) above have occurred) and such circumstances are unlikely to be temporary; or (ii) the administrator of the LIBOR Rate or a Governmental Authority having jurisdiction over the Agent has made a public statement identifying a specific date after which the LIBOR Rate shall no longer be made available or used for determining the interest rate of loans (such specific date, the "</w:t>
      </w:r>
      <w:r>
        <w:rPr>
          <w:rFonts w:ascii="Arial" w:cs="Arial" w:eastAsia="Arial" w:hAnsi="Arial"/>
          <w:sz w:val="19"/>
          <w:szCs w:val="19"/>
          <w:u w:val="single" w:color="auto"/>
          <w:color w:val="FF0000"/>
          <w:strike w:val="1"/>
        </w:rPr>
        <w:t>Scheduled Unavailability Date</w:t>
      </w:r>
      <w:r>
        <w:rPr>
          <w:rFonts w:ascii="Arial" w:cs="Arial" w:eastAsia="Arial" w:hAnsi="Arial"/>
          <w:sz w:val="19"/>
          <w:szCs w:val="19"/>
          <w:color w:val="FF0000"/>
          <w:strike w:val="1"/>
        </w:rPr>
        <w:t>"), then the Agent and the Borrowers shall endeavor to establish an alternate rate of interest to the LIBOR Rate and agree on the margin applicable thereto, giving due consideration to any selection, endorsement or recommendation of a replacement rate and/or replacement spread or the mechanism for determining such a rate or spread by the relevant Governmental Authority in effect at such time and the then prevailing market convention for determining a rate of interest for leveraged syndicated loans in the United States, and shall enter into an amendment to this Agreement to reflect such alternate rate of interest, the margin applicable thereto and such other related changes to this Agreement as may be applicable; provided that such amendment entered into by the Agent and the Borrowers shall provide that if such alternate rate of interest shall be less than zero, such rate shall be deemed to be zero for purposes of this Agreement. Notwithstanding anything to the contrary in Section 15.1, such amendment shall become effective without any further action or consent of any other party to this Agreement so long as the Agent shall not have received, within five (5) Business Days of the date a copy of such amendment is provided to the Lenders, written notice from the Required Lenders stating that such Required Lenders object to such amendment. If no such alternate rate has been determined and the circumstances under clause (i) above exist or the Scheduled Unavailability Date has occurred (as applicable), the Agent will promptly so notify the Borrowers and each Lender, and thereafter until execution of an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6" w:name="page127"/>
    <w:bookmarkEnd w:id="126"/>
    <w:p>
      <w:pPr>
        <w:jc w:val="both"/>
        <w:spacing w:after="0" w:line="273" w:lineRule="auto"/>
        <w:rPr>
          <w:sz w:val="20"/>
          <w:szCs w:val="20"/>
          <w:color w:val="auto"/>
        </w:rPr>
      </w:pPr>
      <w:r>
        <w:rPr>
          <w:rFonts w:ascii="Arial" w:cs="Arial" w:eastAsia="Arial" w:hAnsi="Arial"/>
          <w:sz w:val="19"/>
          <w:szCs w:val="19"/>
          <w:color w:val="FF0000"/>
          <w:strike w:val="1"/>
        </w:rPr>
        <w:t xml:space="preserve">to implement an alternative rate in accordance with the foregoing, (x) the obligation of the Lenders to make or maintain LIBOR Rate Loans shall be suspended, and </w:t>
      </w:r>
      <w:r>
        <w:rPr>
          <w:rFonts w:ascii="Arial" w:cs="Arial" w:eastAsia="Arial" w:hAnsi="Arial"/>
          <w:sz w:val="19"/>
          <w:szCs w:val="19"/>
          <w:b w:val="1"/>
          <w:bCs w:val="1"/>
          <w:u w:val="single" w:color="auto"/>
          <w:color w:val="0000FF"/>
          <w:strike w:val="1"/>
        </w:rPr>
        <w:t>Notices; Standards for Decisions and Determinations</w:t>
      </w:r>
      <w:r>
        <w:rPr>
          <w:rFonts w:ascii="Arial" w:cs="Arial" w:eastAsia="Arial" w:hAnsi="Arial"/>
          <w:sz w:val="19"/>
          <w:szCs w:val="19"/>
          <w:u w:val="single" w:color="auto"/>
          <w:color w:val="0000FF"/>
          <w:strike w:val="1"/>
        </w:rPr>
        <w:t>. Agent will promptly notify</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Administrative Borrower and the Lenders of (1) the implementation of any Benchmark Replacement and (2) the effectiveness of any Conforming Changes in connection with the use, administration, adoption or implementation of a Benchmark Replacement. Agent will promptly notify Administrative Borrower of (x) the removal or reinstatement of any tenor of a Benchmark pursuant to Section 2.13(d)(iii)(D) and (y) the commencement of any Benchmark Unavailability Period. Any determination, decision or election that may be made by Agent or, if applicable, any Lender (or group of Lenders) pursuant to this Section 2.13(d)(iii),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2.13(d)(iii).</w:t>
      </w:r>
    </w:p>
    <w:p>
      <w:pPr>
        <w:spacing w:after="0" w:line="149" w:lineRule="exact"/>
        <w:rPr>
          <w:sz w:val="20"/>
          <w:szCs w:val="20"/>
          <w:color w:val="auto"/>
        </w:rPr>
      </w:pPr>
    </w:p>
    <w:p>
      <w:pPr>
        <w:jc w:val="both"/>
        <w:ind w:firstLine="3003"/>
        <w:spacing w:after="0" w:line="272" w:lineRule="auto"/>
        <w:tabs>
          <w:tab w:leader="none" w:pos="3564" w:val="left"/>
        </w:tabs>
        <w:numPr>
          <w:ilvl w:val="0"/>
          <w:numId w:val="64"/>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Unavailability of Tenor of Benchmark</w:t>
      </w:r>
      <w:r>
        <w:rPr>
          <w:rFonts w:ascii="Arial" w:cs="Arial" w:eastAsia="Arial" w:hAnsi="Arial"/>
          <w:sz w:val="19"/>
          <w:szCs w:val="19"/>
          <w:u w:val="single" w:color="auto"/>
          <w:color w:val="0000FF"/>
        </w:rPr>
        <w:t>. Notwithstanding anything to the contrary</w:t>
      </w:r>
      <w:r>
        <w:rPr>
          <w:rFonts w:ascii="Arial" w:cs="Arial" w:eastAsia="Arial" w:hAnsi="Arial"/>
          <w:sz w:val="19"/>
          <w:szCs w:val="19"/>
          <w:b w:val="1"/>
          <w:bCs w:val="1"/>
          <w:u w:val="single" w:color="auto"/>
          <w:color w:val="0000FF"/>
        </w:rPr>
        <w:t xml:space="preserve"> </w:t>
      </w:r>
      <w:r>
        <w:rPr>
          <w:rFonts w:ascii="Arial" w:cs="Arial" w:eastAsia="Arial" w:hAnsi="Arial"/>
          <w:sz w:val="19"/>
          <w:szCs w:val="19"/>
          <w:u w:val="single" w:color="auto"/>
          <w:color w:val="0000FF"/>
        </w:rPr>
        <w:t>herein or in any other Loan Document, at any time (including in connection with the implementation of a Benchmark Replacement), (1) if the then-current Benchmark is a term rate (including the Term SOFR Reference Rate)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 information announcing that any tenor for such Benchmark is not or will not be representative, then Agent may, in consultation with the Administrative Borrower, modify the definition of "Interest Period" (or any similar or analogous definition) for any Benchmark settings at or after such time to remove such unavailable or non-representative tenor and (2) if a tenor that was removed pursuant to clause (1)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Agent may, in consultation with the Administrative Borrower, modify the definition of "Interest Period" (or any similar or analogous definition) for all Benchmark settings at or after such time to reinstate such previously removed tenor.</w:t>
      </w:r>
    </w:p>
    <w:p>
      <w:pPr>
        <w:spacing w:after="0" w:line="161" w:lineRule="exact"/>
        <w:rPr>
          <w:rFonts w:ascii="Arial" w:cs="Arial" w:eastAsia="Arial" w:hAnsi="Arial"/>
          <w:sz w:val="19"/>
          <w:szCs w:val="19"/>
          <w:b w:val="1"/>
          <w:bCs w:val="1"/>
          <w:u w:val="single" w:color="auto"/>
          <w:color w:val="0000FF"/>
        </w:rPr>
      </w:pPr>
    </w:p>
    <w:p>
      <w:pPr>
        <w:jc w:val="both"/>
        <w:ind w:firstLine="3003"/>
        <w:spacing w:after="0" w:line="245" w:lineRule="auto"/>
        <w:tabs>
          <w:tab w:leader="none" w:pos="3564" w:val="left"/>
        </w:tabs>
        <w:numPr>
          <w:ilvl w:val="0"/>
          <w:numId w:val="64"/>
        </w:numPr>
        <w:rPr>
          <w:rFonts w:ascii="Arial" w:cs="Arial" w:eastAsia="Arial" w:hAnsi="Arial"/>
          <w:sz w:val="21"/>
          <w:szCs w:val="21"/>
          <w:color w:val="FF0000"/>
          <w:strike w:val="1"/>
        </w:rPr>
      </w:pPr>
      <w:r>
        <w:rPr>
          <w:rFonts w:ascii="Arial" w:cs="Arial" w:eastAsia="Arial" w:hAnsi="Arial"/>
          <w:sz w:val="21"/>
          <w:szCs w:val="21"/>
          <w:color w:val="FF0000"/>
          <w:strike w:val="1"/>
        </w:rPr>
        <w:t>(iii) (y) the LIBOR Rate component shall no longer be utilized in determining the Base Rate. Upon</w:t>
      </w:r>
      <w:r>
        <w:rPr>
          <w:rFonts w:ascii="Arial" w:cs="Arial" w:eastAsia="Arial" w:hAnsi="Arial"/>
          <w:sz w:val="21"/>
          <w:szCs w:val="21"/>
          <w:b w:val="1"/>
          <w:bCs w:val="1"/>
          <w:u w:val="single" w:color="auto"/>
          <w:color w:val="0000FF"/>
          <w:strike w:val="1"/>
        </w:rPr>
        <w:t>Benchmark Unavailability Period</w:t>
      </w:r>
      <w:r>
        <w:rPr>
          <w:rFonts w:ascii="Arial" w:cs="Arial" w:eastAsia="Arial" w:hAnsi="Arial"/>
          <w:sz w:val="21"/>
          <w:szCs w:val="21"/>
          <w:u w:val="single" w:color="auto"/>
          <w:color w:val="0000FF"/>
          <w:strike w:val="1"/>
        </w:rPr>
        <w:t>. Upon Administrative Borrower's</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receipt of</w:t>
      </w:r>
      <w:r>
        <w:rPr>
          <w:rFonts w:ascii="Arial" w:cs="Arial" w:eastAsia="Arial" w:hAnsi="Arial"/>
          <w:sz w:val="21"/>
          <w:szCs w:val="21"/>
          <w:color w:val="FF0000"/>
          <w:strike w:val="1"/>
        </w:rPr>
        <w:t xml:space="preserve"> such </w:t>
      </w:r>
      <w:r>
        <w:rPr>
          <w:rFonts w:ascii="Arial" w:cs="Arial" w:eastAsia="Arial" w:hAnsi="Arial"/>
          <w:sz w:val="21"/>
          <w:szCs w:val="21"/>
          <w:color w:val="000000"/>
          <w:strike w:val="1"/>
        </w:rPr>
        <w:t>notice</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00FF"/>
          <w:strike w:val="1"/>
        </w:rPr>
        <w:t>of</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the</w:t>
      </w:r>
      <w:r>
        <w:rPr>
          <w:rFonts w:ascii="Arial" w:cs="Arial" w:eastAsia="Arial" w:hAnsi="Arial"/>
          <w:sz w:val="21"/>
          <w:szCs w:val="21"/>
          <w:color w:val="FF0000"/>
          <w:strike w:val="1"/>
        </w:rPr>
        <w:t xml:space="preserve"> Borrowers</w:t>
      </w:r>
      <w:r>
        <w:rPr>
          <w:rFonts w:ascii="Arial" w:cs="Arial" w:eastAsia="Arial" w:hAnsi="Arial"/>
          <w:sz w:val="21"/>
          <w:szCs w:val="21"/>
          <w:u w:val="single" w:color="auto"/>
          <w:color w:val="0000FF"/>
          <w:strike w:val="1"/>
        </w:rPr>
        <w:t>commencement of a Benchmark Unavailability Period, (1) Administrative Borrower</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may revoke any pending request</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 xml:space="preserve">for a </w:t>
      </w:r>
      <w:r>
        <w:rPr>
          <w:rFonts w:ascii="Arial" w:cs="Arial" w:eastAsia="Arial" w:hAnsi="Arial"/>
          <w:sz w:val="21"/>
          <w:szCs w:val="21"/>
          <w:color w:val="FF0000"/>
          <w:strike w:val="1"/>
        </w:rPr>
        <w:t>Loan</w:t>
      </w:r>
      <w:r>
        <w:rPr>
          <w:rFonts w:ascii="Arial" w:cs="Arial" w:eastAsia="Arial" w:hAnsi="Arial"/>
          <w:sz w:val="21"/>
          <w:szCs w:val="21"/>
          <w:u w:val="single" w:color="auto"/>
          <w:color w:val="0000FF"/>
          <w:strike w:val="1"/>
        </w:rPr>
        <w:t>borrowing</w:t>
      </w:r>
      <w:r>
        <w:rPr>
          <w:rFonts w:ascii="Arial" w:cs="Arial" w:eastAsia="Arial" w:hAnsi="Arial"/>
          <w:sz w:val="21"/>
          <w:szCs w:val="21"/>
          <w:color w:val="000000"/>
          <w:strike w:val="1"/>
        </w:rPr>
        <w:t xml:space="preserve"> of, conversion to or continuation of </w:t>
      </w:r>
      <w:r>
        <w:rPr>
          <w:rFonts w:ascii="Arial" w:cs="Arial" w:eastAsia="Arial" w:hAnsi="Arial"/>
          <w:sz w:val="21"/>
          <w:szCs w:val="21"/>
          <w:color w:val="FF0000"/>
          <w:strike w:val="1"/>
        </w:rPr>
        <w:t>LIBOR Rate Loans (to the extent of the affected LIBOR Rate Loans or</w:t>
      </w:r>
      <w:r>
        <w:rPr>
          <w:rFonts w:ascii="Arial" w:cs="Arial" w:eastAsia="Arial" w:hAnsi="Arial"/>
          <w:sz w:val="21"/>
          <w:szCs w:val="21"/>
          <w:color w:val="000000"/>
          <w:strike w:val="1"/>
        </w:rPr>
        <w:t xml:space="preserve"> </w:t>
      </w:r>
      <w:r>
        <w:rPr>
          <w:rFonts w:ascii="Arial" w:cs="Arial" w:eastAsia="Arial" w:hAnsi="Arial"/>
          <w:sz w:val="21"/>
          <w:szCs w:val="21"/>
          <w:color w:val="FF0000"/>
          <w:strike w:val="1"/>
        </w:rPr>
        <w:t>Interest Periods) or</w:t>
      </w:r>
      <w:r>
        <w:rPr>
          <w:rFonts w:ascii="Arial" w:cs="Arial" w:eastAsia="Arial" w:hAnsi="Arial"/>
          <w:sz w:val="21"/>
          <w:szCs w:val="21"/>
          <w:u w:val="single" w:color="auto"/>
          <w:color w:val="0000FF"/>
          <w:strike w:val="1"/>
        </w:rPr>
        <w:t>SOFR Loans to be made, converted or continued during any Benchmark Unavailability Period and</w:t>
      </w:r>
      <w:r>
        <w:rPr>
          <w:rFonts w:ascii="Arial" w:cs="Arial" w:eastAsia="Arial" w:hAnsi="Arial"/>
          <w:sz w:val="21"/>
          <w:szCs w:val="21"/>
          <w:color w:val="000000"/>
          <w:strike w:val="1"/>
        </w:rPr>
        <w:t>, failing</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 xml:space="preserve">that, </w:t>
      </w:r>
      <w:r>
        <w:rPr>
          <w:rFonts w:ascii="Arial" w:cs="Arial" w:eastAsia="Arial" w:hAnsi="Arial"/>
          <w:sz w:val="21"/>
          <w:szCs w:val="21"/>
          <w:u w:val="single" w:color="auto"/>
          <w:color w:val="0000FF"/>
          <w:strike w:val="1"/>
        </w:rPr>
        <w:t>Administrative Borrower</w:t>
      </w:r>
      <w:r>
        <w:rPr>
          <w:rFonts w:ascii="Arial" w:cs="Arial" w:eastAsia="Arial" w:hAnsi="Arial"/>
          <w:sz w:val="21"/>
          <w:szCs w:val="21"/>
          <w:color w:val="000000"/>
          <w:strike w:val="1"/>
        </w:rPr>
        <w:t xml:space="preserve"> will be deemed to have converted </w:t>
      </w:r>
      <w:r>
        <w:rPr>
          <w:rFonts w:ascii="Arial" w:cs="Arial" w:eastAsia="Arial" w:hAnsi="Arial"/>
          <w:sz w:val="21"/>
          <w:szCs w:val="21"/>
          <w:u w:val="single" w:color="auto"/>
          <w:color w:val="0000FF"/>
          <w:strike w:val="1"/>
        </w:rPr>
        <w:t>any</w:t>
      </w:r>
      <w:r>
        <w:rPr>
          <w:rFonts w:ascii="Arial" w:cs="Arial" w:eastAsia="Arial" w:hAnsi="Arial"/>
          <w:sz w:val="21"/>
          <w:szCs w:val="21"/>
          <w:color w:val="000000"/>
          <w:strike w:val="1"/>
        </w:rPr>
        <w:t xml:space="preserve"> such request into a request for a </w:t>
      </w:r>
      <w:r>
        <w:rPr>
          <w:rFonts w:ascii="Arial" w:cs="Arial" w:eastAsia="Arial" w:hAnsi="Arial"/>
          <w:sz w:val="21"/>
          <w:szCs w:val="21"/>
          <w:color w:val="FF0000"/>
          <w:strike w:val="1"/>
        </w:rPr>
        <w:t>Borrowing of</w:t>
      </w:r>
      <w:r>
        <w:rPr>
          <w:rFonts w:ascii="Arial" w:cs="Arial" w:eastAsia="Arial" w:hAnsi="Arial"/>
          <w:sz w:val="21"/>
          <w:szCs w:val="21"/>
          <w:u w:val="single" w:color="auto"/>
          <w:color w:val="0000FF"/>
          <w:strike w:val="1"/>
        </w:rPr>
        <w:t>borrowing of</w:t>
      </w:r>
      <w:r>
        <w:rPr>
          <w:rFonts w:ascii="Arial" w:cs="Arial" w:eastAsia="Arial" w:hAnsi="Arial"/>
          <w:sz w:val="21"/>
          <w:szCs w:val="21"/>
          <w:color w:val="000000"/>
          <w:strike w:val="1"/>
        </w:rPr>
        <w:t xml:space="preserve"> </w:t>
      </w:r>
      <w:r>
        <w:rPr>
          <w:rFonts w:ascii="Arial" w:cs="Arial" w:eastAsia="Arial" w:hAnsi="Arial"/>
          <w:sz w:val="21"/>
          <w:szCs w:val="21"/>
          <w:u w:val="single" w:color="auto"/>
          <w:color w:val="0000FF"/>
          <w:strike w:val="1"/>
        </w:rPr>
        <w:t>or conversion to</w:t>
      </w:r>
      <w:r>
        <w:rPr>
          <w:rFonts w:ascii="Arial" w:cs="Arial" w:eastAsia="Arial" w:hAnsi="Arial"/>
          <w:sz w:val="21"/>
          <w:szCs w:val="21"/>
          <w:color w:val="0000FF"/>
          <w:strike w:val="1"/>
        </w:rPr>
        <w:t xml:space="preserve"> </w:t>
      </w:r>
      <w:r>
        <w:rPr>
          <w:rFonts w:ascii="Arial" w:cs="Arial" w:eastAsia="Arial" w:hAnsi="Arial"/>
          <w:sz w:val="21"/>
          <w:szCs w:val="21"/>
          <w:color w:val="000000"/>
          <w:strike w:val="1"/>
        </w:rPr>
        <w:t>Base Rate Loans</w:t>
      </w:r>
      <w:r>
        <w:rPr>
          <w:rFonts w:ascii="Arial" w:cs="Arial" w:eastAsia="Arial" w:hAnsi="Arial"/>
          <w:sz w:val="21"/>
          <w:szCs w:val="21"/>
          <w:color w:val="0000FF"/>
          <w:strike w:val="1"/>
        </w:rPr>
        <w:t xml:space="preserve"> </w:t>
      </w:r>
      <w:r>
        <w:rPr>
          <w:rFonts w:ascii="Arial" w:cs="Arial" w:eastAsia="Arial" w:hAnsi="Arial"/>
          <w:sz w:val="21"/>
          <w:szCs w:val="21"/>
          <w:color w:val="FF0000"/>
          <w:strike w:val="1"/>
        </w:rPr>
        <w:t>(subject to the foregoing clause (y)) in the amount specified therein.</w:t>
      </w:r>
      <w:r>
        <w:rPr>
          <w:rFonts w:ascii="Arial" w:cs="Arial" w:eastAsia="Arial" w:hAnsi="Arial"/>
          <w:sz w:val="21"/>
          <w:szCs w:val="21"/>
          <w:u w:val="single" w:color="auto"/>
          <w:color w:val="0000FF"/>
          <w:strike w:val="1"/>
        </w:rPr>
        <w:t>and (2) any outstanding</w:t>
      </w:r>
      <w:r>
        <w:rPr>
          <w:rFonts w:ascii="Arial" w:cs="Arial" w:eastAsia="Arial" w:hAnsi="Arial"/>
          <w:sz w:val="21"/>
          <w:szCs w:val="21"/>
          <w:color w:val="0000FF"/>
          <w:strike w:val="1"/>
        </w:rPr>
        <w:t xml:space="preserve"> </w:t>
      </w:r>
      <w:r>
        <w:rPr>
          <w:rFonts w:ascii="Arial" w:cs="Arial" w:eastAsia="Arial" w:hAnsi="Arial"/>
          <w:sz w:val="21"/>
          <w:szCs w:val="21"/>
          <w:u w:val="single" w:color="auto"/>
          <w:color w:val="0000FF"/>
          <w:strike w:val="1"/>
        </w:rPr>
        <w:t>affected SOFR Loans will be deemed to have been converted to Base Rate Loans at the end of the applicable Interest Period. During any Benchmark Unavailability Period or at any time that a tenor for the then-current Benchmark is not an Available Tenor, the component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5891530</wp:posOffset>
            </wp:positionH>
            <wp:positionV relativeFrom="paragraph">
              <wp:posOffset>-1319530</wp:posOffset>
            </wp:positionV>
            <wp:extent cx="3657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36576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7" w:name="page128"/>
    <w:bookmarkEnd w:id="127"/>
    <w:p>
      <w:pPr>
        <w:jc w:val="both"/>
        <w:spacing w:after="0" w:line="250" w:lineRule="auto"/>
        <w:rPr>
          <w:sz w:val="20"/>
          <w:szCs w:val="20"/>
          <w:color w:val="auto"/>
        </w:rPr>
      </w:pPr>
      <w:r>
        <w:rPr>
          <w:rFonts w:ascii="Arial" w:cs="Arial" w:eastAsia="Arial" w:hAnsi="Arial"/>
          <w:sz w:val="22"/>
          <w:szCs w:val="22"/>
          <w:u w:val="single" w:color="auto"/>
          <w:color w:val="0000FF"/>
        </w:rPr>
        <w:t>Base Rate based upon the then-current Benchmark or such tenor for such Benchmark, as applicable, will not be used in any determination of the Base Rate.</w:t>
      </w:r>
    </w:p>
    <w:p>
      <w:pPr>
        <w:spacing w:after="0" w:line="169" w:lineRule="exact"/>
        <w:rPr>
          <w:sz w:val="20"/>
          <w:szCs w:val="20"/>
          <w:color w:val="auto"/>
        </w:rPr>
      </w:pPr>
    </w:p>
    <w:p>
      <w:pPr>
        <w:jc w:val="both"/>
        <w:ind w:firstLine="1497"/>
        <w:spacing w:after="0" w:line="300" w:lineRule="auto"/>
        <w:rPr>
          <w:sz w:val="20"/>
          <w:szCs w:val="20"/>
          <w:color w:val="auto"/>
        </w:rPr>
      </w:pPr>
      <w:r>
        <w:rPr>
          <w:rFonts w:ascii="Arial" w:cs="Arial" w:eastAsia="Arial" w:hAnsi="Arial"/>
          <w:sz w:val="19"/>
          <w:szCs w:val="19"/>
          <w:b w:val="1"/>
          <w:bCs w:val="1"/>
          <w:color w:val="auto"/>
        </w:rPr>
        <w:t>No Requirement of Matched Funding</w:t>
      </w:r>
      <w:r>
        <w:rPr>
          <w:rFonts w:ascii="Arial" w:cs="Arial" w:eastAsia="Arial" w:hAnsi="Arial"/>
          <w:sz w:val="19"/>
          <w:szCs w:val="19"/>
          <w:color w:val="auto"/>
        </w:rPr>
        <w:t>. Anything to the contrary contained herein notwithstanding, neither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Agent, nor any Lender, nor any of their Participants, is required actually to </w:t>
      </w:r>
      <w:r>
        <w:rPr>
          <w:rFonts w:ascii="Arial" w:cs="Arial" w:eastAsia="Arial" w:hAnsi="Arial"/>
          <w:sz w:val="19"/>
          <w:szCs w:val="19"/>
          <w:color w:val="FF0000"/>
          <w:strike w:val="1"/>
        </w:rPr>
        <w:t>acquire eurodollar deposits to fund or otherwise</w:t>
      </w:r>
      <w:r>
        <w:rPr>
          <w:rFonts w:ascii="Arial" w:cs="Arial" w:eastAsia="Arial" w:hAnsi="Arial"/>
          <w:sz w:val="19"/>
          <w:szCs w:val="19"/>
          <w:color w:val="auto"/>
        </w:rPr>
        <w:t xml:space="preserve"> match fund any Obligation as to which interest accrues at </w:t>
      </w:r>
      <w:r>
        <w:rPr>
          <w:rFonts w:ascii="Arial" w:cs="Arial" w:eastAsia="Arial" w:hAnsi="Arial"/>
          <w:sz w:val="19"/>
          <w:szCs w:val="19"/>
          <w:color w:val="FF0000"/>
          <w:strike w:val="1"/>
        </w:rPr>
        <w:t>the LIBOR</w:t>
      </w:r>
      <w:r>
        <w:rPr>
          <w:rFonts w:ascii="Arial" w:cs="Arial" w:eastAsia="Arial" w:hAnsi="Arial"/>
          <w:sz w:val="19"/>
          <w:szCs w:val="19"/>
          <w:u w:val="single" w:color="auto"/>
          <w:color w:val="0000FF"/>
        </w:rPr>
        <w:t>Adjusted Term SOFR or the Term SOFR Reference</w:t>
      </w:r>
      <w:r>
        <w:rPr>
          <w:rFonts w:ascii="Arial" w:cs="Arial" w:eastAsia="Arial" w:hAnsi="Arial"/>
          <w:sz w:val="19"/>
          <w:szCs w:val="19"/>
          <w:color w:val="auto"/>
        </w:rPr>
        <w:t xml:space="preserve"> Rate.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Capital Requirements</w:t>
      </w:r>
    </w:p>
    <w:p>
      <w:pPr>
        <w:spacing w:after="0" w:line="212" w:lineRule="exact"/>
        <w:rPr>
          <w:sz w:val="20"/>
          <w:szCs w:val="20"/>
          <w:color w:val="auto"/>
        </w:rPr>
      </w:pPr>
    </w:p>
    <w:p>
      <w:pPr>
        <w:ind w:left="2040" w:hanging="535"/>
        <w:spacing w:after="0"/>
        <w:tabs>
          <w:tab w:leader="none" w:pos="2040" w:val="left"/>
        </w:tabs>
        <w:numPr>
          <w:ilvl w:val="0"/>
          <w:numId w:val="65"/>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w:t>
      </w:r>
    </w:p>
    <w:p>
      <w:pPr>
        <w:spacing w:after="0" w:line="206" w:lineRule="exact"/>
        <w:rPr>
          <w:rFonts w:ascii="Arial" w:cs="Arial" w:eastAsia="Arial" w:hAnsi="Arial"/>
          <w:sz w:val="22"/>
          <w:szCs w:val="22"/>
          <w:u w:val="single" w:color="auto"/>
          <w:color w:val="0000FF"/>
        </w:rPr>
      </w:pPr>
    </w:p>
    <w:p>
      <w:pPr>
        <w:jc w:val="both"/>
        <w:ind w:firstLine="1505"/>
        <w:spacing w:after="0" w:line="269" w:lineRule="auto"/>
        <w:tabs>
          <w:tab w:leader="none" w:pos="2036" w:val="left"/>
        </w:tabs>
        <w:numPr>
          <w:ilvl w:val="0"/>
          <w:numId w:val="65"/>
        </w:numPr>
        <w:rPr>
          <w:rFonts w:ascii="Arial" w:cs="Arial" w:eastAsia="Arial" w:hAnsi="Arial"/>
          <w:sz w:val="19"/>
          <w:szCs w:val="19"/>
          <w:u w:val="single" w:color="auto"/>
          <w:color w:val="0000FF"/>
        </w:rPr>
      </w:pP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color w:val="000000"/>
        </w:rPr>
        <w:t>If, after the date hereof,</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Issuing Bank or</w:t>
      </w:r>
      <w:r>
        <w:rPr>
          <w:rFonts w:ascii="Arial" w:cs="Arial" w:eastAsia="Arial" w:hAnsi="Arial"/>
          <w:sz w:val="19"/>
          <w:szCs w:val="19"/>
          <w:color w:val="FF0000"/>
        </w:rPr>
        <w:t xml:space="preserve"> </w:t>
      </w:r>
      <w:r>
        <w:rPr>
          <w:rFonts w:ascii="Arial" w:cs="Arial" w:eastAsia="Arial" w:hAnsi="Arial"/>
          <w:sz w:val="19"/>
          <w:szCs w:val="19"/>
          <w:color w:val="000000"/>
        </w:rPr>
        <w:t>any Lender determines that (i)</w:t>
      </w:r>
      <w:r>
        <w:rPr>
          <w:rFonts w:ascii="Arial" w:cs="Arial" w:eastAsia="Arial" w:hAnsi="Arial"/>
          <w:sz w:val="19"/>
          <w:szCs w:val="19"/>
          <w:color w:val="FF0000"/>
        </w:rPr>
        <w:t xml:space="preserve"> </w:t>
      </w:r>
      <w:r>
        <w:rPr>
          <w:rFonts w:ascii="Arial" w:cs="Arial" w:eastAsia="Arial" w:hAnsi="Arial"/>
          <w:sz w:val="19"/>
          <w:szCs w:val="19"/>
          <w:color w:val="FF0000"/>
          <w:strike w:val="1"/>
        </w:rPr>
        <w:t>the adoption of or change in any</w:t>
      </w:r>
      <w:r>
        <w:rPr>
          <w:rFonts w:ascii="Arial" w:cs="Arial" w:eastAsia="Arial" w:hAnsi="Arial"/>
          <w:sz w:val="19"/>
          <w:szCs w:val="19"/>
          <w:color w:val="FF0000"/>
        </w:rPr>
        <w:t xml:space="preserve"> </w:t>
      </w:r>
      <w:r>
        <w:rPr>
          <w:rFonts w:ascii="Arial" w:cs="Arial" w:eastAsia="Arial" w:hAnsi="Arial"/>
          <w:sz w:val="19"/>
          <w:szCs w:val="19"/>
          <w:color w:val="FF0000"/>
          <w:strike w:val="1"/>
        </w:rPr>
        <w:t>law, rule, regulation or guideline</w:t>
      </w:r>
      <w:r>
        <w:rPr>
          <w:rFonts w:ascii="Arial" w:cs="Arial" w:eastAsia="Arial" w:hAnsi="Arial"/>
          <w:sz w:val="19"/>
          <w:szCs w:val="19"/>
          <w:u w:val="single" w:color="auto"/>
          <w:color w:val="0000FF"/>
        </w:rPr>
        <w:t>any Change in Law</w:t>
      </w:r>
      <w:r>
        <w:rPr>
          <w:rFonts w:ascii="Arial" w:cs="Arial" w:eastAsia="Arial" w:hAnsi="Arial"/>
          <w:sz w:val="19"/>
          <w:szCs w:val="19"/>
          <w:color w:val="FF0000"/>
        </w:rPr>
        <w:t xml:space="preserve"> </w:t>
      </w:r>
      <w:r>
        <w:rPr>
          <w:rFonts w:ascii="Arial" w:cs="Arial" w:eastAsia="Arial" w:hAnsi="Arial"/>
          <w:sz w:val="19"/>
          <w:szCs w:val="19"/>
          <w:color w:val="000000"/>
        </w:rPr>
        <w:t>regarding capital</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or liquidity</w:t>
      </w:r>
      <w:r>
        <w:rPr>
          <w:rFonts w:ascii="Arial" w:cs="Arial" w:eastAsia="Arial" w:hAnsi="Arial"/>
          <w:sz w:val="19"/>
          <w:szCs w:val="19"/>
          <w:color w:val="FF0000"/>
        </w:rPr>
        <w:t xml:space="preserve"> </w:t>
      </w:r>
      <w:r>
        <w:rPr>
          <w:rFonts w:ascii="Arial" w:cs="Arial" w:eastAsia="Arial" w:hAnsi="Arial"/>
          <w:sz w:val="19"/>
          <w:szCs w:val="19"/>
          <w:color w:val="000000"/>
        </w:rPr>
        <w:t>requirements for banks or bank holding</w:t>
      </w:r>
      <w:r>
        <w:rPr>
          <w:rFonts w:ascii="Arial" w:cs="Arial" w:eastAsia="Arial" w:hAnsi="Arial"/>
          <w:sz w:val="19"/>
          <w:szCs w:val="19"/>
          <w:color w:val="FF0000"/>
        </w:rPr>
        <w:t xml:space="preserve"> </w:t>
      </w:r>
      <w:r>
        <w:rPr>
          <w:rFonts w:ascii="Arial" w:cs="Arial" w:eastAsia="Arial" w:hAnsi="Arial"/>
          <w:sz w:val="19"/>
          <w:szCs w:val="19"/>
          <w:color w:val="000000"/>
        </w:rPr>
        <w:t xml:space="preserve">companies, or </w:t>
      </w:r>
      <w:r>
        <w:rPr>
          <w:rFonts w:ascii="Arial" w:cs="Arial" w:eastAsia="Arial" w:hAnsi="Arial"/>
          <w:sz w:val="19"/>
          <w:szCs w:val="19"/>
          <w:color w:val="FF0000"/>
          <w:strike w:val="1"/>
        </w:rPr>
        <w:t>any change in the interpretation or application thereof by any Governmental Authority charged with the</w:t>
      </w:r>
      <w:r>
        <w:rPr>
          <w:rFonts w:ascii="Arial" w:cs="Arial" w:eastAsia="Arial" w:hAnsi="Arial"/>
          <w:sz w:val="19"/>
          <w:szCs w:val="19"/>
          <w:color w:val="000000"/>
        </w:rPr>
        <w:t xml:space="preserve"> </w:t>
      </w:r>
      <w:r>
        <w:rPr>
          <w:rFonts w:ascii="Arial" w:cs="Arial" w:eastAsia="Arial" w:hAnsi="Arial"/>
          <w:sz w:val="19"/>
          <w:szCs w:val="19"/>
          <w:color w:val="FF0000"/>
          <w:strike w:val="1"/>
        </w:rPr>
        <w:t>administration thereof, or</w:t>
      </w:r>
      <w:r>
        <w:rPr>
          <w:rFonts w:ascii="Arial" w:cs="Arial" w:eastAsia="Arial" w:hAnsi="Arial"/>
          <w:sz w:val="19"/>
          <w:szCs w:val="19"/>
          <w:color w:val="FF0000"/>
        </w:rPr>
        <w:t xml:space="preserve"> </w:t>
      </w:r>
      <w:r>
        <w:rPr>
          <w:rFonts w:ascii="Arial" w:cs="Arial" w:eastAsia="Arial" w:hAnsi="Arial"/>
          <w:sz w:val="19"/>
          <w:szCs w:val="19"/>
          <w:color w:val="000000"/>
        </w:rPr>
        <w:t>(ii) compliance by</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Issuing Bank or</w:t>
      </w:r>
      <w:r>
        <w:rPr>
          <w:rFonts w:ascii="Arial" w:cs="Arial" w:eastAsia="Arial" w:hAnsi="Arial"/>
          <w:sz w:val="19"/>
          <w:szCs w:val="19"/>
          <w:color w:val="FF0000"/>
        </w:rPr>
        <w:t xml:space="preserve"> </w:t>
      </w:r>
      <w:r>
        <w:rPr>
          <w:rFonts w:ascii="Arial" w:cs="Arial" w:eastAsia="Arial" w:hAnsi="Arial"/>
          <w:sz w:val="19"/>
          <w:szCs w:val="19"/>
          <w:color w:val="000000"/>
        </w:rPr>
        <w:t>such Lender</w:t>
      </w:r>
      <w:r>
        <w:rPr>
          <w:rFonts w:ascii="Arial" w:cs="Arial" w:eastAsia="Arial" w:hAnsi="Arial"/>
          <w:sz w:val="19"/>
          <w:szCs w:val="19"/>
          <w:u w:val="single" w:color="auto"/>
          <w:color w:val="0000FF"/>
        </w:rPr>
        <w:t>,</w:t>
      </w:r>
      <w:r>
        <w:rPr>
          <w:rFonts w:ascii="Arial" w:cs="Arial" w:eastAsia="Arial" w:hAnsi="Arial"/>
          <w:sz w:val="19"/>
          <w:szCs w:val="19"/>
          <w:color w:val="FF0000"/>
        </w:rPr>
        <w:t xml:space="preserve"> </w:t>
      </w:r>
      <w:r>
        <w:rPr>
          <w:rFonts w:ascii="Arial" w:cs="Arial" w:eastAsia="Arial" w:hAnsi="Arial"/>
          <w:sz w:val="19"/>
          <w:szCs w:val="19"/>
          <w:color w:val="000000"/>
        </w:rPr>
        <w:t>or</w:t>
      </w:r>
      <w:r>
        <w:rPr>
          <w:rFonts w:ascii="Arial" w:cs="Arial" w:eastAsia="Arial" w:hAnsi="Arial"/>
          <w:sz w:val="19"/>
          <w:szCs w:val="19"/>
          <w:color w:val="FF0000"/>
        </w:rPr>
        <w:t xml:space="preserve"> </w:t>
      </w:r>
      <w:r>
        <w:rPr>
          <w:rFonts w:ascii="Arial" w:cs="Arial" w:eastAsia="Arial" w:hAnsi="Arial"/>
          <w:sz w:val="19"/>
          <w:szCs w:val="19"/>
          <w:color w:val="FF0000"/>
          <w:strike w:val="1"/>
        </w:rPr>
        <w:t>its</w:t>
      </w:r>
      <w:r>
        <w:rPr>
          <w:rFonts w:ascii="Arial" w:cs="Arial" w:eastAsia="Arial" w:hAnsi="Arial"/>
          <w:sz w:val="19"/>
          <w:szCs w:val="19"/>
          <w:u w:val="single" w:color="auto"/>
          <w:color w:val="0000FF"/>
        </w:rPr>
        <w:t>their respective</w:t>
      </w:r>
      <w:r>
        <w:rPr>
          <w:rFonts w:ascii="Arial" w:cs="Arial" w:eastAsia="Arial" w:hAnsi="Arial"/>
          <w:sz w:val="19"/>
          <w:szCs w:val="19"/>
          <w:color w:val="FF0000"/>
        </w:rPr>
        <w:t xml:space="preserve"> </w:t>
      </w:r>
      <w:r>
        <w:rPr>
          <w:rFonts w:ascii="Arial" w:cs="Arial" w:eastAsia="Arial" w:hAnsi="Arial"/>
          <w:sz w:val="19"/>
          <w:szCs w:val="19"/>
          <w:color w:val="000000"/>
        </w:rPr>
        <w:t>parent bank holding</w:t>
      </w:r>
      <w:r>
        <w:rPr>
          <w:rFonts w:ascii="Arial" w:cs="Arial" w:eastAsia="Arial" w:hAnsi="Arial"/>
          <w:sz w:val="19"/>
          <w:szCs w:val="19"/>
          <w:color w:val="FF0000"/>
        </w:rPr>
        <w:t xml:space="preserve"> </w:t>
      </w:r>
      <w:r>
        <w:rPr>
          <w:rFonts w:ascii="Arial" w:cs="Arial" w:eastAsia="Arial" w:hAnsi="Arial"/>
          <w:sz w:val="19"/>
          <w:szCs w:val="19"/>
          <w:color w:val="FF0000"/>
          <w:strike w:val="1"/>
        </w:rPr>
        <w:t>company</w:t>
      </w:r>
      <w:r>
        <w:rPr>
          <w:rFonts w:ascii="Arial" w:cs="Arial" w:eastAsia="Arial" w:hAnsi="Arial"/>
          <w:sz w:val="19"/>
          <w:szCs w:val="19"/>
          <w:u w:val="single" w:color="auto"/>
          <w:color w:val="0000FF"/>
        </w:rPr>
        <w:t>companies,</w:t>
      </w:r>
      <w:r>
        <w:rPr>
          <w:rFonts w:ascii="Arial" w:cs="Arial" w:eastAsia="Arial" w:hAnsi="Arial"/>
          <w:sz w:val="19"/>
          <w:szCs w:val="19"/>
          <w:color w:val="FF0000"/>
        </w:rPr>
        <w:t xml:space="preserve"> </w:t>
      </w:r>
      <w:r>
        <w:rPr>
          <w:rFonts w:ascii="Arial" w:cs="Arial" w:eastAsia="Arial" w:hAnsi="Arial"/>
          <w:sz w:val="19"/>
          <w:szCs w:val="19"/>
          <w:color w:val="000000"/>
        </w:rPr>
        <w:t>with any guideline, request or directive of any</w:t>
      </w:r>
      <w:r>
        <w:rPr>
          <w:rFonts w:ascii="Arial" w:cs="Arial" w:eastAsia="Arial" w:hAnsi="Arial"/>
          <w:sz w:val="19"/>
          <w:szCs w:val="19"/>
          <w:color w:val="FF0000"/>
        </w:rPr>
        <w:t xml:space="preserve"> </w:t>
      </w:r>
      <w:r>
        <w:rPr>
          <w:rFonts w:ascii="Arial" w:cs="Arial" w:eastAsia="Arial" w:hAnsi="Arial"/>
          <w:sz w:val="19"/>
          <w:szCs w:val="19"/>
          <w:color w:val="FF0000"/>
          <w:strike w:val="1"/>
        </w:rPr>
        <w:t>such entity</w:t>
      </w:r>
      <w:r>
        <w:rPr>
          <w:rFonts w:ascii="Arial" w:cs="Arial" w:eastAsia="Arial" w:hAnsi="Arial"/>
          <w:sz w:val="19"/>
          <w:szCs w:val="19"/>
          <w:u w:val="single" w:color="auto"/>
          <w:color w:val="0000FF"/>
        </w:rPr>
        <w:t>Governmental Authority</w:t>
      </w:r>
      <w:r>
        <w:rPr>
          <w:rFonts w:ascii="Arial" w:cs="Arial" w:eastAsia="Arial" w:hAnsi="Arial"/>
          <w:sz w:val="19"/>
          <w:szCs w:val="19"/>
          <w:color w:val="FF0000"/>
        </w:rPr>
        <w:t xml:space="preserve"> </w:t>
      </w:r>
      <w:r>
        <w:rPr>
          <w:rFonts w:ascii="Arial" w:cs="Arial" w:eastAsia="Arial" w:hAnsi="Arial"/>
          <w:sz w:val="19"/>
          <w:szCs w:val="19"/>
          <w:color w:val="000000"/>
        </w:rPr>
        <w:t>regarding capital</w:t>
      </w:r>
      <w:r>
        <w:rPr>
          <w:rFonts w:ascii="Arial" w:cs="Arial" w:eastAsia="Arial" w:hAnsi="Arial"/>
          <w:sz w:val="19"/>
          <w:szCs w:val="19"/>
          <w:color w:val="FF0000"/>
        </w:rPr>
        <w:t xml:space="preserve"> </w:t>
      </w:r>
      <w:r>
        <w:rPr>
          <w:rFonts w:ascii="Arial" w:cs="Arial" w:eastAsia="Arial" w:hAnsi="Arial"/>
          <w:sz w:val="19"/>
          <w:szCs w:val="19"/>
          <w:color w:val="000000"/>
        </w:rPr>
        <w:t xml:space="preserve">adequacy </w:t>
      </w:r>
      <w:r>
        <w:rPr>
          <w:rFonts w:ascii="Arial" w:cs="Arial" w:eastAsia="Arial" w:hAnsi="Arial"/>
          <w:sz w:val="19"/>
          <w:szCs w:val="19"/>
          <w:u w:val="single" w:color="auto"/>
          <w:color w:val="0000FF"/>
        </w:rPr>
        <w:t>or liquidity requirements</w:t>
      </w:r>
      <w:r>
        <w:rPr>
          <w:rFonts w:ascii="Arial" w:cs="Arial" w:eastAsia="Arial" w:hAnsi="Arial"/>
          <w:sz w:val="19"/>
          <w:szCs w:val="19"/>
          <w:color w:val="000000"/>
        </w:rPr>
        <w:t xml:space="preserve"> (whether or not having the force of law), </w:t>
      </w:r>
      <w:r>
        <w:rPr>
          <w:rFonts w:ascii="Arial" w:cs="Arial" w:eastAsia="Arial" w:hAnsi="Arial"/>
          <w:sz w:val="19"/>
          <w:szCs w:val="19"/>
          <w:u w:val="single" w:color="auto"/>
          <w:color w:val="0000FF"/>
        </w:rPr>
        <w:t>has</w:t>
      </w:r>
      <w:r>
        <w:rPr>
          <w:rFonts w:ascii="Arial" w:cs="Arial" w:eastAsia="Arial" w:hAnsi="Arial"/>
          <w:sz w:val="19"/>
          <w:szCs w:val="19"/>
          <w:color w:val="000000"/>
        </w:rPr>
        <w:t xml:space="preserve"> the effect of reducing the return on </w:t>
      </w:r>
      <w:r>
        <w:rPr>
          <w:rFonts w:ascii="Arial" w:cs="Arial" w:eastAsia="Arial" w:hAnsi="Arial"/>
          <w:sz w:val="19"/>
          <w:szCs w:val="19"/>
          <w:u w:val="single" w:color="auto"/>
          <w:color w:val="0000FF"/>
        </w:rPr>
        <w:t>Issuing</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Bank's,</w:t>
      </w:r>
      <w:r>
        <w:rPr>
          <w:rFonts w:ascii="Arial" w:cs="Arial" w:eastAsia="Arial" w:hAnsi="Arial"/>
          <w:sz w:val="19"/>
          <w:szCs w:val="19"/>
          <w:color w:val="0000FF"/>
        </w:rPr>
        <w:t xml:space="preserve"> </w:t>
      </w:r>
      <w:r>
        <w:rPr>
          <w:rFonts w:ascii="Arial" w:cs="Arial" w:eastAsia="Arial" w:hAnsi="Arial"/>
          <w:sz w:val="19"/>
          <w:szCs w:val="19"/>
          <w:color w:val="000000"/>
        </w:rPr>
        <w:t>such Lender's</w:t>
      </w:r>
      <w:r>
        <w:rPr>
          <w:rFonts w:ascii="Arial" w:cs="Arial" w:eastAsia="Arial" w:hAnsi="Arial"/>
          <w:sz w:val="19"/>
          <w:szCs w:val="19"/>
          <w:u w:val="single" w:color="auto"/>
          <w:color w:val="0000FF"/>
        </w:rPr>
        <w:t>,</w:t>
      </w:r>
      <w:r>
        <w:rPr>
          <w:rFonts w:ascii="Arial" w:cs="Arial" w:eastAsia="Arial" w:hAnsi="Arial"/>
          <w:sz w:val="19"/>
          <w:szCs w:val="19"/>
          <w:color w:val="0000FF"/>
        </w:rPr>
        <w:t xml:space="preserve"> </w:t>
      </w:r>
      <w:r>
        <w:rPr>
          <w:rFonts w:ascii="Arial" w:cs="Arial" w:eastAsia="Arial" w:hAnsi="Arial"/>
          <w:sz w:val="19"/>
          <w:szCs w:val="19"/>
          <w:color w:val="000000"/>
        </w:rPr>
        <w:t>or such holding</w:t>
      </w:r>
      <w:r>
        <w:rPr>
          <w:rFonts w:ascii="Arial" w:cs="Arial" w:eastAsia="Arial" w:hAnsi="Arial"/>
          <w:sz w:val="19"/>
          <w:szCs w:val="19"/>
          <w:color w:val="0000FF"/>
        </w:rPr>
        <w:t xml:space="preserve"> </w:t>
      </w:r>
      <w:r>
        <w:rPr>
          <w:rFonts w:ascii="Arial" w:cs="Arial" w:eastAsia="Arial" w:hAnsi="Arial"/>
          <w:sz w:val="19"/>
          <w:szCs w:val="19"/>
          <w:color w:val="FF0000"/>
          <w:strike w:val="1"/>
        </w:rPr>
        <w:t>company's</w:t>
      </w:r>
      <w:r>
        <w:rPr>
          <w:rFonts w:ascii="Arial" w:cs="Arial" w:eastAsia="Arial" w:hAnsi="Arial"/>
          <w:sz w:val="19"/>
          <w:szCs w:val="19"/>
          <w:u w:val="single" w:color="auto"/>
          <w:color w:val="0000FF"/>
        </w:rPr>
        <w:t>companies'</w:t>
      </w:r>
      <w:r>
        <w:rPr>
          <w:rFonts w:ascii="Arial" w:cs="Arial" w:eastAsia="Arial" w:hAnsi="Arial"/>
          <w:sz w:val="19"/>
          <w:szCs w:val="19"/>
          <w:color w:val="0000FF"/>
        </w:rPr>
        <w:t xml:space="preserve"> </w:t>
      </w:r>
      <w:r>
        <w:rPr>
          <w:rFonts w:ascii="Arial" w:cs="Arial" w:eastAsia="Arial" w:hAnsi="Arial"/>
          <w:sz w:val="19"/>
          <w:szCs w:val="19"/>
          <w:color w:val="000000"/>
        </w:rPr>
        <w:t>capital</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or liquidity</w:t>
      </w:r>
      <w:r>
        <w:rPr>
          <w:rFonts w:ascii="Arial" w:cs="Arial" w:eastAsia="Arial" w:hAnsi="Arial"/>
          <w:sz w:val="19"/>
          <w:szCs w:val="19"/>
          <w:color w:val="0000FF"/>
        </w:rPr>
        <w:t xml:space="preserve"> </w:t>
      </w:r>
      <w:r>
        <w:rPr>
          <w:rFonts w:ascii="Arial" w:cs="Arial" w:eastAsia="Arial" w:hAnsi="Arial"/>
          <w:sz w:val="19"/>
          <w:szCs w:val="19"/>
          <w:color w:val="000000"/>
        </w:rPr>
        <w:t>as a consequence of</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Issuing Bank's or</w:t>
      </w:r>
      <w:r>
        <w:rPr>
          <w:rFonts w:ascii="Arial" w:cs="Arial" w:eastAsia="Arial" w:hAnsi="Arial"/>
          <w:sz w:val="19"/>
          <w:szCs w:val="19"/>
          <w:color w:val="0000FF"/>
        </w:rPr>
        <w:t xml:space="preserve"> </w:t>
      </w:r>
      <w:r>
        <w:rPr>
          <w:rFonts w:ascii="Arial" w:cs="Arial" w:eastAsia="Arial" w:hAnsi="Arial"/>
          <w:sz w:val="19"/>
          <w:szCs w:val="19"/>
          <w:color w:val="000000"/>
        </w:rPr>
        <w:t>such</w:t>
      </w:r>
      <w:r>
        <w:rPr>
          <w:rFonts w:ascii="Arial" w:cs="Arial" w:eastAsia="Arial" w:hAnsi="Arial"/>
          <w:sz w:val="19"/>
          <w:szCs w:val="19"/>
          <w:color w:val="0000FF"/>
        </w:rPr>
        <w:t xml:space="preserve"> </w:t>
      </w:r>
      <w:r>
        <w:rPr>
          <w:rFonts w:ascii="Arial" w:cs="Arial" w:eastAsia="Arial" w:hAnsi="Arial"/>
          <w:sz w:val="19"/>
          <w:szCs w:val="19"/>
          <w:color w:val="000000"/>
        </w:rPr>
        <w:t xml:space="preserve">Lender's </w:t>
      </w:r>
      <w:r>
        <w:rPr>
          <w:rFonts w:ascii="Arial" w:cs="Arial" w:eastAsia="Arial" w:hAnsi="Arial"/>
          <w:sz w:val="19"/>
          <w:szCs w:val="19"/>
          <w:color w:val="FF0000"/>
          <w:strike w:val="1"/>
        </w:rPr>
        <w:t>Commitments</w:t>
      </w:r>
      <w:r>
        <w:rPr>
          <w:rFonts w:ascii="Arial" w:cs="Arial" w:eastAsia="Arial" w:hAnsi="Arial"/>
          <w:sz w:val="19"/>
          <w:szCs w:val="19"/>
          <w:u w:val="single" w:color="auto"/>
          <w:color w:val="0000FF"/>
        </w:rPr>
        <w:t>commitments, Loans, participations or other obligations</w:t>
      </w:r>
      <w:r>
        <w:rPr>
          <w:rFonts w:ascii="Arial" w:cs="Arial" w:eastAsia="Arial" w:hAnsi="Arial"/>
          <w:sz w:val="19"/>
          <w:szCs w:val="19"/>
          <w:color w:val="000000"/>
        </w:rPr>
        <w:t xml:space="preserve"> hereunder to a level below that which </w:t>
      </w:r>
      <w:r>
        <w:rPr>
          <w:rFonts w:ascii="Arial" w:cs="Arial" w:eastAsia="Arial" w:hAnsi="Arial"/>
          <w:sz w:val="19"/>
          <w:szCs w:val="19"/>
          <w:u w:val="single" w:color="auto"/>
          <w:color w:val="0000FF"/>
        </w:rPr>
        <w:t>Issuing</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Bank,</w:t>
      </w:r>
      <w:r>
        <w:rPr>
          <w:rFonts w:ascii="Arial" w:cs="Arial" w:eastAsia="Arial" w:hAnsi="Arial"/>
          <w:sz w:val="19"/>
          <w:szCs w:val="19"/>
          <w:color w:val="0000FF"/>
        </w:rPr>
        <w:t xml:space="preserve"> </w:t>
      </w:r>
      <w:r>
        <w:rPr>
          <w:rFonts w:ascii="Arial" w:cs="Arial" w:eastAsia="Arial" w:hAnsi="Arial"/>
          <w:sz w:val="19"/>
          <w:szCs w:val="19"/>
          <w:color w:val="000000"/>
        </w:rPr>
        <w:t>such Lender</w:t>
      </w:r>
      <w:r>
        <w:rPr>
          <w:rFonts w:ascii="Arial" w:cs="Arial" w:eastAsia="Arial" w:hAnsi="Arial"/>
          <w:sz w:val="19"/>
          <w:szCs w:val="19"/>
          <w:u w:val="single" w:color="auto"/>
          <w:color w:val="0000FF"/>
        </w:rPr>
        <w:t>,</w:t>
      </w:r>
      <w:r>
        <w:rPr>
          <w:rFonts w:ascii="Arial" w:cs="Arial" w:eastAsia="Arial" w:hAnsi="Arial"/>
          <w:sz w:val="19"/>
          <w:szCs w:val="19"/>
          <w:color w:val="0000FF"/>
        </w:rPr>
        <w:t xml:space="preserve"> </w:t>
      </w:r>
      <w:r>
        <w:rPr>
          <w:rFonts w:ascii="Arial" w:cs="Arial" w:eastAsia="Arial" w:hAnsi="Arial"/>
          <w:sz w:val="19"/>
          <w:szCs w:val="19"/>
          <w:color w:val="000000"/>
        </w:rPr>
        <w:t>or such holding</w:t>
      </w:r>
      <w:r>
        <w:rPr>
          <w:rFonts w:ascii="Arial" w:cs="Arial" w:eastAsia="Arial" w:hAnsi="Arial"/>
          <w:sz w:val="19"/>
          <w:szCs w:val="19"/>
          <w:color w:val="0000FF"/>
        </w:rPr>
        <w:t xml:space="preserve"> </w:t>
      </w:r>
      <w:r>
        <w:rPr>
          <w:rFonts w:ascii="Arial" w:cs="Arial" w:eastAsia="Arial" w:hAnsi="Arial"/>
          <w:sz w:val="19"/>
          <w:szCs w:val="19"/>
          <w:color w:val="FF0000"/>
          <w:strike w:val="1"/>
        </w:rPr>
        <w:t>company</w:t>
      </w:r>
      <w:r>
        <w:rPr>
          <w:rFonts w:ascii="Arial" w:cs="Arial" w:eastAsia="Arial" w:hAnsi="Arial"/>
          <w:sz w:val="19"/>
          <w:szCs w:val="19"/>
          <w:u w:val="single" w:color="auto"/>
          <w:color w:val="0000FF"/>
        </w:rPr>
        <w:t>companies</w:t>
      </w:r>
      <w:r>
        <w:rPr>
          <w:rFonts w:ascii="Arial" w:cs="Arial" w:eastAsia="Arial" w:hAnsi="Arial"/>
          <w:sz w:val="19"/>
          <w:szCs w:val="19"/>
          <w:color w:val="0000FF"/>
        </w:rPr>
        <w:t xml:space="preserve"> </w:t>
      </w:r>
      <w:r>
        <w:rPr>
          <w:rFonts w:ascii="Arial" w:cs="Arial" w:eastAsia="Arial" w:hAnsi="Arial"/>
          <w:sz w:val="19"/>
          <w:szCs w:val="19"/>
          <w:color w:val="000000"/>
        </w:rPr>
        <w:t>could have achieved but for such</w:t>
      </w:r>
      <w:r>
        <w:rPr>
          <w:rFonts w:ascii="Arial" w:cs="Arial" w:eastAsia="Arial" w:hAnsi="Arial"/>
          <w:sz w:val="19"/>
          <w:szCs w:val="19"/>
          <w:color w:val="0000FF"/>
        </w:rPr>
        <w:t xml:space="preserve"> </w:t>
      </w:r>
      <w:r>
        <w:rPr>
          <w:rFonts w:ascii="Arial" w:cs="Arial" w:eastAsia="Arial" w:hAnsi="Arial"/>
          <w:sz w:val="19"/>
          <w:szCs w:val="19"/>
          <w:color w:val="FF0000"/>
          <w:strike w:val="1"/>
        </w:rPr>
        <w:t>adoption, change,</w:t>
      </w:r>
      <w:r>
        <w:rPr>
          <w:rFonts w:ascii="Arial" w:cs="Arial" w:eastAsia="Arial" w:hAnsi="Arial"/>
          <w:sz w:val="19"/>
          <w:szCs w:val="19"/>
          <w:u w:val="single" w:color="auto"/>
          <w:color w:val="0000FF"/>
        </w:rPr>
        <w:t>Change in Law</w:t>
      </w:r>
      <w:r>
        <w:rPr>
          <w:rFonts w:ascii="Arial" w:cs="Arial" w:eastAsia="Arial" w:hAnsi="Arial"/>
          <w:sz w:val="19"/>
          <w:szCs w:val="19"/>
          <w:color w:val="0000FF"/>
        </w:rPr>
        <w:t xml:space="preserve"> </w:t>
      </w:r>
      <w:r>
        <w:rPr>
          <w:rFonts w:ascii="Arial" w:cs="Arial" w:eastAsia="Arial" w:hAnsi="Arial"/>
          <w:sz w:val="19"/>
          <w:szCs w:val="19"/>
          <w:color w:val="000000"/>
        </w:rPr>
        <w:t>or</w:t>
      </w:r>
      <w:r>
        <w:rPr>
          <w:rFonts w:ascii="Arial" w:cs="Arial" w:eastAsia="Arial" w:hAnsi="Arial"/>
          <w:sz w:val="19"/>
          <w:szCs w:val="19"/>
          <w:color w:val="0000FF"/>
        </w:rPr>
        <w:t xml:space="preserve"> </w:t>
      </w:r>
      <w:r>
        <w:rPr>
          <w:rFonts w:ascii="Arial" w:cs="Arial" w:eastAsia="Arial" w:hAnsi="Arial"/>
          <w:sz w:val="19"/>
          <w:szCs w:val="19"/>
          <w:color w:val="000000"/>
        </w:rPr>
        <w:t xml:space="preserve">compliance (taking into consideration </w:t>
      </w:r>
      <w:r>
        <w:rPr>
          <w:rFonts w:ascii="Arial" w:cs="Arial" w:eastAsia="Arial" w:hAnsi="Arial"/>
          <w:sz w:val="19"/>
          <w:szCs w:val="19"/>
          <w:u w:val="single" w:color="auto"/>
          <w:color w:val="0000FF"/>
        </w:rPr>
        <w:t>Issuing Bank's,</w:t>
      </w:r>
      <w:r>
        <w:rPr>
          <w:rFonts w:ascii="Arial" w:cs="Arial" w:eastAsia="Arial" w:hAnsi="Arial"/>
          <w:sz w:val="19"/>
          <w:szCs w:val="19"/>
          <w:color w:val="000000"/>
        </w:rPr>
        <w:t xml:space="preserve"> such Lender's</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or such holding </w:t>
      </w:r>
      <w:r>
        <w:rPr>
          <w:rFonts w:ascii="Arial" w:cs="Arial" w:eastAsia="Arial" w:hAnsi="Arial"/>
          <w:sz w:val="19"/>
          <w:szCs w:val="19"/>
          <w:color w:val="FF0000"/>
          <w:strike w:val="1"/>
        </w:rPr>
        <w:t>company's</w:t>
      </w:r>
      <w:r>
        <w:rPr>
          <w:rFonts w:ascii="Arial" w:cs="Arial" w:eastAsia="Arial" w:hAnsi="Arial"/>
          <w:sz w:val="19"/>
          <w:szCs w:val="19"/>
          <w:u w:val="single" w:color="auto"/>
          <w:color w:val="0000FF"/>
        </w:rPr>
        <w:t>companies'</w:t>
      </w:r>
      <w:r>
        <w:rPr>
          <w:rFonts w:ascii="Arial" w:cs="Arial" w:eastAsia="Arial" w:hAnsi="Arial"/>
          <w:sz w:val="19"/>
          <w:szCs w:val="19"/>
          <w:color w:val="000000"/>
        </w:rPr>
        <w:t xml:space="preserve"> then existing policies with respect to capital adequacy </w:t>
      </w:r>
      <w:r>
        <w:rPr>
          <w:rFonts w:ascii="Arial" w:cs="Arial" w:eastAsia="Arial" w:hAnsi="Arial"/>
          <w:sz w:val="19"/>
          <w:szCs w:val="19"/>
          <w:u w:val="single" w:color="auto"/>
          <w:color w:val="0000FF"/>
        </w:rPr>
        <w:t>or liquidity requirements</w:t>
      </w:r>
      <w:r>
        <w:rPr>
          <w:rFonts w:ascii="Arial" w:cs="Arial" w:eastAsia="Arial" w:hAnsi="Arial"/>
          <w:sz w:val="19"/>
          <w:szCs w:val="19"/>
          <w:color w:val="000000"/>
        </w:rPr>
        <w:t xml:space="preserve"> and assuming the full utilization of such entity's capital) by any amount deemed by </w:t>
      </w:r>
      <w:r>
        <w:rPr>
          <w:rFonts w:ascii="Arial" w:cs="Arial" w:eastAsia="Arial" w:hAnsi="Arial"/>
          <w:sz w:val="19"/>
          <w:szCs w:val="19"/>
          <w:u w:val="single" w:color="auto"/>
          <w:color w:val="0000FF"/>
        </w:rPr>
        <w:t>Issuing Bank or</w:t>
      </w:r>
      <w:r>
        <w:rPr>
          <w:rFonts w:ascii="Arial" w:cs="Arial" w:eastAsia="Arial" w:hAnsi="Arial"/>
          <w:sz w:val="19"/>
          <w:szCs w:val="19"/>
          <w:color w:val="000000"/>
        </w:rPr>
        <w:t xml:space="preserve"> such Lender to be material </w:t>
      </w:r>
      <w:r>
        <w:rPr>
          <w:rFonts w:ascii="Arial" w:cs="Arial" w:eastAsia="Arial" w:hAnsi="Arial"/>
          <w:sz w:val="19"/>
          <w:szCs w:val="19"/>
          <w:u w:val="single" w:color="auto"/>
          <w:color w:val="0000FF"/>
        </w:rPr>
        <w:t>(</w:t>
      </w:r>
      <w:r>
        <w:rPr>
          <w:rFonts w:ascii="Arial" w:cs="Arial" w:eastAsia="Arial" w:hAnsi="Arial"/>
          <w:sz w:val="19"/>
          <w:szCs w:val="19"/>
          <w:color w:val="000000"/>
        </w:rPr>
        <w:t>in the exercise of its Permitted Discretion</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then </w:t>
      </w:r>
      <w:r>
        <w:rPr>
          <w:rFonts w:ascii="Arial" w:cs="Arial" w:eastAsia="Arial" w:hAnsi="Arial"/>
          <w:sz w:val="19"/>
          <w:szCs w:val="19"/>
          <w:u w:val="single" w:color="auto"/>
          <w:color w:val="0000FF"/>
        </w:rPr>
        <w:t>Issuing Bank or</w:t>
      </w:r>
      <w:r>
        <w:rPr>
          <w:rFonts w:ascii="Arial" w:cs="Arial" w:eastAsia="Arial" w:hAnsi="Arial"/>
          <w:sz w:val="19"/>
          <w:szCs w:val="19"/>
          <w:color w:val="000000"/>
        </w:rPr>
        <w:t xml:space="preserve"> such Lender may notify </w:t>
      </w:r>
      <w:r>
        <w:rPr>
          <w:rFonts w:ascii="Arial" w:cs="Arial" w:eastAsia="Arial" w:hAnsi="Arial"/>
          <w:sz w:val="19"/>
          <w:szCs w:val="19"/>
          <w:color w:val="FF0000"/>
          <w:strike w:val="1"/>
        </w:rPr>
        <w:t>Administrative Borrower</w:t>
      </w:r>
      <w:r>
        <w:rPr>
          <w:rFonts w:ascii="Arial" w:cs="Arial" w:eastAsia="Arial" w:hAnsi="Arial"/>
          <w:sz w:val="19"/>
          <w:szCs w:val="19"/>
          <w:u w:val="single" w:color="auto"/>
          <w:color w:val="0000FF"/>
        </w:rPr>
        <w:t>Borrowers</w:t>
      </w:r>
      <w:r>
        <w:rPr>
          <w:rFonts w:ascii="Arial" w:cs="Arial" w:eastAsia="Arial" w:hAnsi="Arial"/>
          <w:sz w:val="19"/>
          <w:szCs w:val="19"/>
          <w:color w:val="000000"/>
        </w:rPr>
        <w:t xml:space="preserve"> and Agent thereof. Following receipt of such notice, Borrowers agree to pay </w:t>
      </w:r>
      <w:r>
        <w:rPr>
          <w:rFonts w:ascii="Arial" w:cs="Arial" w:eastAsia="Arial" w:hAnsi="Arial"/>
          <w:sz w:val="19"/>
          <w:szCs w:val="19"/>
          <w:u w:val="single" w:color="auto"/>
          <w:color w:val="0000FF"/>
        </w:rPr>
        <w:t>Issuing Bank or</w:t>
      </w:r>
      <w:r>
        <w:rPr>
          <w:rFonts w:ascii="Arial" w:cs="Arial" w:eastAsia="Arial" w:hAnsi="Arial"/>
          <w:sz w:val="19"/>
          <w:szCs w:val="19"/>
          <w:color w:val="000000"/>
        </w:rPr>
        <w:t xml:space="preserve"> such Lender on demand the amount of such reduction of return of capital as and when such reduction is determined, payable within 90 days after presentation by </w:t>
      </w:r>
      <w:r>
        <w:rPr>
          <w:rFonts w:ascii="Arial" w:cs="Arial" w:eastAsia="Arial" w:hAnsi="Arial"/>
          <w:sz w:val="19"/>
          <w:szCs w:val="19"/>
          <w:u w:val="single" w:color="auto"/>
          <w:color w:val="0000FF"/>
        </w:rPr>
        <w:t>Issuing Bank or</w:t>
      </w:r>
      <w:r>
        <w:rPr>
          <w:rFonts w:ascii="Arial" w:cs="Arial" w:eastAsia="Arial" w:hAnsi="Arial"/>
          <w:sz w:val="19"/>
          <w:szCs w:val="19"/>
          <w:color w:val="000000"/>
        </w:rPr>
        <w:t xml:space="preserve"> such Lender of a statement in the amount and setting forth in reasonable detail </w:t>
      </w:r>
      <w:r>
        <w:rPr>
          <w:rFonts w:ascii="Arial" w:cs="Arial" w:eastAsia="Arial" w:hAnsi="Arial"/>
          <w:sz w:val="19"/>
          <w:szCs w:val="19"/>
          <w:u w:val="single" w:color="auto"/>
          <w:color w:val="0000FF"/>
        </w:rPr>
        <w:t>Issuing Bank's or</w:t>
      </w:r>
      <w:r>
        <w:rPr>
          <w:rFonts w:ascii="Arial" w:cs="Arial" w:eastAsia="Arial" w:hAnsi="Arial"/>
          <w:sz w:val="19"/>
          <w:szCs w:val="19"/>
          <w:color w:val="000000"/>
        </w:rPr>
        <w:t xml:space="preserve"> such Lender's calculation thereof and the assumptions upon which such calculation was based (which statement shall be deemed true and correct absent manifest error). In determining such amount, </w:t>
      </w:r>
      <w:r>
        <w:rPr>
          <w:rFonts w:ascii="Arial" w:cs="Arial" w:eastAsia="Arial" w:hAnsi="Arial"/>
          <w:sz w:val="19"/>
          <w:szCs w:val="19"/>
          <w:u w:val="single" w:color="auto"/>
          <w:color w:val="0000FF"/>
        </w:rPr>
        <w:t>Issuing Bank</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or</w:t>
      </w:r>
      <w:r>
        <w:rPr>
          <w:rFonts w:ascii="Arial" w:cs="Arial" w:eastAsia="Arial" w:hAnsi="Arial"/>
          <w:sz w:val="19"/>
          <w:szCs w:val="19"/>
          <w:color w:val="0000FF"/>
        </w:rPr>
        <w:t xml:space="preserve"> </w:t>
      </w:r>
      <w:r>
        <w:rPr>
          <w:rFonts w:ascii="Arial" w:cs="Arial" w:eastAsia="Arial" w:hAnsi="Arial"/>
          <w:sz w:val="19"/>
          <w:szCs w:val="19"/>
          <w:color w:val="000000"/>
        </w:rPr>
        <w:t>such Lender may use any reasonable averaging and attribution methods.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Failure or delay on the part of Issuing Bank or any</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Lender to demand compensation pursuant to this Section shall not constitute a waiver of Issuing Bank's or such Lender's right to demand such compensation; provided, that Borrowers shall not be required to compensate Issuing Bank or a Lender pursuant to this Section for any reductions in return incurred more than 90 days prior to the date that Issuing Bank or such Lender notifies Borrowers of such Change in Law giving rise to such reductions and of such Lender's intention to claim compensation therefor; provided further, that if such claim arises by reason of the Change in Law that is retroactive, then the 90-day period referred to above shall be extended to include the period of retroactive effect thereof.</w:t>
      </w:r>
    </w:p>
    <w:p>
      <w:pPr>
        <w:spacing w:after="0" w:line="200" w:lineRule="exact"/>
        <w:rPr>
          <w:rFonts w:ascii="Arial" w:cs="Arial" w:eastAsia="Arial" w:hAnsi="Arial"/>
          <w:sz w:val="19"/>
          <w:szCs w:val="19"/>
          <w:u w:val="single" w:color="auto"/>
          <w:color w:val="0000FF"/>
        </w:rPr>
      </w:pPr>
    </w:p>
    <w:p>
      <w:pPr>
        <w:spacing w:after="0" w:line="215" w:lineRule="exact"/>
        <w:rPr>
          <w:rFonts w:ascii="Arial" w:cs="Arial" w:eastAsia="Arial" w:hAnsi="Arial"/>
          <w:sz w:val="19"/>
          <w:szCs w:val="19"/>
          <w:u w:val="single" w:color="auto"/>
          <w:color w:val="0000FF"/>
        </w:rPr>
      </w:pPr>
    </w:p>
    <w:p>
      <w:pPr>
        <w:jc w:val="both"/>
        <w:ind w:firstLine="1505"/>
        <w:spacing w:after="0"/>
        <w:tabs>
          <w:tab w:leader="none" w:pos="2036" w:val="left"/>
        </w:tabs>
        <w:numPr>
          <w:ilvl w:val="0"/>
          <w:numId w:val="65"/>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If Issuing Bank or any Lender requests additional or increased costs referred to in Section 2.12(l) or Section 2.13(d)(i) or amounts under Section 2.14(a) or sends a notice under Section 2.13(d)(ii) relative to changed circumstances (such Issuing Bank or Lender, an "Affected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8" w:name="page129"/>
    <w:bookmarkEnd w:id="128"/>
    <w:p>
      <w:pPr>
        <w:jc w:val="both"/>
        <w:spacing w:after="0" w:line="269" w:lineRule="auto"/>
        <w:rPr>
          <w:sz w:val="20"/>
          <w:szCs w:val="20"/>
          <w:color w:val="auto"/>
        </w:rPr>
      </w:pPr>
      <w:r>
        <w:rPr>
          <w:rFonts w:ascii="Arial" w:cs="Arial" w:eastAsia="Arial" w:hAnsi="Arial"/>
          <w:sz w:val="19"/>
          <w:szCs w:val="19"/>
          <w:u w:val="single" w:color="auto"/>
          <w:color w:val="0000FF"/>
        </w:rPr>
        <w:t>Lender"), then, at the request of Administrative Borrower, such Affected Lender shall use reasonable efforts to promptly designate a different one of its lending offices or to assign its rights and obligations hereunder to another of its offices or branches, if (i) in the reasonable judgment of such Affected Lender, such designation or assignment would eliminate or reduce amounts payable pursuant to Section 2.12(l), Section 2.13(d)(i) or Section 2.14(a), as applicable, or would eliminate the illegality or impracticality of funding or maintaining SOFR Loans (or Base Rate Loans determined with reference to Adjusted Term SOFR), and (ii) in the reasonable judgment of such Affected Lender, such designation or assignment would not subject it to any material unreimbursed cost or expense and would not otherwise be materially disadvantageous to it. Borrowers agree to pay all reasonable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Borrowers' obligation to pay any future amounts to such Affected Lender pursuant to Section 2.12(l), Section 2.13(d)(i) or Section 2.14(a), as applicable, or to enable Borrowers to obtain SOFR Loans (or Base Rate Loans determined with reference to Adjusted Term SOFR), then Borrowers (without prejudice to any amounts then due to such Affected Lender under Section 2.12(l), Section 2.13(d)(i) or Section 2.14(a), as applicable) may, unless prior to the effective date of any such assignment the Affected Lender withdraws its request for such additional amounts under Section 2.12(l), Section 2.13(d)(i) or Section 2.14(a), as applicable, or indicates that it is no longer unlawful or impractical to fund or maintain SOFR Loans (or Base Rate Loans determined with reference to Adjusted Term SOFR), may designate a different Issuing Bank or substitute a Lender or prospective Lender, in each case, reasonably acceptable to Agent to purchase the Obligations owed to such Affected Lender and such Affected Lender's commitments hereunder (a "Replacement Lender"), and if such Replacement Lender agrees to such purchase, such Affected Lender shall assign to the Replacement Lender its Obligations and commitments, and upon such purchase by the Replacement Lender, which such Replacement Lender shall be deemed to be "Issuing Bank" or a "Lender" (as the case may be) for purposes of this Agreement and such Affected Lender shall cease to be "Issuing Bank" or a "Lender" (as the case may be) for purposes of this Agreement.</w:t>
      </w:r>
    </w:p>
    <w:p>
      <w:pPr>
        <w:spacing w:after="0" w:line="200" w:lineRule="exact"/>
        <w:rPr>
          <w:sz w:val="20"/>
          <w:szCs w:val="20"/>
          <w:color w:val="auto"/>
        </w:rPr>
      </w:pPr>
    </w:p>
    <w:p>
      <w:pPr>
        <w:spacing w:after="0" w:line="219" w:lineRule="exact"/>
        <w:rPr>
          <w:sz w:val="20"/>
          <w:szCs w:val="20"/>
          <w:color w:val="auto"/>
        </w:rPr>
      </w:pPr>
    </w:p>
    <w:p>
      <w:pPr>
        <w:jc w:val="both"/>
        <w:ind w:firstLine="1505"/>
        <w:spacing w:after="0" w:line="234" w:lineRule="auto"/>
        <w:tabs>
          <w:tab w:leader="none" w:pos="2036" w:val="left"/>
        </w:tabs>
        <w:numPr>
          <w:ilvl w:val="0"/>
          <w:numId w:val="66"/>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Notwithstanding anything herein to the contrary, the protection of Sections 2.12(l), 2.13(d), and 2.14 shall be available to Issuing Bank and each Lender (as applicable) regardless of any possible contention of the invalidity or inapplicability of the law, rule, regulation, judicial ruling, judgment, guideline, treaty or other change or condition which shall have occurred or been imposed, so long as it shall be customary for issuing banks or lenders affected thereby to comply therewith. Notwithstanding any other provision herein, neither Issuing Bank nor any Lender shall demand compensation pursuant to this Section 2.14 if it shall not at the time be the general policy or practice of Issuing Bank or such Lender (as the case may be) to demand such compensation in similar circumstances under comparable provisions of other credit agreements, if any.</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Joint and Several Liability of Borrowers</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Each of Borrowers is accepting joint and several liability hereunder and under the other Loan Documents in consideration of the financial accommodations to be provided by the Agent and the Lenders under this Agreement, for the mutual benefit, directly and indirectly, of</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9" w:name="page130"/>
    <w:bookmarkEnd w:id="129"/>
    <w:p>
      <w:pPr>
        <w:jc w:val="both"/>
        <w:spacing w:after="0" w:line="250" w:lineRule="auto"/>
        <w:rPr>
          <w:sz w:val="20"/>
          <w:szCs w:val="20"/>
          <w:color w:val="auto"/>
        </w:rPr>
      </w:pPr>
      <w:r>
        <w:rPr>
          <w:rFonts w:ascii="Arial" w:cs="Arial" w:eastAsia="Arial" w:hAnsi="Arial"/>
          <w:sz w:val="22"/>
          <w:szCs w:val="22"/>
          <w:color w:val="auto"/>
        </w:rPr>
        <w:t>each of Borrowers and in consideration of the undertakings of the other Borrowers to accept joint and several liability for the Obligations.</w:t>
      </w:r>
    </w:p>
    <w:p>
      <w:pPr>
        <w:spacing w:after="0" w:line="175"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Each of Borrowers, jointly and severally, hereby irrevocably and unconditionally accepts, not merely as a surety but also as a co-debtor, joint and several liability with the other Borrowers, with respect to the payment and performance of all of the Obligations (including, without limitation, any Obligations arising under this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 it being the intention of the parties hereto that all the Obligations shall be the joint and several obligations of each Person composing Borrowers without preferences or distinction among them.</w:t>
      </w:r>
    </w:p>
    <w:p>
      <w:pPr>
        <w:spacing w:after="0" w:line="187"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If and to the extent that any of Borrowers shall fail to make any payment with respect to any of the Obligations as and when due or to perform any of the Obligations in accordance with the terms thereof, then in each such event the other Persons composing Borrowers will make such payment with respect to, or perform, such Obligation.</w:t>
      </w:r>
    </w:p>
    <w:p>
      <w:pPr>
        <w:spacing w:after="0" w:line="169"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 xml:space="preserve">The Obligations of each Person composing Borrowers under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constitute the absolute and unconditional, full recourse Obligations of each Person composing Borrowers enforceable against each such Borrower, irrespective of the validity, regularity or enforceability of this Agreement or any other circumstances whatsoever.</w:t>
      </w:r>
    </w:p>
    <w:p>
      <w:pPr>
        <w:spacing w:after="0" w:line="134"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Except as otherwise expressly provided in this Agreement, each Person composing Borrowers hereby waives notice of acceptance of its joint and several liability, notice of any Advances or Letters of Credit issued under or pursuant to this Agreement, notice of the occurrence of any Default, Event of Default, or of any demand for any payment under this Agreement, notice of any action at any time taken or omitted by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Person composing Borrowers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Person composing Borrowers in the performance or satisfaction of any term, covenant, condition or provision of this Agreement, any and all other indulgences whatsoever by Agent or Lenders in respect of any of the Obligations, and the taking, addition, substitution or release, in whole or in part, at any time or times, of any security for any of the Obligations or the addition, substitution or release, in whole or in part, of any Person composing Borrowers. Without limiting the generality of the foregoing, each of Borrowers assents to any other action or delay in acting or failure to act on the part of any Agent or Lender with respect to the failure by any Person composing Borrowers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afford grounds for terminating, discharging or relieving any Person composing Borrowers, in whole or in part, from any of its Obligations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it being the intention of each Person composing Borrowers that, so long as any of the Obligations hereunder remain unsatisfied, the Obligations of such Person composing Borrowers under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not be discharged except by performance and then only to the extent of such performance. The Obligations of each Person composing Borrowers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0" w:name="page131"/>
    <w:bookmarkEnd w:id="130"/>
    <w:p>
      <w:pPr>
        <w:jc w:val="both"/>
        <w:spacing w:after="0" w:line="236" w:lineRule="auto"/>
        <w:rPr>
          <w:sz w:val="20"/>
          <w:szCs w:val="20"/>
          <w:color w:val="auto"/>
        </w:rPr>
      </w:pPr>
      <w:r>
        <w:rPr>
          <w:rFonts w:ascii="Arial" w:cs="Arial" w:eastAsia="Arial" w:hAnsi="Arial"/>
          <w:sz w:val="22"/>
          <w:szCs w:val="22"/>
          <w:color w:val="auto"/>
        </w:rPr>
        <w:t xml:space="preserve">under this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shall not be diminished or rendered unenforceable by any winding up, reorganization, arrangement, liquidation, reconstruction or similar proceeding with respect to any Person composing Borrowers or any Agent or Lender. The joint and several liability of the Persons composing Borrowers hereunder shall continue in full force and effect notwithstanding any absorption, merger, amalgamation or any other change whatsoever in the name, constitution or place of formation of any of the Persons composing Borrowers or any Agent or Lender.</w:t>
      </w:r>
    </w:p>
    <w:p>
      <w:pPr>
        <w:spacing w:after="0" w:line="187"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Each Person composing Borrowers represents and warrants to Agent and Lenders that such Borrower is currently informed of the financial condition of Borrowers and of all other circumstances which a diligent inquiry would reveal and which bear upon the risk of nonpayment of the Obligations. Each Person composing Borrowers further represents and warrants to Agent and Lenders that such Borrower has read and understands the terms and conditions of the Loan Documents. Each Person composing Borrowers hereby covenants that such Borrower will continue to keep informed of Borrowers' financial condition, the financial condition of other guarantors, if any, and of all other circumstances which bear upon the risk of nonpayment or nonperformance of the Obligations.</w:t>
      </w:r>
    </w:p>
    <w:p>
      <w:pPr>
        <w:spacing w:after="0" w:line="184"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are made for the benefit of the Agent, the Lenders and their respective successors and assigns, and may be enforced by it or them from time to time against any or all of the Persons composing Borrowers as often as occasion therefor may arise and without requirement on the part of any such Agent, Lender, successor or assign first to marshal any of its or their claims or to exercise any of its or their rights against any of the other Persons composing Borrowers or to exhaust any remedies available to it or them against any of the other Persons composing Borrowers or to resort to any other source or means of obtaining payment of any of the Obligations hereunder or to elect any other remedy. The provisions of this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any Agent or Lender upon the insolvency, bankruptcy or reorganization of any of the Persons composing Borrowers, or otherwise, the provisions of this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will forthwith be reinstated in effect, as though such payment had not been made.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CONDITIONS; TERM OF AGREEMENT.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intentionally omitted</w:t>
      </w:r>
      <w:r>
        <w:rPr>
          <w:rFonts w:ascii="Arial" w:cs="Arial" w:eastAsia="Arial" w:hAnsi="Arial"/>
          <w:sz w:val="22"/>
          <w:szCs w:val="22"/>
          <w:i w:val="1"/>
          <w:iCs w:val="1"/>
          <w:u w:val="single" w:color="auto"/>
          <w:color w:val="0000FF"/>
        </w:rPr>
        <w:t>Intentionally Omitted</w:t>
      </w:r>
      <w:r>
        <w:rPr>
          <w:rFonts w:ascii="Arial" w:cs="Arial" w:eastAsia="Arial" w:hAnsi="Arial"/>
          <w:sz w:val="22"/>
          <w:szCs w:val="22"/>
          <w:color w:val="auto"/>
        </w:rPr>
        <w:t>].</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Conditions Precedent to Restatement Effective Date</w:t>
      </w:r>
    </w:p>
    <w:p>
      <w:pPr>
        <w:spacing w:after="0" w:line="212" w:lineRule="exact"/>
        <w:rPr>
          <w:sz w:val="20"/>
          <w:szCs w:val="20"/>
          <w:color w:val="auto"/>
        </w:rPr>
      </w:pPr>
    </w:p>
    <w:p>
      <w:pPr>
        <w:ind w:firstLine="8"/>
        <w:spacing w:after="0" w:line="250" w:lineRule="auto"/>
        <w:tabs>
          <w:tab w:leader="none" w:pos="167"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effectiveness of this Agreement is subject to the fulfillment, in a manner satisfactory to the Agent, of each of the following conditions precedent:</w:t>
      </w:r>
    </w:p>
    <w:p>
      <w:pPr>
        <w:spacing w:after="0" w:line="169" w:lineRule="exact"/>
        <w:rPr>
          <w:sz w:val="20"/>
          <w:szCs w:val="20"/>
          <w:color w:val="auto"/>
        </w:rPr>
      </w:pPr>
    </w:p>
    <w:p>
      <w:pPr>
        <w:jc w:val="both"/>
        <w:ind w:firstLine="1497"/>
        <w:spacing w:after="0" w:line="251" w:lineRule="auto"/>
        <w:rPr>
          <w:sz w:val="20"/>
          <w:szCs w:val="20"/>
          <w:color w:val="auto"/>
        </w:rPr>
      </w:pPr>
      <w:r>
        <w:rPr>
          <w:rFonts w:ascii="Arial" w:cs="Arial" w:eastAsia="Arial" w:hAnsi="Arial"/>
          <w:sz w:val="21"/>
          <w:szCs w:val="21"/>
          <w:b w:val="1"/>
          <w:bCs w:val="1"/>
          <w:color w:val="auto"/>
        </w:rPr>
        <w:t>Representations and Warranties; No Event of Default</w:t>
      </w:r>
      <w:r>
        <w:rPr>
          <w:rFonts w:ascii="Arial" w:cs="Arial" w:eastAsia="Arial" w:hAnsi="Arial"/>
          <w:sz w:val="21"/>
          <w:szCs w:val="21"/>
          <w:color w:val="auto"/>
        </w:rPr>
        <w:t>. The representations and warranties contained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herein and in each other Loan Document and certificate or other writing delivered to the Agent or any Lender pursuant hereto on or prior to the Restatement Effective Date shall be correct in all material respects on and as of the Restatement Effective Date as though made on and as of such date, except to the extent that such representations and warranties (or any schedules related thereto) expressly relate solely to an earlier date (in which case such</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1" w:name="page132"/>
    <w:bookmarkEnd w:id="131"/>
    <w:p>
      <w:pPr>
        <w:jc w:val="both"/>
        <w:spacing w:after="0"/>
        <w:rPr>
          <w:sz w:val="20"/>
          <w:szCs w:val="20"/>
          <w:color w:val="auto"/>
        </w:rPr>
      </w:pPr>
      <w:r>
        <w:rPr>
          <w:rFonts w:ascii="Arial" w:cs="Arial" w:eastAsia="Arial" w:hAnsi="Arial"/>
          <w:sz w:val="22"/>
          <w:szCs w:val="22"/>
          <w:color w:val="auto"/>
        </w:rPr>
        <w:t>representations and warranties shall be true and correct in all material respects on and as of such date); and no Default or Event of Default shall have occurred and be continuing on the Restatement Effective Date or would result from this Amendment becoming effective in accordance with its terms.</w:t>
      </w:r>
    </w:p>
    <w:p>
      <w:pPr>
        <w:spacing w:after="0" w:line="180" w:lineRule="exact"/>
        <w:rPr>
          <w:sz w:val="20"/>
          <w:szCs w:val="20"/>
          <w:color w:val="auto"/>
        </w:rPr>
      </w:pPr>
    </w:p>
    <w:p>
      <w:pPr>
        <w:jc w:val="both"/>
        <w:ind w:firstLine="1497"/>
        <w:spacing w:after="0" w:line="280" w:lineRule="auto"/>
        <w:rPr>
          <w:sz w:val="20"/>
          <w:szCs w:val="20"/>
          <w:color w:val="auto"/>
        </w:rPr>
      </w:pPr>
      <w:r>
        <w:rPr>
          <w:rFonts w:ascii="Arial" w:cs="Arial" w:eastAsia="Arial" w:hAnsi="Arial"/>
          <w:sz w:val="21"/>
          <w:szCs w:val="21"/>
          <w:b w:val="1"/>
          <w:bCs w:val="1"/>
          <w:color w:val="auto"/>
        </w:rPr>
        <w:t>Delivery of Documents</w:t>
      </w:r>
      <w:r>
        <w:rPr>
          <w:rFonts w:ascii="Arial" w:cs="Arial" w:eastAsia="Arial" w:hAnsi="Arial"/>
          <w:sz w:val="21"/>
          <w:szCs w:val="21"/>
          <w:color w:val="auto"/>
        </w:rPr>
        <w:t>. The Agent shall have received the following, each in form and substance satisfactory</w:t>
      </w:r>
      <w:r>
        <w:rPr>
          <w:rFonts w:ascii="Arial" w:cs="Arial" w:eastAsia="Arial" w:hAnsi="Arial"/>
          <w:sz w:val="21"/>
          <w:szCs w:val="21"/>
          <w:b w:val="1"/>
          <w:bCs w:val="1"/>
          <w:color w:val="auto"/>
        </w:rPr>
        <w:t xml:space="preserve"> </w:t>
      </w:r>
      <w:r>
        <w:rPr>
          <w:rFonts w:ascii="Arial" w:cs="Arial" w:eastAsia="Arial" w:hAnsi="Arial"/>
          <w:sz w:val="21"/>
          <w:szCs w:val="21"/>
          <w:color w:val="auto"/>
        </w:rPr>
        <w:t>to the Agent and, unless indicated otherwise, dated as of or effective on the Restatement Effective Date:</w:t>
      </w:r>
    </w:p>
    <w:p>
      <w:pPr>
        <w:spacing w:after="0" w:line="145"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counterparts of this Agreement duly executed by the Loan Parties, the Agent and the Lenders and dated as of the Restatement Effective Date;</w:t>
      </w:r>
    </w:p>
    <w:p>
      <w:pPr>
        <w:spacing w:after="0" w:line="175" w:lineRule="exact"/>
        <w:rPr>
          <w:sz w:val="20"/>
          <w:szCs w:val="20"/>
          <w:color w:val="auto"/>
        </w:rPr>
      </w:pPr>
    </w:p>
    <w:p>
      <w:pPr>
        <w:jc w:val="both"/>
        <w:ind w:firstLine="2246"/>
        <w:spacing w:after="0" w:line="287" w:lineRule="auto"/>
        <w:rPr>
          <w:sz w:val="20"/>
          <w:szCs w:val="20"/>
          <w:color w:val="auto"/>
        </w:rPr>
      </w:pPr>
      <w:r>
        <w:rPr>
          <w:rFonts w:ascii="Arial" w:cs="Arial" w:eastAsia="Arial" w:hAnsi="Arial"/>
          <w:sz w:val="19"/>
          <w:szCs w:val="19"/>
          <w:color w:val="auto"/>
        </w:rPr>
        <w:t>Agent shall have received a certificate from the Secretary or Assistant Secretary of each Loan Party attesting to the resolutions of such Loan Party's Board of Directors, Board of Managers or other comparable governing body, as applicable, or committee thereof, authorizing its execution, delivery, and performance of this Agreement and the other Loan Documents to which such Loan Party is a party and authorizing specific officers of such Loan Party to execute the same;</w:t>
      </w:r>
    </w:p>
    <w:p>
      <w:pPr>
        <w:spacing w:after="0" w:line="143" w:lineRule="exact"/>
        <w:rPr>
          <w:sz w:val="20"/>
          <w:szCs w:val="20"/>
          <w:color w:val="auto"/>
        </w:rPr>
      </w:pPr>
    </w:p>
    <w:p>
      <w:pPr>
        <w:jc w:val="both"/>
        <w:ind w:firstLine="2246"/>
        <w:spacing w:after="0" w:line="328" w:lineRule="auto"/>
        <w:rPr>
          <w:sz w:val="20"/>
          <w:szCs w:val="20"/>
          <w:color w:val="auto"/>
        </w:rPr>
      </w:pPr>
      <w:r>
        <w:rPr>
          <w:rFonts w:ascii="Arial" w:cs="Arial" w:eastAsia="Arial" w:hAnsi="Arial"/>
          <w:sz w:val="19"/>
          <w:szCs w:val="19"/>
          <w:color w:val="auto"/>
        </w:rPr>
        <w:t>Agent shall have received copies of each Loan Party's Governing Documents, as amended, modified, or supplemented to the Restatement Effective Date, certified by the Secretary or Assistant Secretary of such Loan Party;</w:t>
      </w:r>
    </w:p>
    <w:p>
      <w:pPr>
        <w:spacing w:after="0" w:line="105" w:lineRule="exact"/>
        <w:rPr>
          <w:sz w:val="20"/>
          <w:szCs w:val="20"/>
          <w:color w:val="auto"/>
        </w:rPr>
      </w:pPr>
    </w:p>
    <w:p>
      <w:pPr>
        <w:jc w:val="both"/>
        <w:ind w:firstLine="2246"/>
        <w:spacing w:after="0" w:line="297" w:lineRule="auto"/>
        <w:rPr>
          <w:sz w:val="20"/>
          <w:szCs w:val="20"/>
          <w:color w:val="auto"/>
        </w:rPr>
      </w:pPr>
      <w:r>
        <w:rPr>
          <w:rFonts w:ascii="Arial" w:cs="Arial" w:eastAsia="Arial" w:hAnsi="Arial"/>
          <w:sz w:val="19"/>
          <w:szCs w:val="19"/>
          <w:color w:val="auto"/>
        </w:rPr>
        <w:t>Agent shall have received a certificate of status with respect to each Loan Party, dated within 45 days of the Restatement Effective Date, such certificate to be issued by the appropriate officer of the jurisdiction of organization of such Loan Party, which certificate shall indicate that such Borrower is in good standing in such jurisdiction;</w:t>
      </w:r>
    </w:p>
    <w:p>
      <w:pPr>
        <w:spacing w:after="0" w:line="134"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Agent shall have received opinions of the Loan Parties' outside counsel (or, to the extent agreed by Agent with respect to certain Loan Parties formed in the State of Oklahoma, the general counsel of the Loan Parties), in each case in form and substance satisfactory to Agent; and</w:t>
      </w:r>
    </w:p>
    <w:p>
      <w:pPr>
        <w:spacing w:after="0" w:line="186"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Agent shall have received a Borrowing Base Certificate dated as of the Restatement Effective Date, demonstrating Availability of at least $7,500,000 as of the Restatement Effective Date.</w:t>
      </w:r>
    </w:p>
    <w:p>
      <w:pPr>
        <w:spacing w:after="0" w:line="169"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b w:val="1"/>
          <w:bCs w:val="1"/>
          <w:color w:val="auto"/>
        </w:rPr>
        <w:t>Closing Fee; Expenses</w:t>
      </w:r>
      <w:r>
        <w:rPr>
          <w:rFonts w:ascii="Arial" w:cs="Arial" w:eastAsia="Arial" w:hAnsi="Arial"/>
          <w:sz w:val="22"/>
          <w:szCs w:val="22"/>
          <w:color w:val="auto"/>
        </w:rPr>
        <w:t>. Borrowers shall have paid (x) the closing fee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2.11(b)</w:t>
      </w:r>
      <w:r>
        <w:rPr>
          <w:rFonts w:ascii="Arial" w:cs="Arial" w:eastAsia="Arial" w:hAnsi="Arial"/>
          <w:sz w:val="22"/>
          <w:szCs w:val="22"/>
          <w:b w:val="1"/>
          <w:bCs w:val="1"/>
          <w:color w:val="auto"/>
        </w:rPr>
        <w:t xml:space="preserve"> </w:t>
      </w:r>
      <w:r>
        <w:rPr>
          <w:rFonts w:ascii="Arial" w:cs="Arial" w:eastAsia="Arial" w:hAnsi="Arial"/>
          <w:sz w:val="22"/>
          <w:szCs w:val="22"/>
          <w:color w:val="auto"/>
        </w:rPr>
        <w:t>and (y) all</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 Lender Group Expenses incurred in connection with the transactions evidenced by this Agreement and the other Loan Documents.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Conditions Precedent to all Extensions of Credit</w:t>
      </w:r>
    </w:p>
    <w:p>
      <w:pPr>
        <w:spacing w:after="0" w:line="212" w:lineRule="exact"/>
        <w:rPr>
          <w:sz w:val="20"/>
          <w:szCs w:val="20"/>
          <w:color w:val="auto"/>
        </w:rPr>
      </w:pPr>
    </w:p>
    <w:p>
      <w:pPr>
        <w:ind w:firstLine="8"/>
        <w:spacing w:after="0" w:line="250" w:lineRule="auto"/>
        <w:tabs>
          <w:tab w:leader="none" w:pos="19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obligation of the Lender Group (or any member thereof) to make all Advances (or to extend any other credit hereunder) shall be subject to the following conditions precedent:</w:t>
      </w:r>
    </w:p>
    <w:p>
      <w:pPr>
        <w:spacing w:after="0" w:line="175"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the representations and warranties contained in this Agreement and the other Loan Documents shall be true and correct in all material respects on and as of the date of such extension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2" w:name="page133"/>
    <w:bookmarkEnd w:id="132"/>
    <w:p>
      <w:pPr>
        <w:jc w:val="both"/>
        <w:spacing w:after="0" w:line="250" w:lineRule="auto"/>
        <w:rPr>
          <w:sz w:val="20"/>
          <w:szCs w:val="20"/>
          <w:color w:val="auto"/>
        </w:rPr>
      </w:pPr>
      <w:r>
        <w:rPr>
          <w:rFonts w:ascii="Arial" w:cs="Arial" w:eastAsia="Arial" w:hAnsi="Arial"/>
          <w:sz w:val="22"/>
          <w:szCs w:val="22"/>
          <w:color w:val="auto"/>
        </w:rPr>
        <w:t>of credit, as though made on and as of such date (except to the extent that such representations and warranties relate solely to an earlier date);</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no Default or Event of Default shall have occurred and be continuing on the date of such extension of credit, nor shall either result from the making thereof; and</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no injunction, writ, restraining order, or other order of any nature prohibiting, directly or indirectly, the extending of such credit shall have been issued and remain in force by any Governmental Authority against any Loan Party, Agent, any Lender, or any of their Affiliates.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Term</w:t>
      </w:r>
    </w:p>
    <w:p>
      <w:pPr>
        <w:spacing w:after="0" w:line="212" w:lineRule="exact"/>
        <w:rPr>
          <w:sz w:val="20"/>
          <w:szCs w:val="20"/>
          <w:color w:val="auto"/>
        </w:rPr>
      </w:pPr>
    </w:p>
    <w:p>
      <w:pPr>
        <w:jc w:val="both"/>
        <w:ind w:firstLine="8"/>
        <w:spacing w:after="0" w:line="235" w:lineRule="auto"/>
        <w:tabs>
          <w:tab w:leader="none" w:pos="184"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This Agreement shall become effective upon Restatement Effective Date and shall continue in full force and effect for a term ending on the earlier of (x) the date that is ninety (90) days prior to the earliest stated maturity date of the LSB Notes (unless refinanced or repaid prior to the date that is ninety (90) days prior to such maturity) and (y) February 26, 2024 (the "</w:t>
      </w:r>
      <w:r>
        <w:rPr>
          <w:rFonts w:ascii="Arial" w:cs="Arial" w:eastAsia="Arial" w:hAnsi="Arial"/>
          <w:sz w:val="22"/>
          <w:szCs w:val="22"/>
          <w:u w:val="single" w:color="auto"/>
          <w:color w:val="auto"/>
        </w:rPr>
        <w:t>Maturity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The foregoing notwithstanding, the Lender Group, upon the election of the Required Lenders, shall have the right to terminate its obligations under this Agreement immediately and without notice upon the occurrence and during the continuation of an Event of Default.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Effect of Termination</w:t>
      </w:r>
    </w:p>
    <w:p>
      <w:pPr>
        <w:spacing w:after="0" w:line="212" w:lineRule="exact"/>
        <w:rPr>
          <w:sz w:val="20"/>
          <w:szCs w:val="20"/>
          <w:color w:val="auto"/>
        </w:rPr>
      </w:pPr>
    </w:p>
    <w:p>
      <w:pPr>
        <w:jc w:val="both"/>
        <w:ind w:firstLine="8"/>
        <w:spacing w:after="0" w:line="272" w:lineRule="auto"/>
        <w:tabs>
          <w:tab w:leader="none" w:pos="1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On the date of termination of this Agreement, all Obligations (including contingent reimbursement obligations of Loan Parties with respect to any outstanding Letters of Credit and including all Bank Products Obligations) immediately shall become due and payable without notice or demand (including providing cash collateral to be held by Agent for the benefit of Wells Fargo or its Affiliates with respect to the then extant Bank Products Obligations). No termination of this Agreement, however, shall relieve or discharge Loan Parties of their duties, Obligations, or covenants hereunder and the Agent's Liens in the Collateral shall remain in effect until all Obligations have been fully and finally discharged and the Lender Group's obligations to provide additional credit hereunder have been terminated. When this Agreement has been terminated and all of the Obligations have been fully and finally discharged and the Lender Group's obligations to provide additional credit under the Loan Documents have been terminated irrevocably, Agent will, at Loan Parties' sole expense, execute and deliver any UCC termination statements, lien releases, mortgage releases, re-assignments of trademarks, discharges of security interests, and other similar discharge or release documents (and, if applicable, in recordable form) as are reasonably necessary to release, as of record, the Agent's Liens and all notices of security interests and liens previously filed by Agent with respect to the Obligations.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Early Termination by Borrowers</w:t>
      </w:r>
    </w:p>
    <w:p>
      <w:pPr>
        <w:spacing w:after="0" w:line="212" w:lineRule="exact"/>
        <w:rPr>
          <w:sz w:val="20"/>
          <w:szCs w:val="20"/>
          <w:color w:val="auto"/>
        </w:rPr>
      </w:pPr>
    </w:p>
    <w:p>
      <w:pPr>
        <w:jc w:val="both"/>
        <w:ind w:firstLine="8"/>
        <w:spacing w:after="0" w:line="235" w:lineRule="auto"/>
        <w:tabs>
          <w:tab w:leader="none" w:pos="1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Borrowers have the option, at any time upon 45 days prior written notice by Administrative Borrower to Agent, to terminate this Agreement by paying to Agent, for the benefit of the Lender Group, in cash, the Obligations (including (a) either (i) providing cash collateral to be held by Agent for the benefit of those Lenders with a Revolver Commitment in an amount equal to 103% of the then extant Letter of Credit Usage, or (ii) causing the original Letters of Credit to be returned to the Issuing Bank, and (b) providing cash collateral to be held by Agent for the benefit of Wells Fargo or its Affiliates with respect to the then extant Bank Products Obligations), in full, without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3" w:name="page134"/>
    <w:bookmarkEnd w:id="133"/>
    <w:p>
      <w:pPr>
        <w:jc w:val="both"/>
        <w:spacing w:after="0" w:line="234" w:lineRule="auto"/>
        <w:rPr>
          <w:sz w:val="20"/>
          <w:szCs w:val="20"/>
          <w:color w:val="auto"/>
        </w:rPr>
      </w:pPr>
      <w:r>
        <w:rPr>
          <w:rFonts w:ascii="Arial" w:cs="Arial" w:eastAsia="Arial" w:hAnsi="Arial"/>
          <w:sz w:val="22"/>
          <w:szCs w:val="22"/>
          <w:color w:val="auto"/>
        </w:rPr>
        <w:t>premium or penalty. If Administrative Borrower has sent a notice of termination pursuant to the provisions of this Section, then the Commitments shall terminate and Loan Parties shall be obligated to repay the Obligations (including (a) either (i) providing cash collateral to be held by Agent for the benefit of those Lenders with a Revolver Commitment in an amount equal to 103% of the then extant Letter of Credit Usage, or (ii) causing the original Letters of Credit to be returned to the Issuing Bank, and (b) providing cash collateral to be held by Agent for the benefit of Wells Fargo or its Affiliates with respect to the then extant Bank Products Obligations), in full, without premium or penalty, on the date set forth as the date of termination of this Agreement in such notice.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CREATION OF SECURITY INTEREST.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Grant of Security Interest</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 xml:space="preserve">Each Loan Party hereby grants to Agent, for the benefit of the Lender Group, a continuing security interest in all of its right, title, and interest in all currently existing and hereafter acquired or arising Collateral in order to secure prompt repayment of any and all of the Obligations in accordance with the terms and conditions of the Loan Documents and in order to secure prompt performance by the Loan Parties of each of their covenants and duties under the Loan Documents. The Agent's Liens in and to the Collateral shall attach to all Collateral without further act on the part of Agent or the Loan Parties. Anything contained in this Agreement or any other Loan Document to the contrary notwithstanding, except for Permitted Dispositions and as otherwise permitted in </w:t>
      </w:r>
      <w:r>
        <w:rPr>
          <w:rFonts w:ascii="Arial" w:cs="Arial" w:eastAsia="Arial" w:hAnsi="Arial"/>
          <w:sz w:val="21"/>
          <w:szCs w:val="21"/>
          <w:u w:val="single" w:color="auto"/>
          <w:color w:val="auto"/>
        </w:rPr>
        <w:t>Sections 7.3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7.4</w:t>
      </w:r>
      <w:r>
        <w:rPr>
          <w:rFonts w:ascii="Arial" w:cs="Arial" w:eastAsia="Arial" w:hAnsi="Arial"/>
          <w:sz w:val="21"/>
          <w:szCs w:val="21"/>
          <w:color w:val="auto"/>
        </w:rPr>
        <w:t xml:space="preserve"> of this Agreement, the Loan Parties have no authority, express or implied, to dispose of any item or portion of the Collateral.</w:t>
      </w:r>
    </w:p>
    <w:p>
      <w:pPr>
        <w:spacing w:after="0" w:line="180"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Each of the applicable Loan Parties hereby confirms, ratifies and reaffirms that the Liens granted to the Agent immediately prior to the Restatement Effective Date pursuant to the Original Loan Agreement or any other Loan Document, in all of its right, title, and interest in all then existing and thereafter acquired or arising Collateral in order to secure prompt repayment of any and all of the Obligations in accordance with the terms and conditions of the Loan Documents and in order to secure prompt performance by the Loan Parties of each of their covenants and duties under the Loan Documents are continuing and are and shall remain unimpaired and continue to constitute fully perfected, first priority Liens in favor of Agent (subject only to (i) Permitted Liens and (ii) the filing of financing statements and other recordations with the United States Patent and Trademark Office), for the benefit of the Lender Group, with the same force, effect and priority (except as stated herein) in effect both immediately prior to and after entering into this Agreement and the other Loan Documents entered into on or as of the Restatement Effective Date. Each of such applicable Loan Parties hereby confirms and agrees that such Liens attach to all currently existing and hereafter acquired or arising Collateral in order to secure the prompt repayment of any and all of the Obligations in accordance with the terms and conditions of the Loan Documents (as defined herein) and in order to secure the prompt performance by the Borrowers and the Guarantors of each of their covenants and duties under the Loan Documents. The Agent's Liens in and to the Collateral have attached and continue to attach to all such Collateral without further act on the part of Agent, the Loan Parties. Anything contained in this Agreement or any other Loan Document to the contrary notwithstanding, except for Permitted Dispositions or as otherwise permitted in </w:t>
      </w:r>
      <w:r>
        <w:rPr>
          <w:rFonts w:ascii="Arial" w:cs="Arial" w:eastAsia="Arial" w:hAnsi="Arial"/>
          <w:sz w:val="19"/>
          <w:szCs w:val="19"/>
          <w:u w:val="single" w:color="auto"/>
          <w:color w:val="auto"/>
        </w:rPr>
        <w:t>Sections 7.3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7.4</w:t>
      </w:r>
      <w:r>
        <w:rPr>
          <w:rFonts w:ascii="Arial" w:cs="Arial" w:eastAsia="Arial" w:hAnsi="Arial"/>
          <w:sz w:val="19"/>
          <w:szCs w:val="19"/>
          <w:color w:val="auto"/>
        </w:rPr>
        <w:t xml:space="preserve"> of this Agreement, the Borrowers and the Guarantors have no authority, express or implied, to dispose of any item or portion of the Collateral.</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4" w:name="page135"/>
    <w:bookmarkEnd w:id="134"/>
    <w:p>
      <w:pPr>
        <w:jc w:val="both"/>
        <w:ind w:firstLine="1497"/>
        <w:spacing w:after="0"/>
        <w:rPr>
          <w:sz w:val="20"/>
          <w:szCs w:val="20"/>
          <w:color w:val="auto"/>
        </w:rPr>
      </w:pPr>
      <w:r>
        <w:rPr>
          <w:rFonts w:ascii="Arial" w:cs="Arial" w:eastAsia="Arial" w:hAnsi="Arial"/>
          <w:sz w:val="22"/>
          <w:szCs w:val="22"/>
          <w:color w:val="auto"/>
        </w:rPr>
        <w:t>Each of the applicable Loan Parties hereby confirms, ratifies and affirms that a continuing security interest in all of its right, title, and interest in all currently existing and hereafter acquired or arising Collateral is granted again to the Agent, for the benefit of the Lender Group.</w:t>
      </w:r>
    </w:p>
    <w:p>
      <w:pPr>
        <w:spacing w:after="0" w:line="186"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 xml:space="preserve">Any grant of security interest in favor of the Agent pursuant to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is a supplement to, and not a novation of, any existing security interests granted by any Loan Party in favor of the Agent, which remain in full force and effect.</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Negotiable Collateral</w:t>
      </w:r>
    </w:p>
    <w:p>
      <w:pPr>
        <w:spacing w:after="0" w:line="212" w:lineRule="exact"/>
        <w:rPr>
          <w:sz w:val="20"/>
          <w:szCs w:val="20"/>
          <w:color w:val="auto"/>
        </w:rPr>
      </w:pPr>
    </w:p>
    <w:p>
      <w:pPr>
        <w:jc w:val="both"/>
        <w:ind w:firstLine="8"/>
        <w:spacing w:after="0" w:line="238" w:lineRule="auto"/>
        <w:tabs>
          <w:tab w:leader="none" w:pos="215" w:val="left"/>
        </w:tabs>
        <w:numPr>
          <w:ilvl w:val="0"/>
          <w:numId w:val="72"/>
        </w:numPr>
        <w:rPr>
          <w:rFonts w:ascii="Arial" w:cs="Arial" w:eastAsia="Arial" w:hAnsi="Arial"/>
          <w:sz w:val="22"/>
          <w:szCs w:val="22"/>
          <w:color w:val="auto"/>
        </w:rPr>
      </w:pPr>
      <w:r>
        <w:rPr>
          <w:rFonts w:ascii="Arial" w:cs="Arial" w:eastAsia="Arial" w:hAnsi="Arial"/>
          <w:sz w:val="22"/>
          <w:szCs w:val="22"/>
          <w:color w:val="auto"/>
        </w:rPr>
        <w:t>In the event that any Collateral, including proceeds, is evidenced by or consists of Negotiable Collateral, and if and to the extent that perfection or priority of Agent's security interest is dependent on or enhanced by possession, the applicable Loan Party, immediately upon the request of Agent, shall endorse and deliver physical possession of such Negotiable Collateral to Agent.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Collection of Accounts, General Intangibles, and Negotiable Collateral</w:t>
      </w:r>
    </w:p>
    <w:p>
      <w:pPr>
        <w:spacing w:after="0" w:line="212" w:lineRule="exact"/>
        <w:rPr>
          <w:sz w:val="20"/>
          <w:szCs w:val="20"/>
          <w:color w:val="auto"/>
        </w:rPr>
      </w:pPr>
    </w:p>
    <w:p>
      <w:pPr>
        <w:jc w:val="both"/>
        <w:ind w:firstLine="8"/>
        <w:spacing w:after="0" w:line="279" w:lineRule="auto"/>
        <w:tabs>
          <w:tab w:leader="none" w:pos="169" w:val="left"/>
        </w:tabs>
        <w:numPr>
          <w:ilvl w:val="0"/>
          <w:numId w:val="73"/>
        </w:numPr>
        <w:rPr>
          <w:rFonts w:ascii="Arial" w:cs="Arial" w:eastAsia="Arial" w:hAnsi="Arial"/>
          <w:sz w:val="19"/>
          <w:szCs w:val="19"/>
          <w:color w:val="auto"/>
        </w:rPr>
      </w:pPr>
      <w:r>
        <w:rPr>
          <w:rFonts w:ascii="Arial" w:cs="Arial" w:eastAsia="Arial" w:hAnsi="Arial"/>
          <w:sz w:val="19"/>
          <w:szCs w:val="19"/>
          <w:color w:val="auto"/>
        </w:rPr>
        <w:t>At any time after the occurrence and during the continuation of an Event of Default, Agent or Agent's designee may (a) notify Account Debtors of the Loan Parties that the Accounts, chattel paper, or General Intangibles constituting Collateral have been assigned to Agent or that Agent has a security interest therein, or (b) collect the Accounts, chattel paper, or General Intangibles constituting Collateral directly and charge the collection costs and expenses to the Loan Account. Each Loan Parties agrees that it will hold in trust for the Lender Group, as the Lender Group's trustee, any Collections that it receives and immediately will deliver said Collections to Agent or a Cash Management Bank in their original form as received by the applicable Loan Party.</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Filing of Financing Statements; Delivery of Additional Documentation Required</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Each Loan Party authorizes Agent to file any financing statement required hereunder, and any continuation statement or amendment with respect thereto, in any appropriate filing office without the signature of such Loan Party where permitted by applicable law. Each Loan Party hereby ratifies the filing of any financing statement, and any continuation statement or amendment with respect thereto, filed without the signature of such Loan Party prior to the date hereof. Agent shall endeavor to promptly deliver to Administrative Borrower a copy of each such financing statement so filed by Agent.</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intentionally</w:t>
      </w:r>
      <w:r>
        <w:rPr>
          <w:rFonts w:ascii="Arial" w:cs="Arial" w:eastAsia="Arial" w:hAnsi="Arial"/>
          <w:sz w:val="22"/>
          <w:szCs w:val="22"/>
          <w:i w:val="1"/>
          <w:iCs w:val="1"/>
          <w:u w:val="single" w:color="auto"/>
          <w:color w:val="0000FF"/>
        </w:rPr>
        <w:t>Intentionally</w:t>
      </w:r>
      <w:r>
        <w:rPr>
          <w:rFonts w:ascii="Arial" w:cs="Arial" w:eastAsia="Arial" w:hAnsi="Arial"/>
          <w:sz w:val="22"/>
          <w:szCs w:val="22"/>
          <w:color w:val="auto"/>
        </w:rPr>
        <w:t xml:space="preserve"> </w:t>
      </w:r>
      <w:r>
        <w:rPr>
          <w:rFonts w:ascii="Arial" w:cs="Arial" w:eastAsia="Arial" w:hAnsi="Arial"/>
          <w:sz w:val="22"/>
          <w:szCs w:val="22"/>
          <w:i w:val="1"/>
          <w:iCs w:val="1"/>
          <w:color w:val="auto"/>
        </w:rPr>
        <w:t>omitted</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At any time upon the request of Agent, the Loan Parties shall execute and deliver to Agent any and all financing statements, original financing statements in lieu of continuation statements, amendments to financing statements, fixture filings, security agreements, pledges, assignments, endorsements of certificates of title, and all other documents (collectively, the "</w:t>
      </w:r>
      <w:r>
        <w:rPr>
          <w:rFonts w:ascii="Arial" w:cs="Arial" w:eastAsia="Arial" w:hAnsi="Arial"/>
          <w:sz w:val="19"/>
          <w:szCs w:val="19"/>
          <w:u w:val="single" w:color="auto"/>
          <w:color w:val="auto"/>
        </w:rPr>
        <w:t>Additional Documents</w:t>
      </w:r>
      <w:r>
        <w:rPr>
          <w:rFonts w:ascii="Arial" w:cs="Arial" w:eastAsia="Arial" w:hAnsi="Arial"/>
          <w:sz w:val="19"/>
          <w:szCs w:val="19"/>
          <w:color w:val="auto"/>
        </w:rPr>
        <w:t>") that Agent may request in its Permitted Discretion, in form and substance satisfactory to Agent, to create and perfect and continue perfected or better perfect the Agent's Liens in the Collateral (whether now owned or hereafter arising or acquired, tangible or intangible, real or personal), and in order to fully consummate all of the transactions contemplated hereby and under the other Loan Documents. To the maximum extent permitted by applicable law, each Loan Party authorizes Agent to execute any such Additional Documents in the applicable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5" w:name="page136"/>
    <w:bookmarkEnd w:id="135"/>
    <w:p>
      <w:pPr>
        <w:jc w:val="both"/>
        <w:spacing w:after="0" w:line="245" w:lineRule="auto"/>
        <w:rPr>
          <w:sz w:val="20"/>
          <w:szCs w:val="20"/>
          <w:color w:val="auto"/>
        </w:rPr>
      </w:pPr>
      <w:r>
        <w:rPr>
          <w:rFonts w:ascii="Arial" w:cs="Arial" w:eastAsia="Arial" w:hAnsi="Arial"/>
          <w:sz w:val="21"/>
          <w:szCs w:val="21"/>
          <w:color w:val="auto"/>
        </w:rPr>
        <w:t>Loan Party's name and authorizes Agent to file such executed Additional Documents in any appropriate filing office. To the maximum extent permitted by applicable law, each Loan Party authorizes the filing of any such Additional Documents without the signature of such Loan Party in any appropriate filing office. In addition, on such periodic basis as Agent shall require, the Loan Parties shall (i) provide Agent with a report of all new patentable, copyrightable, or trademarkable materials acquired or generated by the Loan Parties during the prior period, (ii) cause all patents, copyrights, and trademarks acquired or generated by the Loan Parties that are not already the subject of a registration with the appropriate filing office (or an application therefor diligently prosecuted) to be registered with such appropriate filing office in a manner sufficient to impart constructive notice of such Loan Party's ownership thereof, and (iii) cause to be prepared, executed, and delivered to Agent supplemental schedules to the applicable Loan Documents to identify such patents, copyrights, and trademarks as being subject to the security interests created thereunder.</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12" w:lineRule="exact"/>
        <w:rPr>
          <w:sz w:val="20"/>
          <w:szCs w:val="20"/>
          <w:color w:val="auto"/>
        </w:rPr>
      </w:pPr>
    </w:p>
    <w:p>
      <w:pPr>
        <w:jc w:val="both"/>
        <w:ind w:firstLine="8"/>
        <w:spacing w:after="0" w:line="271" w:lineRule="auto"/>
        <w:tabs>
          <w:tab w:leader="none" w:pos="1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Each Loan Party hereby irrevocably makes, constitutes, and appoints Agent (and any of Agent's officers, employees, or agents designated by Agent) as such Loan Party's true and lawful attorney, with power to (a) if such Borrower or such Guarantor refuses to, or fails timely to execute and deliver any of the documents described in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sign the name of such Loan Party on any of the documents described in </w:t>
      </w:r>
      <w:r>
        <w:rPr>
          <w:rFonts w:ascii="Arial" w:cs="Arial" w:eastAsia="Arial" w:hAnsi="Arial"/>
          <w:sz w:val="19"/>
          <w:szCs w:val="19"/>
          <w:u w:val="single" w:color="auto"/>
          <w:color w:val="auto"/>
        </w:rPr>
        <w:t>Section 4.4</w:t>
      </w:r>
      <w:r>
        <w:rPr>
          <w:rFonts w:ascii="Arial" w:cs="Arial" w:eastAsia="Arial" w:hAnsi="Arial"/>
          <w:sz w:val="19"/>
          <w:szCs w:val="19"/>
          <w:color w:val="auto"/>
        </w:rPr>
        <w:t>, (b) at any time that an Event of Default has occurred and is continuing, sign such Loan Party's name on any invoice or bill of lading relating to the Collateral, drafts against Account Debtors, or notices to Account Debtors, (c) send requests for verification of Accounts, (d) endorse such Loan Party's name on any Collection item that may come into the Lender Group's possession, (e) at any time that an Event of Default has occurred and is continuing, make, settle, and adjust all claims under such Loan Party's policies of property insurance and make all determinations and decisions with respect to such policies of insurance, and (f) at any time that an Event of Default has occurred and is continuing, settle and adjust disputes and claims respecting the Accounts, chattel paper, or General Intangibles constituting Collateral directly with Account Debtors, for amounts and upon terms that Agent determines to be reasonable, and Agent may cause to be executed and delivered any documents and releases that Agent determines to be necessary. The appointment of Agent as each Loan Party's attorney, and each and every one of its rights and powers, being coupled with an interest, is irrevocable until all of the Obligations have been fully and finally repaid and performed and the Lender Group's obligations to extend credit hereunder are terminated.</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Right to Inspect</w:t>
      </w:r>
    </w:p>
    <w:p>
      <w:pPr>
        <w:spacing w:after="0" w:line="212" w:lineRule="exact"/>
        <w:rPr>
          <w:sz w:val="20"/>
          <w:szCs w:val="20"/>
          <w:color w:val="auto"/>
        </w:rPr>
      </w:pPr>
    </w:p>
    <w:p>
      <w:pPr>
        <w:jc w:val="both"/>
        <w:ind w:firstLine="8"/>
        <w:spacing w:after="0"/>
        <w:tabs>
          <w:tab w:leader="none" w:pos="174" w:val="left"/>
        </w:tabs>
        <w:numPr>
          <w:ilvl w:val="0"/>
          <w:numId w:val="75"/>
        </w:numPr>
        <w:rPr>
          <w:rFonts w:ascii="Arial" w:cs="Arial" w:eastAsia="Arial" w:hAnsi="Arial"/>
          <w:sz w:val="22"/>
          <w:szCs w:val="22"/>
          <w:color w:val="auto"/>
        </w:rPr>
      </w:pPr>
      <w:r>
        <w:rPr>
          <w:rFonts w:ascii="Arial" w:cs="Arial" w:eastAsia="Arial" w:hAnsi="Arial"/>
          <w:sz w:val="22"/>
          <w:szCs w:val="22"/>
          <w:color w:val="auto"/>
        </w:rPr>
        <w:t>Agent and each Lender (through any of their respective officers, employees, or agents) shall have the right, from time to time hereafter to inspect the Books and to check, test, and appraise the Collateral in order to verify the Loan Parties' financial condition or the amount, quality, value, condition of, or any other matter relating to, the Collateral.</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Control Agreements</w:t>
      </w:r>
    </w:p>
    <w:p>
      <w:pPr>
        <w:spacing w:after="0" w:line="212" w:lineRule="exact"/>
        <w:rPr>
          <w:sz w:val="20"/>
          <w:szCs w:val="20"/>
          <w:color w:val="auto"/>
        </w:rPr>
      </w:pPr>
    </w:p>
    <w:p>
      <w:pPr>
        <w:ind w:firstLine="8"/>
        <w:spacing w:after="0" w:line="250" w:lineRule="auto"/>
        <w:tabs>
          <w:tab w:leader="none" w:pos="189" w:val="left"/>
        </w:tabs>
        <w:numPr>
          <w:ilvl w:val="0"/>
          <w:numId w:val="76"/>
        </w:numPr>
        <w:rPr>
          <w:rFonts w:ascii="Arial" w:cs="Arial" w:eastAsia="Arial" w:hAnsi="Arial"/>
          <w:sz w:val="22"/>
          <w:szCs w:val="22"/>
          <w:color w:val="auto"/>
        </w:rPr>
      </w:pPr>
      <w:r>
        <w:rPr>
          <w:rFonts w:ascii="Arial" w:cs="Arial" w:eastAsia="Arial" w:hAnsi="Arial"/>
          <w:sz w:val="22"/>
          <w:szCs w:val="22"/>
          <w:color w:val="auto"/>
        </w:rPr>
        <w:t>Each Loan Party agrees that it will not transfer any Collateral out of any Securities Accounts or deposit accounts subject to a Cash Management Agreement to another securities intermediary or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6" w:name="page137"/>
    <w:bookmarkEnd w:id="136"/>
    <w:p>
      <w:pPr>
        <w:jc w:val="both"/>
        <w:spacing w:after="0" w:line="273" w:lineRule="auto"/>
        <w:rPr>
          <w:sz w:val="20"/>
          <w:szCs w:val="20"/>
          <w:color w:val="auto"/>
        </w:rPr>
      </w:pPr>
      <w:r>
        <w:rPr>
          <w:rFonts w:ascii="Arial" w:cs="Arial" w:eastAsia="Arial" w:hAnsi="Arial"/>
          <w:sz w:val="19"/>
          <w:szCs w:val="19"/>
          <w:color w:val="auto"/>
        </w:rPr>
        <w:t>depository, unless each of the applicable Loan Parties, Agent, and the substitute securities intermediary or depository have entered into a Control Agreement. Upon the occurrence and during the continuance of an Event of Default, Agent may notify any securities intermediary or depository to liquidate the applicable Securities Account or depository account subject to a Cash Management Agreement or any related Investment Property constituting Collateral maintained or held thereby and remit the proceeds thereof to the Agent's Account for application to the Obligations in accordance with the terms of the Loan Documents. Each Loan Party hereby agrees to take any or all action that Agent requests in order for Agent to obtain control in accordance with Sections 9-104, 9-105, 9-106 and 9-107 of the Code with respect to any Collateral constituting Securities Accounts, deposit accounts, electronic chattel paper and Investment Property. No arrangement contemplated hereby or by a Control Agreement in respect of any Collateral constituting Securities Accounts, Investment Property, deposit accounts or electronic paper shall be modified by any Loan Party without the prior written consent of Agent.</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Priority of Liens</w:t>
      </w:r>
    </w:p>
    <w:p>
      <w:pPr>
        <w:spacing w:after="0" w:line="212" w:lineRule="exact"/>
        <w:rPr>
          <w:sz w:val="20"/>
          <w:szCs w:val="20"/>
          <w:color w:val="auto"/>
        </w:rPr>
      </w:pPr>
    </w:p>
    <w:p>
      <w:pPr>
        <w:jc w:val="both"/>
        <w:ind w:firstLine="8"/>
        <w:spacing w:after="0" w:line="238" w:lineRule="auto"/>
        <w:tabs>
          <w:tab w:leader="none" w:pos="222"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Notwithstanding anything to the contrary in any Loan Document, it is understood and agreed that, in accordance with the Intercreditor Agreement, the Agent's Liens granted by the Loan Parties are first priority liens with respect to the ABL Priority Collateral (as defined in the Intercreditor Agreement) and, to the extent applicable, second priority liens with respect to the Notes Priority Collateral, in each case subject to Permitted Liens.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REPRESENTATIONS AND WARRANTIES.</w:t>
      </w:r>
    </w:p>
    <w:p>
      <w:pPr>
        <w:spacing w:after="0" w:line="21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In order to induce the Lender Group to enter into this Agreement, each Loan Party makes the following representations and warranties to the Lender Group which shall be true, correct, and complete, in all material respects, as of the date hereof, and shall be true, correct, and complete, in all material respects, as of the Restatement Effective Date, and at and as of the date of the making of each Advance (or other extension of credit) made thereafter, as though made on and as of the date of such Advance (or other extension of credit) (except to the extent that such representations and warranties relate solely to an earlier date) and such representations and warranties shall survive the execution and delivery of this Agreement:</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No Encumbrances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Each Loan Party has good and indefeasible title to its Collateral free and clear of Liens except for Permitted Liens.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Eligible Accounts</w:t>
      </w:r>
    </w:p>
    <w:p>
      <w:pPr>
        <w:spacing w:after="0" w:line="212" w:lineRule="exact"/>
        <w:rPr>
          <w:sz w:val="20"/>
          <w:szCs w:val="20"/>
          <w:color w:val="auto"/>
        </w:rPr>
      </w:pPr>
    </w:p>
    <w:p>
      <w:pPr>
        <w:jc w:val="both"/>
        <w:ind w:firstLine="8"/>
        <w:spacing w:after="0" w:line="238" w:lineRule="auto"/>
        <w:tabs>
          <w:tab w:leader="none" w:pos="223"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Eligible Accounts are bona fide existing payment obligations of Account Debtors created by the sale and delivery of Inventory or the rendition of services to such Account Debtors in the ordinary course of Borrowers' business, owed to Borrowers without defenses, disputes, offsets, counterclaims, or rights of return or cancellation. As to each Eligible Account, such Account is not:</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owed by an employee, Affiliate, or agent of a Borrower,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7" w:name="page138"/>
    <w:bookmarkEnd w:id="137"/>
    <w:p>
      <w:pPr>
        <w:jc w:val="both"/>
        <w:ind w:firstLine="1497"/>
        <w:spacing w:after="0" w:line="236" w:lineRule="auto"/>
        <w:rPr>
          <w:sz w:val="20"/>
          <w:szCs w:val="20"/>
          <w:color w:val="auto"/>
        </w:rPr>
      </w:pPr>
      <w:r>
        <w:rPr>
          <w:rFonts w:ascii="Arial" w:cs="Arial" w:eastAsia="Arial" w:hAnsi="Arial"/>
          <w:sz w:val="22"/>
          <w:szCs w:val="22"/>
          <w:color w:val="auto"/>
        </w:rPr>
        <w:t>on account of a transaction wherein goods were placed on consignment or were sold pursuant to a guaranteed sale, a sale or return, a sale on approval, a bill and hold (except Accounts of the Borrowers having an aggregate invoice amount for all such Borrowers of up to $1,500,000 with respect to goods that are subject to a bill and hold agreement in form and substance satisfactory to Agent), or on any other terms by reason of which the payment by the Account Debtor may be conditional,</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payable in a currency other than Dollars,</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owed by an Account Debtor that has or has asserted a right of setoff, has disputed its liability, or has made any claim with respect to its obligation to pay the Account,</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owed by an Account Debtor that is subject to any Insolvency Proceeding or is not Solvent or as to which a Borrower has received notice of an imminent Insolvency Proceeding or a material impairment of the financial condition of such Account Debtor,</w:t>
      </w:r>
    </w:p>
    <w:p>
      <w:pPr>
        <w:spacing w:after="0" w:line="186"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on account of a transaction as to which the goods giving rise to such Account have not been shipped and billed (except Accounts of the Borrowers having an aggregate invoice amount for all such Borrowers of up to $1,500,000 with respect to goods that are subject to a bill and hold agreement in form and substance satisfactory to Agent) to the Account Debtor or the services giving rise to such Account have not been performed and accepted by the Account Debtor,</w:t>
      </w:r>
    </w:p>
    <w:p>
      <w:pPr>
        <w:spacing w:after="0" w:line="143"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a right to receive progress payments or other advance billings that are due prior to the completion of performance by the applicable Borrower of the subject contract for goods or services, and</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an Account that has not been billed to the customer (except Accounts of the Borrowers having an aggregate invoice amount for all such Borrowers of up to $1,500,000 with respect to goods that are subject to a bill and hold letter in form and substance satisfactory to Agent).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Eligible Inventory and Eligible Raw Inventory</w:t>
      </w:r>
    </w:p>
    <w:p>
      <w:pPr>
        <w:spacing w:after="0" w:line="212" w:lineRule="exact"/>
        <w:rPr>
          <w:sz w:val="20"/>
          <w:szCs w:val="20"/>
          <w:color w:val="auto"/>
        </w:rPr>
      </w:pPr>
    </w:p>
    <w:p>
      <w:pPr>
        <w:ind w:firstLine="8"/>
        <w:spacing w:after="0" w:line="250" w:lineRule="auto"/>
        <w:tabs>
          <w:tab w:leader="none" w:pos="215" w:val="left"/>
        </w:tabs>
        <w:numPr>
          <w:ilvl w:val="0"/>
          <w:numId w:val="79"/>
        </w:numPr>
        <w:rPr>
          <w:rFonts w:ascii="Arial" w:cs="Arial" w:eastAsia="Arial" w:hAnsi="Arial"/>
          <w:sz w:val="22"/>
          <w:szCs w:val="22"/>
          <w:color w:val="auto"/>
        </w:rPr>
      </w:pPr>
      <w:r>
        <w:rPr>
          <w:rFonts w:ascii="Arial" w:cs="Arial" w:eastAsia="Arial" w:hAnsi="Arial"/>
          <w:sz w:val="22"/>
          <w:szCs w:val="22"/>
          <w:color w:val="auto"/>
        </w:rPr>
        <w:t>All Eligible Inventory is of good and merchantable quality, free from defects. As to each item of Eligible Inventory and Eligible Raw Inventory, such Inventory is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owned by a Borrower free and clear of all Liens other than Liens in favor of Agent,</w:t>
      </w:r>
    </w:p>
    <w:p>
      <w:pPr>
        <w:spacing w:after="0" w:line="206" w:lineRule="exact"/>
        <w:rPr>
          <w:sz w:val="20"/>
          <w:szCs w:val="20"/>
          <w:color w:val="auto"/>
        </w:rPr>
      </w:pPr>
    </w:p>
    <w:p>
      <w:pPr>
        <w:ind w:left="1500"/>
        <w:spacing w:after="0" w:line="219" w:lineRule="exact"/>
        <w:rPr>
          <w:sz w:val="20"/>
          <w:szCs w:val="20"/>
          <w:color w:val="auto"/>
        </w:rPr>
      </w:pPr>
      <w:r>
        <w:rPr>
          <w:rFonts w:ascii="Arial" w:cs="Arial" w:eastAsia="Arial" w:hAnsi="Arial"/>
          <w:sz w:val="19"/>
          <w:szCs w:val="19"/>
          <w:color w:val="auto"/>
        </w:rPr>
        <w:t xml:space="preserve">either located at one of the locations set forth on </w:t>
      </w:r>
      <w:r>
        <w:rPr>
          <w:rFonts w:ascii="Arial" w:cs="Arial" w:eastAsia="Arial" w:hAnsi="Arial"/>
          <w:sz w:val="19"/>
          <w:szCs w:val="19"/>
          <w:u w:val="single" w:color="auto"/>
          <w:color w:val="auto"/>
        </w:rPr>
        <w:t>Schedule E</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or in transit from one such location to another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such location,</w:t>
      </w:r>
    </w:p>
    <w:p>
      <w:pPr>
        <w:spacing w:after="0" w:line="188"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not located on real property leased by a Borrower or in a contract warehouse, in each case, unless subject to a Collateral Access Agreement executed by the lessor, the warehouseman, or other third party, as the case may be, and unless segregated or otherwise separately identifiable from goods of others, if any, stored on the premises,</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not goods that have been returned or rejected by Borrowers' customers, and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8" w:name="page139"/>
    <w:bookmarkEnd w:id="138"/>
    <w:p>
      <w:pPr>
        <w:jc w:val="both"/>
        <w:ind w:firstLine="1497"/>
        <w:spacing w:after="0" w:line="257" w:lineRule="auto"/>
        <w:rPr>
          <w:sz w:val="20"/>
          <w:szCs w:val="20"/>
          <w:color w:val="auto"/>
        </w:rPr>
      </w:pPr>
      <w:r>
        <w:rPr>
          <w:rFonts w:ascii="Arial" w:cs="Arial" w:eastAsia="Arial" w:hAnsi="Arial"/>
          <w:sz w:val="21"/>
          <w:szCs w:val="21"/>
          <w:color w:val="auto"/>
        </w:rPr>
        <w:t>not goods that are obsolete or slow moving, restrictive or custom items, work-in-process, or that constitute spare parts, packaging and shipping materials, supplies used or consumed in Borrowers' business, bill and hold goods, defective goods, "seconds," or Inventory acquired on consignment, except for Eligible Raw Inventory.</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Equipment</w:t>
      </w:r>
    </w:p>
    <w:p>
      <w:pPr>
        <w:spacing w:after="0" w:line="212" w:lineRule="exact"/>
        <w:rPr>
          <w:sz w:val="20"/>
          <w:szCs w:val="20"/>
          <w:color w:val="auto"/>
        </w:rPr>
      </w:pPr>
    </w:p>
    <w:p>
      <w:pPr>
        <w:ind w:left="160" w:hanging="152"/>
        <w:spacing w:after="0"/>
        <w:tabs>
          <w:tab w:leader="none" w:pos="1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All of the material Equipment is used or held for use in Loan Parties' business or is useful in Loan Parties' business.</w:t>
      </w:r>
    </w:p>
    <w:p>
      <w:pPr>
        <w:spacing w:after="0" w:line="211" w:lineRule="exact"/>
        <w:rPr>
          <w:rFonts w:ascii="Arial" w:cs="Arial" w:eastAsia="Arial" w:hAnsi="Arial"/>
          <w:sz w:val="21"/>
          <w:szCs w:val="21"/>
          <w:color w:val="auto"/>
        </w:rPr>
      </w:pPr>
    </w:p>
    <w:p>
      <w:pPr>
        <w:ind w:left="760"/>
        <w:spacing w:after="0"/>
        <w:rPr>
          <w:rFonts w:ascii="Arial" w:cs="Arial" w:eastAsia="Arial" w:hAnsi="Arial"/>
          <w:sz w:val="21"/>
          <w:szCs w:val="21"/>
          <w:color w:val="auto"/>
        </w:rPr>
      </w:pPr>
      <w:r>
        <w:rPr>
          <w:rFonts w:ascii="Arial" w:cs="Arial" w:eastAsia="Arial" w:hAnsi="Arial"/>
          <w:sz w:val="22"/>
          <w:szCs w:val="22"/>
          <w:b w:val="1"/>
          <w:bCs w:val="1"/>
          <w:u w:val="single" w:color="auto"/>
          <w:color w:val="auto"/>
        </w:rPr>
        <w:t>Location of Inventory</w:t>
      </w:r>
    </w:p>
    <w:p>
      <w:pPr>
        <w:spacing w:after="0" w:line="212" w:lineRule="exact"/>
        <w:rPr>
          <w:sz w:val="20"/>
          <w:szCs w:val="20"/>
          <w:color w:val="auto"/>
        </w:rPr>
      </w:pPr>
    </w:p>
    <w:p>
      <w:pPr>
        <w:ind w:firstLine="8"/>
        <w:spacing w:after="0" w:line="250" w:lineRule="auto"/>
        <w:tabs>
          <w:tab w:leader="none" w:pos="207"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Inventory is not stored with a bailee, warehouseman, or similar party and is located only at the locations identified on </w:t>
      </w:r>
      <w:r>
        <w:rPr>
          <w:rFonts w:ascii="Arial" w:cs="Arial" w:eastAsia="Arial" w:hAnsi="Arial"/>
          <w:sz w:val="22"/>
          <w:szCs w:val="22"/>
          <w:u w:val="single" w:color="auto"/>
          <w:color w:val="auto"/>
        </w:rPr>
        <w:t>Schedule 5.5</w:t>
      </w:r>
      <w:r>
        <w:rPr>
          <w:rFonts w:ascii="Arial" w:cs="Arial" w:eastAsia="Arial" w:hAnsi="Arial"/>
          <w:sz w:val="22"/>
          <w:szCs w:val="22"/>
          <w:color w:val="auto"/>
        </w:rPr>
        <w: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Inventory Records</w:t>
      </w:r>
    </w:p>
    <w:p>
      <w:pPr>
        <w:spacing w:after="0" w:line="212" w:lineRule="exact"/>
        <w:rPr>
          <w:sz w:val="20"/>
          <w:szCs w:val="20"/>
          <w:color w:val="auto"/>
        </w:rPr>
      </w:pPr>
    </w:p>
    <w:p>
      <w:pPr>
        <w:ind w:firstLine="8"/>
        <w:spacing w:after="0" w:line="250" w:lineRule="auto"/>
        <w:tabs>
          <w:tab w:leader="none" w:pos="166" w:val="left"/>
        </w:tabs>
        <w:numPr>
          <w:ilvl w:val="0"/>
          <w:numId w:val="82"/>
        </w:numPr>
        <w:rPr>
          <w:rFonts w:ascii="Arial" w:cs="Arial" w:eastAsia="Arial" w:hAnsi="Arial"/>
          <w:sz w:val="22"/>
          <w:szCs w:val="22"/>
          <w:color w:val="auto"/>
        </w:rPr>
      </w:pPr>
      <w:r>
        <w:rPr>
          <w:rFonts w:ascii="Arial" w:cs="Arial" w:eastAsia="Arial" w:hAnsi="Arial"/>
          <w:sz w:val="22"/>
          <w:szCs w:val="22"/>
          <w:color w:val="auto"/>
        </w:rPr>
        <w:t>Each Loan Party keeps correct and accurate records itemizing and describing the type, quality, and quantity of its Inventory and the book value thereof.</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Location of Chief Executive Office; FEIN</w:t>
      </w:r>
    </w:p>
    <w:p>
      <w:pPr>
        <w:spacing w:after="0" w:line="212" w:lineRule="exact"/>
        <w:rPr>
          <w:sz w:val="20"/>
          <w:szCs w:val="20"/>
          <w:color w:val="auto"/>
        </w:rPr>
      </w:pPr>
    </w:p>
    <w:p>
      <w:pPr>
        <w:ind w:firstLine="8"/>
        <w:spacing w:after="0" w:line="250" w:lineRule="auto"/>
        <w:tabs>
          <w:tab w:leader="none" w:pos="178"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The chief executive office of each Loan Party is located at the address indicated in </w:t>
      </w:r>
      <w:r>
        <w:rPr>
          <w:rFonts w:ascii="Arial" w:cs="Arial" w:eastAsia="Arial" w:hAnsi="Arial"/>
          <w:sz w:val="22"/>
          <w:szCs w:val="22"/>
          <w:u w:val="single" w:color="auto"/>
          <w:color w:val="auto"/>
        </w:rPr>
        <w:t>Schedule 5.7</w:t>
      </w:r>
      <w:r>
        <w:rPr>
          <w:rFonts w:ascii="Arial" w:cs="Arial" w:eastAsia="Arial" w:hAnsi="Arial"/>
          <w:sz w:val="22"/>
          <w:szCs w:val="22"/>
          <w:color w:val="auto"/>
        </w:rPr>
        <w:t xml:space="preserve"> and each Borrower's FEIN is identified in </w:t>
      </w:r>
      <w:r>
        <w:rPr>
          <w:rFonts w:ascii="Arial" w:cs="Arial" w:eastAsia="Arial" w:hAnsi="Arial"/>
          <w:sz w:val="22"/>
          <w:szCs w:val="22"/>
          <w:u w:val="single" w:color="auto"/>
          <w:color w:val="auto"/>
        </w:rPr>
        <w:t>Schedule 5.7</w:t>
      </w:r>
      <w:r>
        <w:rPr>
          <w:rFonts w:ascii="Arial" w:cs="Arial" w:eastAsia="Arial" w:hAnsi="Arial"/>
          <w:sz w:val="22"/>
          <w:szCs w:val="22"/>
          <w:color w:val="auto"/>
        </w:rPr>
        <w: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Due Organization and Qualification; Subsidiaries</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Each Loan Party is duly organized and existing and in good standing under the laws of the jurisdiction of its organization and qualified to do business in any state where the failure to be so qualified reasonably could be expected to have a Material Adverse Change.</w:t>
      </w:r>
    </w:p>
    <w:p>
      <w:pPr>
        <w:spacing w:after="0" w:line="186"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5.8(b)</w:t>
      </w:r>
      <w:r>
        <w:rPr>
          <w:rFonts w:ascii="Arial" w:cs="Arial" w:eastAsia="Arial" w:hAnsi="Arial"/>
          <w:sz w:val="19"/>
          <w:szCs w:val="19"/>
          <w:color w:val="auto"/>
        </w:rPr>
        <w:t xml:space="preserve">, is a complete and accurate description of the authorized capital Stock of each Loan Party, by class, and, as of the Restatement Effective Date, a description of the number of shares of each such class that are issued and outstanding (except with respect to the Parent). Other than as described on </w:t>
      </w:r>
      <w:r>
        <w:rPr>
          <w:rFonts w:ascii="Arial" w:cs="Arial" w:eastAsia="Arial" w:hAnsi="Arial"/>
          <w:sz w:val="19"/>
          <w:szCs w:val="19"/>
          <w:u w:val="single" w:color="auto"/>
          <w:color w:val="auto"/>
        </w:rPr>
        <w:t>Schedule 5.8(b)</w:t>
      </w:r>
      <w:r>
        <w:rPr>
          <w:rFonts w:ascii="Arial" w:cs="Arial" w:eastAsia="Arial" w:hAnsi="Arial"/>
          <w:sz w:val="19"/>
          <w:szCs w:val="19"/>
          <w:color w:val="auto"/>
        </w:rPr>
        <w:t xml:space="preserve"> , there are no subscriptions, options, warrants, or calls relating to any shares of each Loan Party's (other than the Parent's) capital Stock, including any right of conversion or exchange under any outstanding security or other instrument. Except with respect to the Parent and as otherwise described on </w:t>
      </w:r>
      <w:r>
        <w:rPr>
          <w:rFonts w:ascii="Arial" w:cs="Arial" w:eastAsia="Arial" w:hAnsi="Arial"/>
          <w:sz w:val="19"/>
          <w:szCs w:val="19"/>
          <w:u w:val="single" w:color="auto"/>
          <w:color w:val="auto"/>
        </w:rPr>
        <w:t>Schedule 5.8(b)</w:t>
      </w:r>
      <w:r>
        <w:rPr>
          <w:rFonts w:ascii="Arial" w:cs="Arial" w:eastAsia="Arial" w:hAnsi="Arial"/>
          <w:sz w:val="19"/>
          <w:szCs w:val="19"/>
          <w:color w:val="auto"/>
        </w:rPr>
        <w:t xml:space="preserve"> , no Loan Party is subject to any obligation (contingent or otherwise) to repurchase or otherwise acquire or retire any shares of its capital Stock or any security convertible into or exchangeable for any of its capital Stock.</w:t>
      </w:r>
    </w:p>
    <w:p>
      <w:pPr>
        <w:spacing w:after="0" w:line="152"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5.8(c)</w:t>
      </w:r>
      <w:r>
        <w:rPr>
          <w:rFonts w:ascii="Arial" w:cs="Arial" w:eastAsia="Arial" w:hAnsi="Arial"/>
          <w:sz w:val="22"/>
          <w:szCs w:val="22"/>
          <w:color w:val="auto"/>
        </w:rPr>
        <w:t>, is a complete and accurate list of each Loan Party's direct and indirect Subsidiaries, showing: (i) the jurisdiction of their organization; (ii) the number of shares of each class of common and preferred Stock authorized for each of such Subsidiaries; and (iii) the number and the percentage of the outstanding shares of each such class owned directly or indirectly by the applicable Loan Party. All of the outstanding capital Stock of each such Subsidiary has been validly issued and is fully 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9" w:name="page140"/>
    <w:bookmarkEnd w:id="139"/>
    <w:p>
      <w:pPr>
        <w:jc w:val="both"/>
        <w:ind w:firstLine="1497"/>
        <w:spacing w:after="0" w:line="236" w:lineRule="auto"/>
        <w:rPr>
          <w:sz w:val="20"/>
          <w:szCs w:val="20"/>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5.8(c)</w:t>
      </w:r>
      <w:r>
        <w:rPr>
          <w:rFonts w:ascii="Arial" w:cs="Arial" w:eastAsia="Arial" w:hAnsi="Arial"/>
          <w:sz w:val="22"/>
          <w:szCs w:val="22"/>
          <w:color w:val="auto"/>
        </w:rPr>
        <w:t>, (i) there are no subscriptions, options, warrants, or calls relating to any shares of any Loan Party's Subsidiaries' capital Stock, including any right of conversion or exchange under any outstanding security or other instrument, and (ii) no Loan Party nor any of its respective Subsidiaries is subject to any obligation (contingent or otherwise) to repurchase or otherwise acquire or retire any shares of any Loan Party's Subsidiaries' capital Stock or any security convertible into or exchangeable for any such capital Stock.</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Due Authorization; No Conflict</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As to each Loan Party, the execution, delivery, and performance by such Loan Party of this Agreement and the Loan Documents to which it is a party have been duly authorized by all necessary action on the part of such Loan Party.</w:t>
      </w:r>
    </w:p>
    <w:p>
      <w:pPr>
        <w:spacing w:after="0" w:line="105"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As to each Loan Party, the execution, delivery, and performance by such Loan Party of this Agreement and the Loan Documents to which it is a party do not and will not (i) violate any provision of federal, state, or local law or regulation applicable to any Loan Party, the Governing Documents of any Loan Party, or any order, judgment, or decree of any court or other Governmental Authority binding on any Loan Party, (ii) conflict with, result in a breach of, or constitute (with due notice or lapse of time or both) a default under any material contractual obligation of any Loan Party, (iii) result in or require the creation or imposition of any Lien of any nature whatsoever upon any properties or assets of any Loan Party, other than Permitted Liens, or (iv) require any approval of any Loan Party's interestholders or any approval or consent of any Person under any material contractual obligation of any Loan Party.</w:t>
      </w:r>
    </w:p>
    <w:p>
      <w:pPr>
        <w:spacing w:after="0" w:line="180"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Other than the filing of financing statements, the recording of mortgages, the execution, delivery, and performance by each Loan Party of this Agreement and the Loan Documents to which such Loan Party is a party do not and will not require any registration with, consent, or approval of, or notice to, or other action with or by, any Governmental Authority or other Person.</w:t>
      </w:r>
    </w:p>
    <w:p>
      <w:pPr>
        <w:spacing w:after="0" w:line="185"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As to each Loan Party, this Agreement and the other Loan Documents to which such Loan Party is a party, and all other documents contemplated hereby and thereby, when executed and delivered by such Loan Party will be the legally valid and binding obligations of such Loan Party, enforceable against such Loan Party in accordance with their respective terms, except as enforcement may be limited by equitable principles or by bankruptcy, insolvency, reorganization, moratorium, or similar laws relating to or limiting creditors' rights generally.</w:t>
      </w:r>
    </w:p>
    <w:p>
      <w:pPr>
        <w:spacing w:after="0" w:line="18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The Agent's Liens granted by the Loan Parties are validly created, perfected, and first priority Liens (subject only to (i) Permitted Liens, (ii) the filing of financing statements and other recordations with the United States Patent and Trademark Office and (iii) the recording of mortgages, if any).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Litigation</w:t>
      </w:r>
    </w:p>
    <w:p>
      <w:pPr>
        <w:spacing w:after="0" w:line="212" w:lineRule="exact"/>
        <w:rPr>
          <w:sz w:val="20"/>
          <w:szCs w:val="20"/>
          <w:color w:val="auto"/>
        </w:rPr>
      </w:pPr>
    </w:p>
    <w:p>
      <w:pPr>
        <w:jc w:val="both"/>
        <w:ind w:firstLine="8"/>
        <w:spacing w:after="0" w:line="238" w:lineRule="auto"/>
        <w:tabs>
          <w:tab w:leader="none" w:pos="247"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Other than those matters disclosed on </w:t>
      </w:r>
      <w:r>
        <w:rPr>
          <w:rFonts w:ascii="Arial" w:cs="Arial" w:eastAsia="Arial" w:hAnsi="Arial"/>
          <w:sz w:val="22"/>
          <w:szCs w:val="22"/>
          <w:u w:val="single" w:color="auto"/>
          <w:color w:val="auto"/>
        </w:rPr>
        <w:t>Schedule 5.10</w:t>
      </w:r>
      <w:r>
        <w:rPr>
          <w:rFonts w:ascii="Arial" w:cs="Arial" w:eastAsia="Arial" w:hAnsi="Arial"/>
          <w:sz w:val="22"/>
          <w:szCs w:val="22"/>
          <w:color w:val="auto"/>
        </w:rPr>
        <w:t>, there are no actions, suits, or proceedings pending or, to the best knowledge of the Loan Parties, threatened against the Loan Parties or any of their Subsidiaries, as applicable, except for (a) matters that are fully covered by insurance (subject to customary deductibles), and (b) matters arising after the Restatement Effective Date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0" w:name="page141"/>
    <w:bookmarkEnd w:id="140"/>
    <w:p>
      <w:pPr>
        <w:spacing w:after="0" w:line="250" w:lineRule="auto"/>
        <w:rPr>
          <w:sz w:val="20"/>
          <w:szCs w:val="20"/>
          <w:color w:val="auto"/>
        </w:rPr>
      </w:pPr>
      <w:r>
        <w:rPr>
          <w:rFonts w:ascii="Arial" w:cs="Arial" w:eastAsia="Arial" w:hAnsi="Arial"/>
          <w:sz w:val="22"/>
          <w:szCs w:val="22"/>
          <w:color w:val="auto"/>
        </w:rPr>
        <w:t>that, if decided adversely to the Loan Parties or any of their Subsidiaries, as applicable, reasonably could not be expected to result in a Material Adverse Change.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No Material Adverse Change</w:t>
      </w:r>
    </w:p>
    <w:p>
      <w:pPr>
        <w:spacing w:after="0" w:line="212" w:lineRule="exact"/>
        <w:rPr>
          <w:sz w:val="20"/>
          <w:szCs w:val="20"/>
          <w:color w:val="auto"/>
        </w:rPr>
      </w:pPr>
    </w:p>
    <w:p>
      <w:pPr>
        <w:jc w:val="both"/>
        <w:ind w:firstLine="8"/>
        <w:spacing w:after="0" w:line="238" w:lineRule="auto"/>
        <w:tabs>
          <w:tab w:leader="none" w:pos="151" w:val="left"/>
        </w:tabs>
        <w:numPr>
          <w:ilvl w:val="0"/>
          <w:numId w:val="85"/>
        </w:numPr>
        <w:rPr>
          <w:rFonts w:ascii="Arial" w:cs="Arial" w:eastAsia="Arial" w:hAnsi="Arial"/>
          <w:sz w:val="22"/>
          <w:szCs w:val="22"/>
          <w:color w:val="auto"/>
        </w:rPr>
      </w:pPr>
      <w:r>
        <w:rPr>
          <w:rFonts w:ascii="Arial" w:cs="Arial" w:eastAsia="Arial" w:hAnsi="Arial"/>
          <w:sz w:val="22"/>
          <w:szCs w:val="22"/>
          <w:color w:val="auto"/>
        </w:rPr>
        <w:t>All financial statements relating to the Loan Parties that have been delivered by the Loan Parties to the Lender Group have been prepared in accordance with GAAP (except, in the case of unaudited financial statements, for the lack of footnotes and being subject to year-end audit adjustments) and present fairly in all material respects, the Loan Parties' financial condition as of the date thereof and results of operations for the period then ended.</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Fraudulent Transfer</w:t>
      </w:r>
      <w:r>
        <w:rPr>
          <w:rFonts w:ascii="Arial" w:cs="Arial" w:eastAsia="Arial" w:hAnsi="Arial"/>
          <w:sz w:val="22"/>
          <w:szCs w:val="22"/>
          <w:color w:val="auto"/>
        </w:rPr>
        <w:t>.</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Loan Parties, taken as a whole, are Solvent.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the Loan Parties.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Employee Benefits</w:t>
      </w:r>
    </w:p>
    <w:p>
      <w:pPr>
        <w:spacing w:after="0" w:line="212" w:lineRule="exact"/>
        <w:rPr>
          <w:sz w:val="20"/>
          <w:szCs w:val="20"/>
          <w:color w:val="auto"/>
        </w:rPr>
      </w:pPr>
    </w:p>
    <w:p>
      <w:pPr>
        <w:ind w:firstLine="8"/>
        <w:spacing w:after="0" w:line="250" w:lineRule="auto"/>
        <w:tabs>
          <w:tab w:leader="none" w:pos="2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None of the Loan Parties, any of their Subsidiaries, or any of their ERISA Affiliates maintains or contributes to any Benefit Plan.</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Environmental Condition</w:t>
      </w:r>
    </w:p>
    <w:p>
      <w:pPr>
        <w:spacing w:after="0" w:line="212" w:lineRule="exact"/>
        <w:rPr>
          <w:sz w:val="20"/>
          <w:szCs w:val="20"/>
          <w:color w:val="auto"/>
        </w:rPr>
      </w:pPr>
    </w:p>
    <w:p>
      <w:pPr>
        <w:jc w:val="both"/>
        <w:ind w:firstLine="8"/>
        <w:spacing w:after="0" w:line="245" w:lineRule="auto"/>
        <w:tabs>
          <w:tab w:leader="none" w:pos="172"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5.14</w:t>
      </w:r>
      <w:r>
        <w:rPr>
          <w:rFonts w:ascii="Arial" w:cs="Arial" w:eastAsia="Arial" w:hAnsi="Arial"/>
          <w:sz w:val="21"/>
          <w:szCs w:val="21"/>
          <w:color w:val="auto"/>
        </w:rPr>
        <w:t>, (a) to the Loan Parties' knowledge, none of the Loan Parties' properties or assets has ever been used by the Loan Parties or by previous owners or operators in the disposal of, or to produce, store, handle, treat, release, or transport, any Hazardous Materials, where such production, storage, handling, treatment, release or transport was in violation, in any material respect, of applicable Environmental Law, (b) to the Loan Parties' knowledge, none of the Loan Parties' properties or assets has ever been designated or identified in any manner pursuant to any environmental protection statute as a Hazardous Materials disposal site, (c) none of the Loan Parties have received notice that a Lien arising under any Environmental Law has attached to any revenues or to any Real Property owned or operated by the Loan Parties, and (d) none of the Loan Parties have received a summons, citation, notice, or directive from the Environmental Protection Agency or any other federal or state governmental agency concerning any action or omission by any Loan Party resulting in the releasing or disposing of Hazardous Materials into the environment.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FF0000"/>
          <w:strike w:val="1"/>
        </w:rPr>
        <w:t>intentionally omitted</w:t>
      </w:r>
      <w:r>
        <w:rPr>
          <w:rFonts w:ascii="Arial" w:cs="Arial" w:eastAsia="Arial" w:hAnsi="Arial"/>
          <w:sz w:val="22"/>
          <w:szCs w:val="22"/>
          <w:i w:val="1"/>
          <w:iCs w:val="1"/>
          <w:u w:val="single" w:color="auto"/>
          <w:color w:val="0000FF"/>
        </w:rPr>
        <w:t>Intentionally Omitted</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Intellectual Property</w:t>
      </w:r>
    </w:p>
    <w:p>
      <w:pPr>
        <w:spacing w:after="0" w:line="212" w:lineRule="exact"/>
        <w:rPr>
          <w:sz w:val="20"/>
          <w:szCs w:val="20"/>
          <w:color w:val="auto"/>
        </w:rPr>
      </w:pPr>
    </w:p>
    <w:p>
      <w:pPr>
        <w:jc w:val="both"/>
        <w:ind w:firstLine="8"/>
        <w:spacing w:after="0"/>
        <w:tabs>
          <w:tab w:leader="none" w:pos="171"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Each Loan Party owns, or holds licenses in, all trademarks, trade names, copyrights, patents, patent rights, and licenses that are necessary to the conduct of its business as currently conducted. Attached hereto as </w:t>
      </w:r>
      <w:r>
        <w:rPr>
          <w:rFonts w:ascii="Arial" w:cs="Arial" w:eastAsia="Arial" w:hAnsi="Arial"/>
          <w:sz w:val="22"/>
          <w:szCs w:val="22"/>
          <w:u w:val="single" w:color="auto"/>
          <w:color w:val="auto"/>
        </w:rPr>
        <w:t>Schedule 5.16</w:t>
      </w:r>
      <w:r>
        <w:rPr>
          <w:rFonts w:ascii="Arial" w:cs="Arial" w:eastAsia="Arial" w:hAnsi="Arial"/>
          <w:sz w:val="22"/>
          <w:szCs w:val="22"/>
          <w:color w:val="auto"/>
        </w:rPr>
        <w:t xml:space="preserve"> is a true, correct, and complete listing of all material patents,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1" w:name="page142"/>
    <w:bookmarkEnd w:id="141"/>
    <w:p>
      <w:pPr>
        <w:spacing w:after="0" w:line="250" w:lineRule="auto"/>
        <w:rPr>
          <w:sz w:val="20"/>
          <w:szCs w:val="20"/>
          <w:color w:val="auto"/>
        </w:rPr>
      </w:pPr>
      <w:r>
        <w:rPr>
          <w:rFonts w:ascii="Arial" w:cs="Arial" w:eastAsia="Arial" w:hAnsi="Arial"/>
          <w:sz w:val="22"/>
          <w:szCs w:val="22"/>
          <w:color w:val="auto"/>
        </w:rPr>
        <w:t>patent applications, trademarks, trademark applications, copyrights, and copyright registrations as to which each Loan Party is the owner or is an exclusive licensee.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Leases</w:t>
      </w:r>
    </w:p>
    <w:p>
      <w:pPr>
        <w:spacing w:after="0" w:line="212" w:lineRule="exact"/>
        <w:rPr>
          <w:sz w:val="20"/>
          <w:szCs w:val="20"/>
          <w:color w:val="auto"/>
        </w:rPr>
      </w:pPr>
    </w:p>
    <w:p>
      <w:pPr>
        <w:jc w:val="both"/>
        <w:ind w:firstLine="8"/>
        <w:spacing w:after="0"/>
        <w:tabs>
          <w:tab w:leader="none" w:pos="168"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Loan Parties enjoy peaceful and undisturbed possession under all leases material to the business of the Loan Parties and to which the Loan Parties are a party or under which the Loan Parties are operating. All of such leases are valid and subsisting and no material default by the Loan Parties exists under any of them.</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DDAs</w:t>
      </w:r>
    </w:p>
    <w:p>
      <w:pPr>
        <w:spacing w:after="0" w:line="212" w:lineRule="exact"/>
        <w:rPr>
          <w:sz w:val="20"/>
          <w:szCs w:val="20"/>
          <w:color w:val="auto"/>
        </w:rPr>
      </w:pPr>
    </w:p>
    <w:p>
      <w:pPr>
        <w:ind w:firstLine="8"/>
        <w:spacing w:after="0" w:line="274" w:lineRule="auto"/>
        <w:tabs>
          <w:tab w:leader="none" w:pos="175"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Set forth on </w:t>
      </w:r>
      <w:r>
        <w:rPr>
          <w:rFonts w:ascii="Arial" w:cs="Arial" w:eastAsia="Arial" w:hAnsi="Arial"/>
          <w:sz w:val="21"/>
          <w:szCs w:val="21"/>
          <w:u w:val="single" w:color="auto"/>
          <w:color w:val="auto"/>
        </w:rPr>
        <w:t>Schedule 5.18</w:t>
      </w:r>
      <w:r>
        <w:rPr>
          <w:rFonts w:ascii="Arial" w:cs="Arial" w:eastAsia="Arial" w:hAnsi="Arial"/>
          <w:sz w:val="21"/>
          <w:szCs w:val="21"/>
          <w:color w:val="auto"/>
        </w:rPr>
        <w:t xml:space="preserve"> are all of the DDAs of each Loan Party, including, with respect to each depository (i) the name and address of that depository, and (ii) the account numbers of the accounts maintained with such depository.</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Complete Disclosure</w:t>
      </w:r>
    </w:p>
    <w:p>
      <w:pPr>
        <w:spacing w:after="0" w:line="212" w:lineRule="exact"/>
        <w:rPr>
          <w:sz w:val="20"/>
          <w:szCs w:val="20"/>
          <w:color w:val="auto"/>
        </w:rPr>
      </w:pPr>
    </w:p>
    <w:p>
      <w:pPr>
        <w:jc w:val="both"/>
        <w:ind w:firstLine="8"/>
        <w:spacing w:after="0" w:line="246" w:lineRule="auto"/>
        <w:tabs>
          <w:tab w:leader="none" w:pos="198" w:val="left"/>
        </w:tabs>
        <w:numPr>
          <w:ilvl w:val="0"/>
          <w:numId w:val="91"/>
        </w:numPr>
        <w:rPr>
          <w:rFonts w:ascii="Arial" w:cs="Arial" w:eastAsia="Arial" w:hAnsi="Arial"/>
          <w:sz w:val="21"/>
          <w:szCs w:val="21"/>
          <w:color w:val="auto"/>
        </w:rPr>
      </w:pPr>
      <w:r>
        <w:rPr>
          <w:rFonts w:ascii="Arial" w:cs="Arial" w:eastAsia="Arial" w:hAnsi="Arial"/>
          <w:sz w:val="21"/>
          <w:szCs w:val="21"/>
          <w:color w:val="auto"/>
        </w:rPr>
        <w:t>All factual information (taken as a whole) furnished by or on behalf of the Loan Parties in writing to Agent or any Lender (including all information contained in the Schedules hereto or in the other Loan Documents) for purposes of or in connection with this Agreement, the other Loan Documents or any transaction contemplated herein or therein is, and all other such factual information (taken as a whole) hereafter furnished by or on behalf of the Loan Parties in writing to the Agent or any Lender will be,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 information was provided.</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Indebtedness</w:t>
      </w:r>
    </w:p>
    <w:p>
      <w:pPr>
        <w:spacing w:after="0" w:line="212" w:lineRule="exact"/>
        <w:rPr>
          <w:sz w:val="20"/>
          <w:szCs w:val="20"/>
          <w:color w:val="auto"/>
        </w:rPr>
      </w:pPr>
    </w:p>
    <w:p>
      <w:pPr>
        <w:jc w:val="both"/>
        <w:ind w:firstLine="8"/>
        <w:spacing w:after="0" w:line="287" w:lineRule="auto"/>
        <w:tabs>
          <w:tab w:leader="none" w:pos="183"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5.20</w:t>
      </w:r>
      <w:r>
        <w:rPr>
          <w:rFonts w:ascii="Arial" w:cs="Arial" w:eastAsia="Arial" w:hAnsi="Arial"/>
          <w:sz w:val="19"/>
          <w:szCs w:val="19"/>
          <w:color w:val="auto"/>
        </w:rPr>
        <w:t xml:space="preserve"> is a true and complete list of all Indebtedness of each Loan Party outstanding immediately prior to the Restatement Effective Date that is to remain outstanding after the Restatement Effective Date, other than Indebtedness owing by a Loan Party to another Loan Party, and such Schedule accurately reflects the aggregate principal amount of such Indebtedness, the amortization schedule (if any) in respect of such Indebtedness and the maturity date of such Indebtedness.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Patriot Act</w:t>
      </w:r>
    </w:p>
    <w:p>
      <w:pPr>
        <w:spacing w:after="0" w:line="212" w:lineRule="exact"/>
        <w:rPr>
          <w:sz w:val="20"/>
          <w:szCs w:val="20"/>
          <w:color w:val="auto"/>
        </w:rPr>
      </w:pPr>
    </w:p>
    <w:p>
      <w:pPr>
        <w:jc w:val="both"/>
        <w:ind w:firstLine="8"/>
        <w:spacing w:after="0" w:line="277" w:lineRule="auto"/>
        <w:tabs>
          <w:tab w:leader="none" w:pos="164" w:val="left"/>
        </w:tabs>
        <w:numPr>
          <w:ilvl w:val="0"/>
          <w:numId w:val="93"/>
        </w:numPr>
        <w:rPr>
          <w:rFonts w:ascii="Arial" w:cs="Arial" w:eastAsia="Arial" w:hAnsi="Arial"/>
          <w:sz w:val="19"/>
          <w:szCs w:val="19"/>
          <w:color w:val="auto"/>
        </w:rPr>
      </w:pPr>
      <w:r>
        <w:rPr>
          <w:rFonts w:ascii="Arial" w:cs="Arial" w:eastAsia="Arial" w:hAnsi="Arial"/>
          <w:sz w:val="19"/>
          <w:szCs w:val="19"/>
          <w:color w:val="auto"/>
        </w:rPr>
        <w:t>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(the "</w:t>
      </w:r>
      <w:r>
        <w:rPr>
          <w:rFonts w:ascii="Arial" w:cs="Arial" w:eastAsia="Arial" w:hAnsi="Arial"/>
          <w:sz w:val="19"/>
          <w:szCs w:val="19"/>
          <w:u w:val="single" w:color="auto"/>
          <w:color w:val="auto"/>
        </w:rPr>
        <w:t>Patriot</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w:t>
      </w:r>
      <w:r>
        <w:rPr>
          <w:rFonts w:ascii="Arial" w:cs="Arial" w:eastAsia="Arial" w:hAnsi="Arial"/>
          <w:sz w:val="19"/>
          <w:szCs w:val="19"/>
          <w:color w:val="auto"/>
        </w:rPr>
        <w:t>"). No part of the proceeds of the loans made hereunder will be used by any Loan Party or any of their Affiliates, directly or indirectly, for any payments to any governmental official or employee, political party, official of a political party, candidate for political office, or anyone else acting in an official capacity, in order to obtain, retain or direct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2" w:name="page143"/>
    <w:bookmarkEnd w:id="142"/>
    <w:p>
      <w:pPr>
        <w:spacing w:after="0"/>
        <w:rPr>
          <w:sz w:val="20"/>
          <w:szCs w:val="20"/>
          <w:color w:val="auto"/>
        </w:rPr>
      </w:pPr>
      <w:r>
        <w:rPr>
          <w:rFonts w:ascii="Arial" w:cs="Arial" w:eastAsia="Arial" w:hAnsi="Arial"/>
          <w:sz w:val="19"/>
          <w:szCs w:val="19"/>
          <w:color w:val="auto"/>
        </w:rPr>
        <w:t>business or obtain any improper advantage, in violation of the United States Foreign Corrupt Practices Act of 1977, as amended.</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Hedge Agreements</w:t>
      </w:r>
    </w:p>
    <w:p>
      <w:pPr>
        <w:spacing w:after="0" w:line="212" w:lineRule="exact"/>
        <w:rPr>
          <w:sz w:val="20"/>
          <w:szCs w:val="20"/>
          <w:color w:val="auto"/>
        </w:rPr>
      </w:pPr>
    </w:p>
    <w:p>
      <w:pPr>
        <w:jc w:val="both"/>
        <w:ind w:firstLine="8"/>
        <w:spacing w:after="0"/>
        <w:tabs>
          <w:tab w:leader="none" w:pos="1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On each date that any Hedge Agreement is executed by any Bank Product Provider, each Borrower and each other Loan Party satisfies all eligibility, suitability and other requirements under the Commodity Exchange Act (7 U.S.C. § 1, et seq., as in effect from time to time) and the Commodity Futures Trading Commission regulations.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OFAC; Sanctions; Anti-Corruption Laws; Anti-Money Laundering Laws</w:t>
      </w:r>
    </w:p>
    <w:p>
      <w:pPr>
        <w:spacing w:after="0" w:line="212" w:lineRule="exact"/>
        <w:rPr>
          <w:sz w:val="20"/>
          <w:szCs w:val="20"/>
          <w:color w:val="auto"/>
        </w:rPr>
      </w:pPr>
    </w:p>
    <w:p>
      <w:pPr>
        <w:jc w:val="both"/>
        <w:ind w:firstLine="8"/>
        <w:spacing w:after="0" w:line="276" w:lineRule="auto"/>
        <w:tabs>
          <w:tab w:leader="none" w:pos="176" w:val="left"/>
        </w:tabs>
        <w:numPr>
          <w:ilvl w:val="0"/>
          <w:numId w:val="95"/>
        </w:numPr>
        <w:rPr>
          <w:rFonts w:ascii="Arial" w:cs="Arial" w:eastAsia="Arial" w:hAnsi="Arial"/>
          <w:sz w:val="19"/>
          <w:szCs w:val="19"/>
          <w:color w:val="auto"/>
        </w:rPr>
      </w:pPr>
      <w:r>
        <w:rPr>
          <w:rFonts w:ascii="Arial" w:cs="Arial" w:eastAsia="Arial" w:hAnsi="Arial"/>
          <w:sz w:val="19"/>
          <w:szCs w:val="19"/>
          <w:color w:val="auto"/>
        </w:rPr>
        <w:t>No Loan Party or any of its Subsidiaries is in violation of any Sanctions. No Loan Party nor any of its Subsidiaries nor, to the knowledge of such Loan Party, any director, officer, employee, agent or controlled affiliate of such Loan Party or such Subsidiary</w:t>
      </w:r>
    </w:p>
    <w:p>
      <w:pPr>
        <w:spacing w:after="0" w:line="1" w:lineRule="exact"/>
        <w:rPr>
          <w:rFonts w:ascii="Arial" w:cs="Arial" w:eastAsia="Arial" w:hAnsi="Arial"/>
          <w:sz w:val="19"/>
          <w:szCs w:val="19"/>
          <w:color w:val="auto"/>
        </w:rPr>
      </w:pPr>
    </w:p>
    <w:p>
      <w:pPr>
        <w:jc w:val="both"/>
        <w:spacing w:after="0" w:line="242" w:lineRule="auto"/>
        <w:rPr>
          <w:rFonts w:ascii="Arial" w:cs="Arial" w:eastAsia="Arial" w:hAnsi="Arial"/>
          <w:sz w:val="19"/>
          <w:szCs w:val="19"/>
          <w:color w:val="auto"/>
        </w:rPr>
      </w:pPr>
      <w:r>
        <w:rPr>
          <w:rFonts w:ascii="Arial" w:cs="Arial" w:eastAsia="Arial" w:hAnsi="Arial"/>
          <w:sz w:val="21"/>
          <w:szCs w:val="21"/>
          <w:color w:val="auto"/>
        </w:rPr>
        <w:t>(a)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designed to ensure compliance with all Sanctions, Anti-Corruption Laws and Anti-Money Laundering Laws. Each of the Loan Parties and its Subsidiaries, and to the knowledge of each such Loan Party, each director, officer, employee, agent and controlled affiliate of each such Loan Party and each such Subsidiary, is in compliance (i) with all Sanctions, and (ii) in all material respects, with all Anti-Corruption Laws and Anti-Money Laundering Laws.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Sanction, Anti-Corruption Law or Anti-Money Laundering Law by such Loan Party, such Subsidiary, any Lender, Bank Product Provider, or other individual or entity participating in the transactions contemplated herein.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Margin Stock</w:t>
      </w:r>
    </w:p>
    <w:p>
      <w:pPr>
        <w:spacing w:after="0" w:line="212" w:lineRule="exact"/>
        <w:rPr>
          <w:sz w:val="20"/>
          <w:szCs w:val="20"/>
          <w:color w:val="auto"/>
        </w:rPr>
      </w:pPr>
    </w:p>
    <w:p>
      <w:pPr>
        <w:jc w:val="both"/>
        <w:ind w:firstLine="8"/>
        <w:spacing w:after="0" w:line="282" w:lineRule="auto"/>
        <w:tabs>
          <w:tab w:leader="none" w:pos="118" w:val="left"/>
        </w:tabs>
        <w:numPr>
          <w:ilvl w:val="0"/>
          <w:numId w:val="96"/>
        </w:numPr>
        <w:rPr>
          <w:rFonts w:ascii="Arial" w:cs="Arial" w:eastAsia="Arial" w:hAnsi="Arial"/>
          <w:sz w:val="19"/>
          <w:szCs w:val="19"/>
          <w:color w:val="auto"/>
        </w:rPr>
      </w:pPr>
      <w:r>
        <w:rPr>
          <w:rFonts w:ascii="Arial" w:cs="Arial" w:eastAsia="Arial" w:hAnsi="Arial"/>
          <w:sz w:val="19"/>
          <w:szCs w:val="19"/>
          <w:color w:val="auto"/>
        </w:rPr>
        <w:t>As of the Second Amendment Date, neither any Loan Party nor any of its Subsidiaries owns any Margin Stock. Neither any Loan Party nor any of its Subsidiaries is engaged principally, or as one of its important activities, in the business of extending credit for the purpose of purchasing or carrying any Margin Stock. No part of the proceeds of the loans made to Borrowers will be used to purchase or carry any Margin Stock or to extend credit to others for the purpose of purchasing or carrying any Margin Stock or for any purpose that violates the provisions of Regulation T, U or X of the Board of Governors.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CARES Debt</w:t>
      </w:r>
    </w:p>
    <w:p>
      <w:pPr>
        <w:spacing w:after="0" w:line="212" w:lineRule="exact"/>
        <w:rPr>
          <w:sz w:val="20"/>
          <w:szCs w:val="20"/>
          <w:color w:val="auto"/>
        </w:rPr>
      </w:pPr>
    </w:p>
    <w:p>
      <w:pPr>
        <w:ind w:firstLine="8"/>
        <w:spacing w:after="0" w:line="250" w:lineRule="auto"/>
        <w:tabs>
          <w:tab w:leader="none" w:pos="111" w:val="left"/>
        </w:tabs>
        <w:numPr>
          <w:ilvl w:val="0"/>
          <w:numId w:val="97"/>
        </w:numPr>
        <w:rPr>
          <w:rFonts w:ascii="Arial" w:cs="Arial" w:eastAsia="Arial" w:hAnsi="Arial"/>
          <w:sz w:val="22"/>
          <w:szCs w:val="22"/>
          <w:color w:val="auto"/>
        </w:rPr>
      </w:pPr>
      <w:r>
        <w:rPr>
          <w:rFonts w:ascii="Arial" w:cs="Arial" w:eastAsia="Arial" w:hAnsi="Arial"/>
          <w:sz w:val="22"/>
          <w:szCs w:val="22"/>
          <w:color w:val="auto"/>
        </w:rPr>
        <w:t>All applications, documents and other information submitted to any Governmental Authority with respect to the CARES Debt shall be true and correct in all material respects.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b w:val="1"/>
          <w:bCs w:val="1"/>
          <w:color w:val="auto"/>
        </w:rPr>
        <w:t>AFFIRMATIVE COVENANTS.</w:t>
      </w:r>
    </w:p>
    <w:p>
      <w:pPr>
        <w:spacing w:after="0" w:line="212"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color w:val="auto"/>
        </w:rPr>
        <w:t>Each Loan Party covenants and agrees that, so long as any credit hereunder shall be available and until full and final payment of the Obligations, Loan Parties shall and shall cause each of their respective Subsidiaries to do all of the following:</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Accounting System</w:t>
      </w:r>
    </w:p>
    <w:p>
      <w:pPr>
        <w:spacing w:after="0" w:line="212" w:lineRule="exact"/>
        <w:rPr>
          <w:sz w:val="20"/>
          <w:szCs w:val="20"/>
          <w:color w:val="auto"/>
        </w:rPr>
      </w:pPr>
    </w:p>
    <w:p>
      <w:pPr>
        <w:jc w:val="both"/>
        <w:ind w:firstLine="8"/>
        <w:spacing w:after="0" w:line="238" w:lineRule="auto"/>
        <w:tabs>
          <w:tab w:leader="none" w:pos="225" w:val="left"/>
        </w:tabs>
        <w:numPr>
          <w:ilvl w:val="0"/>
          <w:numId w:val="98"/>
        </w:numPr>
        <w:rPr>
          <w:rFonts w:ascii="Arial" w:cs="Arial" w:eastAsia="Arial" w:hAnsi="Arial"/>
          <w:sz w:val="22"/>
          <w:szCs w:val="22"/>
          <w:color w:val="auto"/>
        </w:rPr>
      </w:pPr>
      <w:r>
        <w:rPr>
          <w:rFonts w:ascii="Arial" w:cs="Arial" w:eastAsia="Arial" w:hAnsi="Arial"/>
          <w:sz w:val="22"/>
          <w:szCs w:val="22"/>
          <w:color w:val="auto"/>
        </w:rPr>
        <w:t>Maintain a system of accounting that enables Loan Parties to produce financial statements in accordance with GAAP and maintain records pertaining to the Collateral that contain information as from time to time reasonably may be requested by Agent. The Loan Parties also shall keep an inventory reporting system that shows all additions, sales, claims, returns, and allowances with respect to the Inventory.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Collateral Reporting</w:t>
      </w:r>
    </w:p>
    <w:p>
      <w:pPr>
        <w:spacing w:after="0" w:line="212" w:lineRule="exact"/>
        <w:rPr>
          <w:sz w:val="20"/>
          <w:szCs w:val="20"/>
          <w:color w:val="auto"/>
        </w:rPr>
      </w:pPr>
    </w:p>
    <w:p>
      <w:pPr>
        <w:ind w:firstLine="8"/>
        <w:spacing w:after="0" w:line="250" w:lineRule="auto"/>
        <w:tabs>
          <w:tab w:leader="none" w:pos="194" w:val="left"/>
        </w:tabs>
        <w:numPr>
          <w:ilvl w:val="0"/>
          <w:numId w:val="99"/>
        </w:numPr>
        <w:rPr>
          <w:rFonts w:ascii="Arial" w:cs="Arial" w:eastAsia="Arial" w:hAnsi="Arial"/>
          <w:sz w:val="22"/>
          <w:szCs w:val="22"/>
          <w:color w:val="auto"/>
        </w:rPr>
      </w:pPr>
      <w:r>
        <w:rPr>
          <w:rFonts w:ascii="Arial" w:cs="Arial" w:eastAsia="Arial" w:hAnsi="Arial"/>
          <w:sz w:val="22"/>
          <w:szCs w:val="22"/>
          <w:color w:val="auto"/>
        </w:rPr>
        <w:t>Provide Agent (and if so requested by a Lender, with copies for such Lender) with the following documents at the following times in form satisfactory to Agent: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600" w:type="dxa"/>
            <w:vAlign w:val="bottom"/>
            <w:tcBorders>
              <w:top w:val="single" w:sz="8" w:color="auto"/>
              <w:bottom w:val="single" w:sz="8" w:color="auto"/>
              <w:right w:val="single" w:sz="8" w:color="auto"/>
            </w:tcBorders>
          </w:tcPr>
          <w:p>
            <w:pPr>
              <w:spacing w:after="0"/>
              <w:rPr>
                <w:sz w:val="3"/>
                <w:szCs w:val="3"/>
                <w:color w:val="auto"/>
              </w:rPr>
            </w:pPr>
          </w:p>
        </w:tc>
        <w:tc>
          <w:tcPr>
            <w:tcW w:w="772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40" w:type="dxa"/>
            <w:vAlign w:val="bottom"/>
            <w:tcBorders>
              <w:right w:val="single" w:sz="8" w:color="auto"/>
            </w:tcBorders>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During the continuance of a</w:t>
            </w: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1"/>
              </w:rPr>
              <w:t>(a)  a sales journal, collection journal, and credit register since the last such schedule</w:t>
            </w: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Reporting Trigger Period, weekly,</w:t>
            </w:r>
          </w:p>
        </w:tc>
        <w:tc>
          <w:tcPr>
            <w:tcW w:w="77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and a calculation of the Borrowing Base of Borrowers on an individual and a</w:t>
            </w: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w w:val="94"/>
              </w:rPr>
              <w:t>not later than the 3rd day of the next</w:t>
            </w:r>
          </w:p>
        </w:tc>
        <w:tc>
          <w:tcPr>
            <w:tcW w:w="77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combined basis, and</w:t>
            </w: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succeeding week; otherwise such</w:t>
            </w:r>
          </w:p>
        </w:tc>
        <w:tc>
          <w:tcPr>
            <w:tcW w:w="7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(b)  notice of all returns, disputes, or claims.</w:t>
            </w:r>
          </w:p>
        </w:tc>
        <w:tc>
          <w:tcPr>
            <w:tcW w:w="0" w:type="dxa"/>
            <w:vAlign w:val="bottom"/>
          </w:tcPr>
          <w:p>
            <w:pPr>
              <w:spacing w:after="0"/>
              <w:rPr>
                <w:sz w:val="1"/>
                <w:szCs w:val="1"/>
                <w:color w:val="auto"/>
              </w:rPr>
            </w:pPr>
          </w:p>
        </w:tc>
      </w:tr>
      <w:tr>
        <w:trPr>
          <w:trHeight w:val="139"/>
        </w:trPr>
        <w:tc>
          <w:tcPr>
            <w:tcW w:w="40" w:type="dxa"/>
            <w:vAlign w:val="bottom"/>
            <w:tcBorders>
              <w:right w:val="single" w:sz="8" w:color="auto"/>
            </w:tcBorders>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2"/>
                <w:szCs w:val="22"/>
                <w:color w:val="auto"/>
              </w:rPr>
              <w:t>documents are not required</w:t>
            </w:r>
          </w:p>
        </w:tc>
        <w:tc>
          <w:tcPr>
            <w:tcW w:w="7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tcBorders>
              <w:right w:val="single" w:sz="8" w:color="auto"/>
            </w:tcBorders>
            <w:gridSpan w:val="2"/>
            <w:vMerge w:val="continue"/>
          </w:tcPr>
          <w:p>
            <w:pPr>
              <w:spacing w:after="0"/>
              <w:rPr>
                <w:sz w:val="11"/>
                <w:szCs w:val="11"/>
                <w:color w:val="auto"/>
              </w:rPr>
            </w:pPr>
          </w:p>
        </w:tc>
        <w:tc>
          <w:tcPr>
            <w:tcW w:w="7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7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40" w:type="dxa"/>
            <w:vAlign w:val="bottom"/>
            <w:tcBorders>
              <w:right w:val="single" w:sz="8" w:color="auto"/>
            </w:tcBorders>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w w:val="96"/>
              </w:rPr>
              <w:t>Monthly, not later than the 20th day</w:t>
            </w: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7"/>
              </w:rPr>
              <w:t>(c)  Inventory reports specifying each Borrower's cost and the wholesale market</w:t>
            </w: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of the next succeeding month,</w:t>
            </w:r>
          </w:p>
        </w:tc>
        <w:tc>
          <w:tcPr>
            <w:tcW w:w="77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4"/>
              </w:rPr>
              <w:t>value of its Inventory, with additional detail showing additions to and deletions from</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Borders>
              <w:right w:val="single" w:sz="8" w:color="auto"/>
            </w:tcBorders>
            <w:gridSpan w:val="2"/>
          </w:tcPr>
          <w:p>
            <w:pPr>
              <w:spacing w:after="0" w:line="224" w:lineRule="exact"/>
              <w:rPr>
                <w:sz w:val="20"/>
                <w:szCs w:val="20"/>
                <w:color w:val="auto"/>
              </w:rPr>
            </w:pPr>
            <w:r>
              <w:rPr>
                <w:rFonts w:ascii="Arial" w:cs="Arial" w:eastAsia="Arial" w:hAnsi="Arial"/>
                <w:sz w:val="22"/>
                <w:szCs w:val="22"/>
                <w:color w:val="auto"/>
              </w:rPr>
              <w:t>provided, that, during the</w:t>
            </w:r>
          </w:p>
        </w:tc>
        <w:tc>
          <w:tcPr>
            <w:tcW w:w="7720" w:type="dxa"/>
            <w:vAlign w:val="bottom"/>
            <w:tcBorders>
              <w:right w:val="single" w:sz="8" w:color="auto"/>
            </w:tcBorders>
          </w:tcPr>
          <w:p>
            <w:pPr>
              <w:ind w:left="100"/>
              <w:spacing w:after="0" w:line="224" w:lineRule="exact"/>
              <w:rPr>
                <w:sz w:val="20"/>
                <w:szCs w:val="20"/>
                <w:color w:val="auto"/>
              </w:rPr>
            </w:pPr>
            <w:r>
              <w:rPr>
                <w:rFonts w:ascii="Arial" w:cs="Arial" w:eastAsia="Arial" w:hAnsi="Arial"/>
                <w:sz w:val="22"/>
                <w:szCs w:val="22"/>
                <w:color w:val="auto"/>
              </w:rPr>
              <w:t>the Inventory.</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77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Borders>
              <w:right w:val="single" w:sz="8" w:color="auto"/>
            </w:tcBorders>
            <w:gridSpan w:val="2"/>
          </w:tcPr>
          <w:p>
            <w:pPr>
              <w:spacing w:after="0" w:line="242" w:lineRule="exact"/>
              <w:rPr>
                <w:sz w:val="20"/>
                <w:szCs w:val="20"/>
                <w:color w:val="auto"/>
              </w:rPr>
            </w:pPr>
            <w:r>
              <w:rPr>
                <w:rFonts w:ascii="Arial" w:cs="Arial" w:eastAsia="Arial" w:hAnsi="Arial"/>
                <w:sz w:val="22"/>
                <w:szCs w:val="22"/>
                <w:color w:val="auto"/>
                <w:w w:val="98"/>
              </w:rPr>
              <w:t>continuance of a Reporting Trigger</w:t>
            </w:r>
          </w:p>
        </w:tc>
        <w:tc>
          <w:tcPr>
            <w:tcW w:w="7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w w:val="90"/>
              </w:rPr>
              <w:t>Period, such reports shall be provided</w:t>
            </w:r>
          </w:p>
        </w:tc>
        <w:tc>
          <w:tcPr>
            <w:tcW w:w="7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w w:val="95"/>
              </w:rPr>
              <w:t>weekly, not later than the 3rd day of</w:t>
            </w:r>
          </w:p>
        </w:tc>
        <w:tc>
          <w:tcPr>
            <w:tcW w:w="7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the next succeeding week, to the</w:t>
            </w:r>
          </w:p>
        </w:tc>
        <w:tc>
          <w:tcPr>
            <w:tcW w:w="7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extent such weekly reports can be</w:t>
            </w:r>
          </w:p>
        </w:tc>
        <w:tc>
          <w:tcPr>
            <w:tcW w:w="7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generated by the Loan Parties</w:t>
            </w:r>
          </w:p>
        </w:tc>
        <w:tc>
          <w:tcPr>
            <w:tcW w:w="7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w w:val="95"/>
              </w:rPr>
              <w:t>existing inventory reporting systems</w:t>
            </w:r>
          </w:p>
        </w:tc>
        <w:tc>
          <w:tcPr>
            <w:tcW w:w="7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Borders>
              <w:right w:val="single" w:sz="8" w:color="auto"/>
            </w:tcBorders>
            <w:shd w:val="clear" w:color="auto" w:fill="000000"/>
          </w:tcPr>
          <w:p>
            <w:pPr>
              <w:spacing w:after="0"/>
              <w:rPr>
                <w:sz w:val="23"/>
                <w:szCs w:val="23"/>
                <w:color w:val="auto"/>
              </w:rPr>
            </w:pPr>
          </w:p>
        </w:tc>
        <w:tc>
          <w:tcPr>
            <w:tcW w:w="100" w:type="dxa"/>
            <w:vAlign w:val="bottom"/>
          </w:tcPr>
          <w:p>
            <w:pPr>
              <w:spacing w:after="0"/>
              <w:rPr>
                <w:sz w:val="23"/>
                <w:szCs w:val="23"/>
                <w:color w:val="auto"/>
              </w:rPr>
            </w:pPr>
          </w:p>
        </w:tc>
        <w:tc>
          <w:tcPr>
            <w:tcW w:w="338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without undue burden or expense</w:t>
            </w:r>
          </w:p>
        </w:tc>
        <w:tc>
          <w:tcPr>
            <w:tcW w:w="7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1"/>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7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880" w:type="dxa"/>
            <w:vAlign w:val="bottom"/>
            <w:gridSpan w:val="2"/>
          </w:tcPr>
          <w:p>
            <w:pPr>
              <w:jc w:val="right"/>
              <w:ind w:right="452"/>
              <w:spacing w:after="0"/>
              <w:rPr>
                <w:sz w:val="20"/>
                <w:szCs w:val="20"/>
                <w:color w:val="auto"/>
              </w:rPr>
            </w:pPr>
            <w:r>
              <w:rPr>
                <w:rFonts w:ascii="Arial" w:cs="Arial" w:eastAsia="Arial" w:hAnsi="Arial"/>
                <w:sz w:val="22"/>
                <w:szCs w:val="22"/>
                <w:color w:val="auto"/>
                <w:w w:val="76"/>
              </w:rPr>
              <w:t>-90-</w:t>
            </w:r>
          </w:p>
        </w:tc>
        <w:tc>
          <w:tcPr>
            <w:tcW w:w="2600" w:type="dxa"/>
            <w:vAlign w:val="bottom"/>
          </w:tcPr>
          <w:p>
            <w:pPr>
              <w:spacing w:after="0"/>
              <w:rPr>
                <w:sz w:val="23"/>
                <w:szCs w:val="23"/>
                <w:color w:val="auto"/>
              </w:rPr>
            </w:pPr>
          </w:p>
        </w:tc>
        <w:tc>
          <w:tcPr>
            <w:tcW w:w="7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7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357"/>
        </w:trPr>
        <w:tc>
          <w:tcPr>
            <w:tcW w:w="40" w:type="dxa"/>
            <w:vAlign w:val="bottom"/>
            <w:tcBorders>
              <w:top w:val="single" w:sz="8" w:color="auto"/>
              <w:right w:val="single" w:sz="8" w:color="auto"/>
            </w:tcBorders>
            <w:shd w:val="clear" w:color="auto" w:fill="000000"/>
          </w:tcPr>
          <w:p>
            <w:pPr>
              <w:spacing w:after="0"/>
              <w:rPr>
                <w:sz w:val="24"/>
                <w:szCs w:val="24"/>
                <w:color w:val="auto"/>
              </w:rPr>
            </w:pPr>
          </w:p>
        </w:tc>
        <w:tc>
          <w:tcPr>
            <w:tcW w:w="3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6"/>
              </w:rPr>
              <w:t>Monthly, not later than the 20th day</w:t>
            </w:r>
          </w:p>
        </w:tc>
        <w:tc>
          <w:tcPr>
            <w:tcW w:w="77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4"/>
              </w:rPr>
              <w:t>(d)  a detailed calculation of the Borrowing Base of Borrowers, on an individual and</w:t>
            </w: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34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of the next succeeding month</w:t>
            </w:r>
          </w:p>
        </w:tc>
        <w:tc>
          <w:tcPr>
            <w:tcW w:w="77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3"/>
              </w:rPr>
              <w:t>a combined basis, (including, in each case, detail regarding those Accounts that are</w:t>
            </w:r>
          </w:p>
        </w:tc>
      </w:tr>
      <w:tr>
        <w:trPr>
          <w:trHeight w:val="274"/>
        </w:trPr>
        <w:tc>
          <w:tcPr>
            <w:tcW w:w="40" w:type="dxa"/>
            <w:vAlign w:val="bottom"/>
            <w:tcBorders>
              <w:right w:val="single" w:sz="8" w:color="auto"/>
            </w:tcBorders>
            <w:shd w:val="clear" w:color="auto" w:fill="000000"/>
          </w:tcPr>
          <w:p>
            <w:pPr>
              <w:spacing w:after="0"/>
              <w:rPr>
                <w:sz w:val="23"/>
                <w:szCs w:val="23"/>
                <w:color w:val="auto"/>
              </w:rPr>
            </w:pPr>
          </w:p>
        </w:tc>
        <w:tc>
          <w:tcPr>
            <w:tcW w:w="348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not Eligible Accounts),</w:t>
            </w:r>
          </w:p>
        </w:tc>
      </w:tr>
      <w:tr>
        <w:trPr>
          <w:trHeight w:val="320"/>
        </w:trPr>
        <w:tc>
          <w:tcPr>
            <w:tcW w:w="40" w:type="dxa"/>
            <w:vAlign w:val="bottom"/>
            <w:tcBorders>
              <w:right w:val="single" w:sz="8" w:color="auto"/>
            </w:tcBorders>
            <w:shd w:val="clear" w:color="auto" w:fill="000000"/>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5"/>
              </w:rPr>
              <w:t>(e)  a detailed aging, by total, of the Accounts, together with a reconciliation to the</w:t>
            </w:r>
          </w:p>
        </w:tc>
      </w:tr>
      <w:tr>
        <w:trPr>
          <w:trHeight w:val="274"/>
        </w:trPr>
        <w:tc>
          <w:tcPr>
            <w:tcW w:w="40" w:type="dxa"/>
            <w:vAlign w:val="bottom"/>
            <w:tcBorders>
              <w:right w:val="single" w:sz="8" w:color="auto"/>
            </w:tcBorders>
            <w:shd w:val="clear" w:color="auto" w:fill="000000"/>
          </w:tcPr>
          <w:p>
            <w:pPr>
              <w:spacing w:after="0"/>
              <w:rPr>
                <w:sz w:val="23"/>
                <w:szCs w:val="23"/>
                <w:color w:val="auto"/>
              </w:rPr>
            </w:pPr>
          </w:p>
        </w:tc>
        <w:tc>
          <w:tcPr>
            <w:tcW w:w="348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detailed calculation of the Borrowing Base previously provided to Agent,</w:t>
            </w:r>
          </w:p>
        </w:tc>
      </w:tr>
      <w:tr>
        <w:trPr>
          <w:trHeight w:val="320"/>
        </w:trPr>
        <w:tc>
          <w:tcPr>
            <w:tcW w:w="40" w:type="dxa"/>
            <w:vAlign w:val="bottom"/>
            <w:tcBorders>
              <w:right w:val="single" w:sz="8" w:color="auto"/>
            </w:tcBorders>
            <w:shd w:val="clear" w:color="auto" w:fill="000000"/>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8"/>
              </w:rPr>
              <w:t>(f)   a summary aging, by vendor, of Borrowers' accounts payable and any book</w:t>
            </w:r>
          </w:p>
        </w:tc>
      </w:tr>
      <w:tr>
        <w:trPr>
          <w:trHeight w:val="274"/>
        </w:trPr>
        <w:tc>
          <w:tcPr>
            <w:tcW w:w="40" w:type="dxa"/>
            <w:vAlign w:val="bottom"/>
            <w:tcBorders>
              <w:right w:val="single" w:sz="8" w:color="auto"/>
            </w:tcBorders>
            <w:shd w:val="clear" w:color="auto" w:fill="000000"/>
          </w:tcPr>
          <w:p>
            <w:pPr>
              <w:spacing w:after="0"/>
              <w:rPr>
                <w:sz w:val="23"/>
                <w:szCs w:val="23"/>
                <w:color w:val="auto"/>
              </w:rPr>
            </w:pPr>
          </w:p>
        </w:tc>
        <w:tc>
          <w:tcPr>
            <w:tcW w:w="348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overdraft, and</w:t>
            </w:r>
          </w:p>
        </w:tc>
      </w:tr>
      <w:tr>
        <w:trPr>
          <w:trHeight w:val="351"/>
        </w:trPr>
        <w:tc>
          <w:tcPr>
            <w:tcW w:w="40" w:type="dxa"/>
            <w:vAlign w:val="bottom"/>
            <w:tcBorders>
              <w:right w:val="single" w:sz="8" w:color="auto"/>
            </w:tcBorders>
            <w:shd w:val="clear" w:color="auto" w:fill="000000"/>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  a calculation of Dilution for the prior month.</w:t>
            </w:r>
          </w:p>
        </w:tc>
      </w:tr>
      <w:tr>
        <w:trPr>
          <w:trHeight w:val="112"/>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7720" w:type="dxa"/>
            <w:vAlign w:val="bottom"/>
            <w:tcBorders>
              <w:bottom w:val="single" w:sz="8" w:color="auto"/>
              <w:right w:val="single" w:sz="8" w:color="auto"/>
            </w:tcBorders>
          </w:tcPr>
          <w:p>
            <w:pPr>
              <w:spacing w:after="0"/>
              <w:rPr>
                <w:sz w:val="9"/>
                <w:szCs w:val="9"/>
                <w:color w:val="auto"/>
              </w:rPr>
            </w:pPr>
          </w:p>
        </w:tc>
      </w:tr>
      <w:tr>
        <w:trPr>
          <w:trHeight w:val="337"/>
        </w:trPr>
        <w:tc>
          <w:tcPr>
            <w:tcW w:w="40" w:type="dxa"/>
            <w:vAlign w:val="bottom"/>
            <w:tcBorders>
              <w:right w:val="single" w:sz="8" w:color="auto"/>
            </w:tcBorders>
            <w:shd w:val="clear" w:color="auto" w:fill="000000"/>
          </w:tcPr>
          <w:p>
            <w:pPr>
              <w:spacing w:after="0"/>
              <w:rPr>
                <w:sz w:val="24"/>
                <w:szCs w:val="24"/>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1"/>
              </w:rPr>
              <w:t>Quarterly, not later than 30 days after</w:t>
            </w: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3"/>
              </w:rPr>
              <w:t>(h)  a detailed list of each Borrower's customers with outstanding account balances,</w:t>
            </w:r>
          </w:p>
        </w:tc>
      </w:tr>
      <w:tr>
        <w:trPr>
          <w:trHeight w:val="274"/>
        </w:trPr>
        <w:tc>
          <w:tcPr>
            <w:tcW w:w="40" w:type="dxa"/>
            <w:vAlign w:val="bottom"/>
            <w:tcBorders>
              <w:right w:val="single" w:sz="8" w:color="auto"/>
            </w:tcBorders>
            <w:shd w:val="clear" w:color="auto" w:fill="000000"/>
          </w:tcPr>
          <w:p>
            <w:pPr>
              <w:spacing w:after="0"/>
              <w:rPr>
                <w:sz w:val="23"/>
                <w:szCs w:val="23"/>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the end of each fiscal quarter</w:t>
            </w: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and</w:t>
            </w:r>
          </w:p>
        </w:tc>
      </w:tr>
      <w:tr>
        <w:trPr>
          <w:trHeight w:val="351"/>
        </w:trPr>
        <w:tc>
          <w:tcPr>
            <w:tcW w:w="40" w:type="dxa"/>
            <w:vAlign w:val="bottom"/>
            <w:tcBorders>
              <w:right w:val="single" w:sz="8" w:color="auto"/>
            </w:tcBorders>
            <w:shd w:val="clear" w:color="auto" w:fill="000000"/>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7"/>
              </w:rPr>
              <w:t>(i)  a report regarding each Loan Parties' accrued, but unpaid, ad valorem taxes,</w:t>
            </w:r>
          </w:p>
        </w:tc>
      </w:tr>
      <w:tr>
        <w:trPr>
          <w:trHeight w:val="111"/>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7720" w:type="dxa"/>
            <w:vAlign w:val="bottom"/>
            <w:tcBorders>
              <w:bottom w:val="single" w:sz="8" w:color="auto"/>
              <w:right w:val="single" w:sz="8" w:color="auto"/>
            </w:tcBorders>
          </w:tcPr>
          <w:p>
            <w:pPr>
              <w:spacing w:after="0"/>
              <w:rPr>
                <w:sz w:val="9"/>
                <w:szCs w:val="9"/>
                <w:color w:val="auto"/>
              </w:rPr>
            </w:pPr>
          </w:p>
        </w:tc>
      </w:tr>
      <w:tr>
        <w:trPr>
          <w:trHeight w:val="337"/>
        </w:trPr>
        <w:tc>
          <w:tcPr>
            <w:tcW w:w="40" w:type="dxa"/>
            <w:vAlign w:val="bottom"/>
            <w:tcBorders>
              <w:right w:val="single" w:sz="8" w:color="auto"/>
            </w:tcBorders>
            <w:shd w:val="clear" w:color="auto" w:fill="000000"/>
          </w:tcPr>
          <w:p>
            <w:pPr>
              <w:spacing w:after="0"/>
              <w:rPr>
                <w:sz w:val="24"/>
                <w:szCs w:val="24"/>
                <w:color w:val="auto"/>
              </w:rPr>
            </w:pPr>
          </w:p>
        </w:tc>
        <w:tc>
          <w:tcPr>
            <w:tcW w:w="34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Promptly following reasonable</w:t>
            </w: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6"/>
              </w:rPr>
              <w:t>(j)   copies of invoices in connection with the Accounts, credit memos, remittance</w:t>
            </w: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34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request by Agent</w:t>
            </w:r>
          </w:p>
        </w:tc>
        <w:tc>
          <w:tcPr>
            <w:tcW w:w="77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9"/>
              </w:rPr>
              <w:t>advices, deposit slips, shipping and delivery documents in connection with the</w:t>
            </w: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3480" w:type="dxa"/>
            <w:vAlign w:val="bottom"/>
            <w:tcBorders>
              <w:right w:val="single" w:sz="8" w:color="auto"/>
            </w:tcBorders>
          </w:tcPr>
          <w:p>
            <w:pPr>
              <w:spacing w:after="0"/>
              <w:rPr>
                <w:sz w:val="21"/>
                <w:szCs w:val="21"/>
                <w:color w:val="auto"/>
              </w:rPr>
            </w:pPr>
          </w:p>
        </w:tc>
        <w:tc>
          <w:tcPr>
            <w:tcW w:w="77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3"/>
              </w:rPr>
              <w:t>Accounts and, for Inventory and Equipment acquired by the Loan Parties, purchase</w:t>
            </w:r>
          </w:p>
        </w:tc>
      </w:tr>
      <w:tr>
        <w:trPr>
          <w:trHeight w:val="274"/>
        </w:trPr>
        <w:tc>
          <w:tcPr>
            <w:tcW w:w="40" w:type="dxa"/>
            <w:vAlign w:val="bottom"/>
            <w:tcBorders>
              <w:right w:val="single" w:sz="8" w:color="auto"/>
            </w:tcBorders>
            <w:shd w:val="clear" w:color="auto" w:fill="000000"/>
          </w:tcPr>
          <w:p>
            <w:pPr>
              <w:spacing w:after="0"/>
              <w:rPr>
                <w:sz w:val="23"/>
                <w:szCs w:val="23"/>
                <w:color w:val="auto"/>
              </w:rPr>
            </w:pPr>
          </w:p>
        </w:tc>
        <w:tc>
          <w:tcPr>
            <w:tcW w:w="348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orders and invoices, and</w:t>
            </w:r>
          </w:p>
        </w:tc>
      </w:tr>
      <w:tr>
        <w:trPr>
          <w:trHeight w:val="320"/>
        </w:trPr>
        <w:tc>
          <w:tcPr>
            <w:tcW w:w="40" w:type="dxa"/>
            <w:vAlign w:val="bottom"/>
            <w:tcBorders>
              <w:right w:val="single" w:sz="8" w:color="auto"/>
            </w:tcBorders>
            <w:shd w:val="clear" w:color="auto" w:fill="000000"/>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3"/>
              </w:rPr>
              <w:t>(k)  such other reports as to the Collateral, or the financial condition of Loan Parties</w:t>
            </w:r>
          </w:p>
        </w:tc>
      </w:tr>
      <w:tr>
        <w:trPr>
          <w:trHeight w:val="274"/>
        </w:trPr>
        <w:tc>
          <w:tcPr>
            <w:tcW w:w="40" w:type="dxa"/>
            <w:vAlign w:val="bottom"/>
            <w:tcBorders>
              <w:right w:val="single" w:sz="8" w:color="auto"/>
            </w:tcBorders>
            <w:shd w:val="clear" w:color="auto" w:fill="000000"/>
          </w:tcPr>
          <w:p>
            <w:pPr>
              <w:spacing w:after="0"/>
              <w:rPr>
                <w:sz w:val="23"/>
                <w:szCs w:val="23"/>
                <w:color w:val="auto"/>
              </w:rPr>
            </w:pPr>
          </w:p>
        </w:tc>
        <w:tc>
          <w:tcPr>
            <w:tcW w:w="348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as Agent may request.</w:t>
            </w:r>
          </w:p>
        </w:tc>
      </w:tr>
      <w:tr>
        <w:trPr>
          <w:trHeight w:val="111"/>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7720" w:type="dxa"/>
            <w:vAlign w:val="bottom"/>
            <w:tcBorders>
              <w:bottom w:val="single" w:sz="8" w:color="auto"/>
              <w:right w:val="single" w:sz="8" w:color="auto"/>
            </w:tcBorders>
          </w:tcPr>
          <w:p>
            <w:pPr>
              <w:spacing w:after="0"/>
              <w:rPr>
                <w:sz w:val="9"/>
                <w:szCs w:val="9"/>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c>
          <w:tcPr>
            <w:tcW w:w="7720" w:type="dxa"/>
            <w:vAlign w:val="bottom"/>
            <w:tcBorders>
              <w:bottom w:val="single" w:sz="8" w:color="auto"/>
              <w:right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In addition, each Borrower agrees to cooperate fully with Agent to facilitate and implement a system of electronic collateral reporting in order to provide electronic reporting of each of the items set forth above.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Financial Statements, Reports, Certificates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Deliver to Agent, with copies to each Lender:</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as soon as available, but in any event within 30 days (45 days (or, if such Person has filed a filing extension with the SEC, 50 days) in the case of a month that is the end of one of the first 3 fiscal quarters in a fiscal year) after the end of each month during each of Parent's fiscal years,</w:t>
      </w:r>
    </w:p>
    <w:p>
      <w:pPr>
        <w:spacing w:after="0" w:line="18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a company prepared consolidated and, solely in the case of a month that is the end of one of the fiscal quarters of the Parent, consolidating balance sheet, income statement, and statement of cash flow covering Parent's and its Subsidiaries' operations during such period,</w:t>
      </w:r>
    </w:p>
    <w:p>
      <w:pPr>
        <w:spacing w:after="0" w:line="186"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a certificate signed by the chief financial officer or vice president/treasurer of Parent to the effect that: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145" w:name="page146"/>
    <w:bookmarkEnd w:id="145"/>
    <w:p>
      <w:pPr>
        <w:jc w:val="both"/>
        <w:ind w:left="1500" w:firstLine="1498"/>
        <w:spacing w:after="0"/>
        <w:rPr>
          <w:sz w:val="20"/>
          <w:szCs w:val="20"/>
          <w:color w:val="auto"/>
        </w:rPr>
      </w:pPr>
      <w:r>
        <w:rPr>
          <w:rFonts w:ascii="Arial" w:cs="Arial" w:eastAsia="Arial" w:hAnsi="Arial"/>
          <w:sz w:val="22"/>
          <w:szCs w:val="22"/>
          <w:color w:val="auto"/>
        </w:rPr>
        <w:t>the financial statements delivered hereunder have been prepared in accordance with GAAP (except for the lack of footnotes and being subject to year-end audit adjustments) and fairly present in all material respects the financial condition of Parent and its Subsidiaries,</w:t>
      </w:r>
    </w:p>
    <w:p>
      <w:pPr>
        <w:spacing w:after="0" w:line="186"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Intentionally</w:t>
      </w:r>
      <w:r>
        <w:rPr>
          <w:rFonts w:ascii="Arial" w:cs="Arial" w:eastAsia="Arial" w:hAnsi="Arial"/>
          <w:sz w:val="22"/>
          <w:szCs w:val="22"/>
          <w:i w:val="1"/>
          <w:iCs w:val="1"/>
          <w:u w:val="single" w:color="auto"/>
          <w:color w:val="0000FF"/>
        </w:rPr>
        <w:t>intentionally</w:t>
      </w:r>
      <w:r>
        <w:rPr>
          <w:rFonts w:ascii="Arial" w:cs="Arial" w:eastAsia="Arial" w:hAnsi="Arial"/>
          <w:sz w:val="22"/>
          <w:szCs w:val="22"/>
          <w:color w:val="auto"/>
        </w:rPr>
        <w:t xml:space="preserve"> </w:t>
      </w:r>
      <w:r>
        <w:rPr>
          <w:rFonts w:ascii="Arial" w:cs="Arial" w:eastAsia="Arial" w:hAnsi="Arial"/>
          <w:sz w:val="22"/>
          <w:szCs w:val="22"/>
          <w:i w:val="1"/>
          <w:iCs w:val="1"/>
          <w:color w:val="auto"/>
        </w:rPr>
        <w:t>omitted</w:t>
      </w:r>
      <w:r>
        <w:rPr>
          <w:rFonts w:ascii="Arial" w:cs="Arial" w:eastAsia="Arial" w:hAnsi="Arial"/>
          <w:sz w:val="22"/>
          <w:szCs w:val="22"/>
          <w:color w:val="auto"/>
        </w:rPr>
        <w:t>], and</w:t>
      </w:r>
    </w:p>
    <w:p>
      <w:pPr>
        <w:spacing w:after="0" w:line="206" w:lineRule="exact"/>
        <w:rPr>
          <w:sz w:val="20"/>
          <w:szCs w:val="20"/>
          <w:color w:val="auto"/>
        </w:rPr>
      </w:pPr>
    </w:p>
    <w:p>
      <w:pPr>
        <w:jc w:val="both"/>
        <w:ind w:left="1500" w:firstLine="1498"/>
        <w:spacing w:after="0" w:line="297" w:lineRule="auto"/>
        <w:rPr>
          <w:sz w:val="20"/>
          <w:szCs w:val="20"/>
          <w:color w:val="auto"/>
        </w:rPr>
      </w:pPr>
      <w:r>
        <w:rPr>
          <w:rFonts w:ascii="Arial" w:cs="Arial" w:eastAsia="Arial" w:hAnsi="Arial"/>
          <w:sz w:val="19"/>
          <w:szCs w:val="19"/>
          <w:color w:val="auto"/>
        </w:rPr>
        <w:t>there does not exist any condition or event that constitutes a Default or Event of Default (or, to the extent of any non-compliance, describing such non-compliance as to which he or she may have knowledge and what action Loan Parties have taken, are taking, or propose to take with respect thereto), and</w:t>
      </w:r>
    </w:p>
    <w:p>
      <w:pPr>
        <w:spacing w:after="0" w:line="134"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 xml:space="preserve">for each month that is the date on which a financial covenant in </w:t>
      </w:r>
      <w:r>
        <w:rPr>
          <w:rFonts w:ascii="Arial" w:cs="Arial" w:eastAsia="Arial" w:hAnsi="Arial"/>
          <w:sz w:val="22"/>
          <w:szCs w:val="22"/>
          <w:u w:val="single" w:color="auto"/>
          <w:color w:val="auto"/>
        </w:rPr>
        <w:t>Section 7.20</w:t>
      </w:r>
      <w:r>
        <w:rPr>
          <w:rFonts w:ascii="Arial" w:cs="Arial" w:eastAsia="Arial" w:hAnsi="Arial"/>
          <w:sz w:val="22"/>
          <w:szCs w:val="22"/>
          <w:color w:val="auto"/>
        </w:rPr>
        <w:t xml:space="preserve"> is to be tested, a Compliance Certificate demonstrating, in reasonable detail, compliance at the end of such period with the applicable financial covenants contained in </w:t>
      </w:r>
      <w:r>
        <w:rPr>
          <w:rFonts w:ascii="Arial" w:cs="Arial" w:eastAsia="Arial" w:hAnsi="Arial"/>
          <w:sz w:val="22"/>
          <w:szCs w:val="22"/>
          <w:u w:val="single" w:color="auto"/>
          <w:color w:val="auto"/>
        </w:rPr>
        <w:t>Section 7.20</w:t>
      </w:r>
      <w:r>
        <w:rPr>
          <w:rFonts w:ascii="Arial" w:cs="Arial" w:eastAsia="Arial" w:hAnsi="Arial"/>
          <w:sz w:val="22"/>
          <w:szCs w:val="22"/>
          <w:color w:val="auto"/>
        </w:rPr>
        <w:t>, and</w:t>
      </w:r>
    </w:p>
    <w:p>
      <w:pPr>
        <w:spacing w:after="0" w:line="186"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as soon as available, but in any event within 90 days (or, if such Person has filed a filing extension with the SEC, 105 days) after the end of each of Parent's fiscal years, financial statements of Parent and its Subsidiaries for each such fiscal year, prepared on a consolidated basis, audited by independent certified public accountants reasonably acceptable to Agent and certified, without any qualifications, by such accountants to have been prepared in accordance with GAAP (such audited financial statements to include a balance sheet, income statement, and statement of cash flow and, if prepared, such accountants' letter to management),</w:t>
      </w:r>
    </w:p>
    <w:p>
      <w:pPr>
        <w:spacing w:after="0" w:line="188"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as soon as available, but in any event no later than 30 days after the start of each of Parent's fiscal years, copies of the Loan Parties' Projections, in form (including as to scope and underlying assumptions) satisfactory to Agent, in its sole discretion, for the forthcoming year, month by month, certified by the chief financial officer or vice president/treasurer of Parent as being such officer's good faith best estimate of the financial performance of Parent and its Subsidiaries during the period covered thereby,</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and when filed by any Loan Party,</w:t>
      </w:r>
    </w:p>
    <w:p>
      <w:pPr>
        <w:spacing w:after="0" w:line="206" w:lineRule="exact"/>
        <w:rPr>
          <w:sz w:val="20"/>
          <w:szCs w:val="20"/>
          <w:color w:val="auto"/>
        </w:rPr>
      </w:pPr>
    </w:p>
    <w:p>
      <w:pPr>
        <w:ind w:left="2260"/>
        <w:spacing w:after="0" w:line="253" w:lineRule="exact"/>
        <w:rPr>
          <w:sz w:val="20"/>
          <w:szCs w:val="20"/>
          <w:color w:val="auto"/>
        </w:rPr>
      </w:pPr>
      <w:r>
        <w:rPr>
          <w:rFonts w:ascii="Arial" w:cs="Arial" w:eastAsia="Arial" w:hAnsi="Arial"/>
          <w:sz w:val="22"/>
          <w:szCs w:val="22"/>
          <w:color w:val="auto"/>
        </w:rPr>
        <w:t>10</w:t>
      </w:r>
      <w:r>
        <w:rPr>
          <w:rFonts w:ascii="MS PGothic" w:cs="MS PGothic" w:eastAsia="MS PGothic" w:hAnsi="MS PGothic"/>
          <w:sz w:val="22"/>
          <w:szCs w:val="22"/>
          <w:color w:val="auto"/>
        </w:rPr>
        <w:t>‑</w:t>
      </w:r>
      <w:r>
        <w:rPr>
          <w:rFonts w:ascii="Arial" w:cs="Arial" w:eastAsia="Arial" w:hAnsi="Arial"/>
          <w:sz w:val="22"/>
          <w:szCs w:val="22"/>
          <w:color w:val="auto"/>
        </w:rPr>
        <w:t>Q quarterly reports, Form 10</w:t>
      </w:r>
      <w:r>
        <w:rPr>
          <w:rFonts w:ascii="MS PGothic" w:cs="MS PGothic" w:eastAsia="MS PGothic" w:hAnsi="MS PGothic"/>
          <w:sz w:val="22"/>
          <w:szCs w:val="22"/>
          <w:color w:val="auto"/>
        </w:rPr>
        <w:t>‑</w:t>
      </w:r>
      <w:r>
        <w:rPr>
          <w:rFonts w:ascii="Arial" w:cs="Arial" w:eastAsia="Arial" w:hAnsi="Arial"/>
          <w:sz w:val="22"/>
          <w:szCs w:val="22"/>
          <w:color w:val="auto"/>
        </w:rPr>
        <w:t>K annual reports, and Form 8</w:t>
      </w:r>
      <w:r>
        <w:rPr>
          <w:rFonts w:ascii="MS PGothic" w:cs="MS PGothic" w:eastAsia="MS PGothic" w:hAnsi="MS PGothic"/>
          <w:sz w:val="22"/>
          <w:szCs w:val="22"/>
          <w:color w:val="auto"/>
        </w:rPr>
        <w:t>‑</w:t>
      </w:r>
      <w:r>
        <w:rPr>
          <w:rFonts w:ascii="Arial" w:cs="Arial" w:eastAsia="Arial" w:hAnsi="Arial"/>
          <w:sz w:val="22"/>
          <w:szCs w:val="22"/>
          <w:color w:val="auto"/>
        </w:rPr>
        <w:t>K current reports,</w:t>
      </w:r>
    </w:p>
    <w:p>
      <w:pPr>
        <w:spacing w:after="0" w:line="206"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any other filings made by any Loan Party with the SEC,</w:t>
      </w:r>
    </w:p>
    <w:p>
      <w:pPr>
        <w:spacing w:after="0" w:line="206"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copies of the Loan Parties' federal income tax returns (if requested by Agent), and any amendments thereto, filed with the Internal Revenue Service, and</w:t>
      </w:r>
    </w:p>
    <w:p>
      <w:pPr>
        <w:spacing w:after="0" w:line="175"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any other information that is provided by Parent to its shareholders generally,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Intentionally</w:t>
      </w:r>
      <w:r>
        <w:rPr>
          <w:rFonts w:ascii="Arial" w:cs="Arial" w:eastAsia="Arial" w:hAnsi="Arial"/>
          <w:sz w:val="22"/>
          <w:szCs w:val="22"/>
          <w:i w:val="1"/>
          <w:iCs w:val="1"/>
          <w:u w:val="single" w:color="auto"/>
          <w:color w:val="0000FF"/>
        </w:rPr>
        <w:t>intentionally</w:t>
      </w:r>
      <w:r>
        <w:rPr>
          <w:rFonts w:ascii="Arial" w:cs="Arial" w:eastAsia="Arial" w:hAnsi="Arial"/>
          <w:sz w:val="22"/>
          <w:szCs w:val="22"/>
          <w:color w:val="auto"/>
        </w:rPr>
        <w:t xml:space="preserve"> </w:t>
      </w:r>
      <w:r>
        <w:rPr>
          <w:rFonts w:ascii="Arial" w:cs="Arial" w:eastAsia="Arial" w:hAnsi="Arial"/>
          <w:sz w:val="22"/>
          <w:szCs w:val="22"/>
          <w:i w:val="1"/>
          <w:iCs w:val="1"/>
          <w:color w:val="auto"/>
        </w:rPr>
        <w:t>omitted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6" w:name="page147"/>
    <w:bookmarkEnd w:id="146"/>
    <w:p>
      <w:pPr>
        <w:jc w:val="both"/>
        <w:ind w:firstLine="1497"/>
        <w:spacing w:after="0" w:line="328" w:lineRule="auto"/>
        <w:rPr>
          <w:sz w:val="20"/>
          <w:szCs w:val="20"/>
          <w:color w:val="auto"/>
        </w:rPr>
      </w:pPr>
      <w:r>
        <w:rPr>
          <w:rFonts w:ascii="Arial" w:cs="Arial" w:eastAsia="Arial" w:hAnsi="Arial"/>
          <w:sz w:val="19"/>
          <w:szCs w:val="19"/>
          <w:color w:val="auto"/>
        </w:rPr>
        <w:t>promptly upon any Loan Party obtaining knowledge of any event or condition that constitutes a Default or an Event of Default, notice thereof and a statement of the curative action that Loan Parties propose to take with respect thereto, and</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upon the request of Agent, any other report reasonably requested relating to the financial condition of the Loan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Parties.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Loan Parties agree that no Loan Party, nor any Subsidiary of a Loan Party, will have a fiscal year different from that of Parent. The Loan Parties will permit the Agent or any Lender, and any agent designated by the foregoing, upon reasonable prior notice, to discuss its operations, business affairs, assets, liabilities (including contingent liabilities) and financial condition with its officers and no more than once per year, independent accountants, all at such reasonable times during normal business hours and upon reasonable advance notice to the Administrative Borrower.</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Intentionally</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omitted</w:t>
      </w:r>
      <w:r>
        <w:rPr>
          <w:rFonts w:ascii="Arial" w:cs="Arial" w:eastAsia="Arial" w:hAnsi="Arial"/>
          <w:sz w:val="22"/>
          <w:szCs w:val="22"/>
          <w:i w:val="1"/>
          <w:iCs w:val="1"/>
          <w:u w:val="single" w:color="auto"/>
          <w:color w:val="0000FF"/>
        </w:rPr>
        <w:t>Omitted</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Return</w:t>
      </w:r>
    </w:p>
    <w:p>
      <w:pPr>
        <w:spacing w:after="0" w:line="212" w:lineRule="exact"/>
        <w:rPr>
          <w:sz w:val="20"/>
          <w:szCs w:val="20"/>
          <w:color w:val="auto"/>
        </w:rPr>
      </w:pPr>
    </w:p>
    <w:p>
      <w:pPr>
        <w:jc w:val="both"/>
        <w:ind w:firstLine="8"/>
        <w:spacing w:after="0" w:line="245" w:lineRule="auto"/>
        <w:tabs>
          <w:tab w:leader="none" w:pos="19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Cause returns and allowances as between Loan Parties and their Account Debtors, to be on the same basis and in accordance with the usual customary practices of the applicable Loan Party, as they exist at the time of the execution and delivery of this Agreement. If, at a time when no Event of Default has occurred and is continuing, any Account Debtor returns any Inventory to any Loan Party, the applicable Loan Party promptly shall determine the reason for such return and, if the applicable Loan Party accepts such return, issue a credit memorandum (with a copy to be sent to Agent) in the appropriate amount to such Account Debtor. If, at a time when an Event of Default has occurred and is continuing, any Account Debtor returns any Inventory to any Loan Party, the applicable Loan Party promptly shall determine the reason for such return and, if Agent consents (which consent shall not be unreasonably withheld), issue a credit memorandum (with a copy to be sent to Agent) in the appropriate amount to such Account Debtor.</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Maintenance of Properties</w:t>
      </w:r>
    </w:p>
    <w:p>
      <w:pPr>
        <w:spacing w:after="0" w:line="212" w:lineRule="exact"/>
        <w:rPr>
          <w:sz w:val="20"/>
          <w:szCs w:val="20"/>
          <w:color w:val="auto"/>
        </w:rPr>
      </w:pPr>
    </w:p>
    <w:p>
      <w:pPr>
        <w:jc w:val="both"/>
        <w:ind w:firstLine="8"/>
        <w:spacing w:after="0"/>
        <w:tabs>
          <w:tab w:leader="none" w:pos="1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Maintain and preserve all of its properties which are necessary or useful in the proper conduct to its business in good working order and condition, ordinary wear and tear excepted, and comply at all times with the provisions of all leases to which it is a party as lessee, so as to prevent any loss or forfeiture thereof or thereunder.</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Taxes</w:t>
      </w:r>
    </w:p>
    <w:p>
      <w:pPr>
        <w:spacing w:after="0" w:line="212" w:lineRule="exact"/>
        <w:rPr>
          <w:sz w:val="20"/>
          <w:szCs w:val="20"/>
          <w:color w:val="auto"/>
        </w:rPr>
      </w:pPr>
    </w:p>
    <w:p>
      <w:pPr>
        <w:jc w:val="both"/>
        <w:ind w:firstLine="8"/>
        <w:spacing w:after="0" w:line="234" w:lineRule="auto"/>
        <w:tabs>
          <w:tab w:leader="none" w:pos="23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Cause all assessments and material taxes, whether real, personal, or otherwise, due or payable by, or imposed, levied, or assessed against the Loan Parties or any of their assets to be paid in full, before delinquency or before the expiration of any extension period, except to the extent that the validity of such assessment or tax shall be the subject of a Permitted Protest. The Loan Parties will make timely payment or deposit of all material tax payments and withholding taxes required of it by applicable laws, including those laws concerning F.I.C.A., F.U.T.A., state disability, and local, state, and federal income taxes, and will, upon request, furnish Agent with proof satisfactory to Agent indicating that the applicable Loan Party has made such payments or deposits. The Loan</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7" w:name="page148"/>
    <w:bookmarkEnd w:id="147"/>
    <w:p>
      <w:pPr>
        <w:jc w:val="both"/>
        <w:spacing w:after="0" w:line="250" w:lineRule="auto"/>
        <w:rPr>
          <w:sz w:val="20"/>
          <w:szCs w:val="20"/>
          <w:color w:val="auto"/>
        </w:rPr>
      </w:pPr>
      <w:r>
        <w:rPr>
          <w:rFonts w:ascii="Arial" w:cs="Arial" w:eastAsia="Arial" w:hAnsi="Arial"/>
          <w:sz w:val="22"/>
          <w:szCs w:val="22"/>
          <w:color w:val="auto"/>
        </w:rPr>
        <w:t>Parties shall deliver satisfactory evidence of payment of applicable excise taxes in each jurisdictions in which any Loan Party is required to pay any such excise tax.</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Insurance</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9"/>
          <w:szCs w:val="19"/>
          <w:color w:val="auto"/>
        </w:rPr>
        <w:t>At the Loan Parties' expense, maintain insurance respecting its property and assets wherever located, covering loss or damage by fire, theft, explosion, and all other hazards and risks as ordinarily are insured against by other Persons engaged in the same or similar businesses. The Loan Parties also shall maintain business interruption, public liability, and product liability insurance, as well as insurance against larceny, embezzlement, and criminal misappropriation. All such policies of insurance shall be in such amounts and with such insurance companies as are reasonably satisfactory to Agent. The Loan Parties shall deliver copies of all such policies to Agent with a satisfactory lender's loss payable endorsement naming Agent as loss payee (with respect to the policies covering any Collateral) or additional insured, as appropriate. Except as otherwise agreed by Agent in its Permitted Discretion each policy of insurance or endorsement shall contain a clause requiring the insurer to give not less than 30 days prior written notice to Agent in the event of cancellation of the policy for any reason whatsoever.</w:t>
      </w:r>
    </w:p>
    <w:p>
      <w:pPr>
        <w:spacing w:after="0" w:line="158"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 xml:space="preserve">Administrative Borrower shall give Agent prompt notice of any loss covered by such insurance with an estimated value in excess of $1,000,000. If an Event of Default has occurred and is continuing, Agent may elect to adjust, in its sole discretion, any losses payable under any such insurance policies covering any ABL Priority Collateral, without any liability to the Loan Parties whatsoever in respect of such adjustments. Except as provided in the immediately succeeding sentence, any monies received in respect of ABL Priority Collateral as payment for any loss under any insurance policy mentioned above (other than liability insurance policies) or as payment of any award or compensation for condemnation or taking by eminent domain, shall, unless otherwise required under the Intercreditor Agreement, be paid over to Agent to be applied at the option of the Required Lenders either to the prepayment of the Obligations in accordance with </w:t>
      </w:r>
      <w:r>
        <w:rPr>
          <w:rFonts w:ascii="Arial" w:cs="Arial" w:eastAsia="Arial" w:hAnsi="Arial"/>
          <w:sz w:val="19"/>
          <w:szCs w:val="19"/>
          <w:u w:val="single" w:color="auto"/>
          <w:color w:val="auto"/>
        </w:rPr>
        <w:t>Section 2.4(b)</w:t>
      </w:r>
      <w:r>
        <w:rPr>
          <w:rFonts w:ascii="Arial" w:cs="Arial" w:eastAsia="Arial" w:hAnsi="Arial"/>
          <w:sz w:val="19"/>
          <w:szCs w:val="19"/>
          <w:color w:val="auto"/>
        </w:rPr>
        <w:t xml:space="preserve"> or, so long as no Event of Default shall have occurred and be continuing, at the election of the Administrative Borrower, shall be disbursed to Administrative Borrower for application to the cost of repairs, replacements, or restorations;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proceeds not used or committed to be used for such repairs, replacements or restorations within 180 days of the receipt of such proceeds shall be applied to the Obligations in accordance with </w:t>
      </w:r>
      <w:r>
        <w:rPr>
          <w:rFonts w:ascii="Arial" w:cs="Arial" w:eastAsia="Arial" w:hAnsi="Arial"/>
          <w:sz w:val="19"/>
          <w:szCs w:val="19"/>
          <w:u w:val="single" w:color="auto"/>
          <w:color w:val="auto"/>
        </w:rPr>
        <w:t>Section 2.4(b)</w:t>
      </w:r>
      <w:r>
        <w:rPr>
          <w:rFonts w:ascii="Arial" w:cs="Arial" w:eastAsia="Arial" w:hAnsi="Arial"/>
          <w:sz w:val="19"/>
          <w:szCs w:val="19"/>
          <w:color w:val="auto"/>
        </w:rPr>
        <w:t>.</w:t>
      </w:r>
    </w:p>
    <w:p>
      <w:pPr>
        <w:spacing w:after="0" w:line="161"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 xml:space="preserve">The Loan Parties shall not take out separate insurance concurrent in form or contributing in the event of loss with that required to be maintained under this </w:t>
      </w:r>
      <w:r>
        <w:rPr>
          <w:rFonts w:ascii="Arial" w:cs="Arial" w:eastAsia="Arial" w:hAnsi="Arial"/>
          <w:sz w:val="21"/>
          <w:szCs w:val="21"/>
          <w:u w:val="single" w:color="auto"/>
          <w:color w:val="auto"/>
        </w:rPr>
        <w:t>Section 6.8</w:t>
      </w:r>
      <w:r>
        <w:rPr>
          <w:rFonts w:ascii="Arial" w:cs="Arial" w:eastAsia="Arial" w:hAnsi="Arial"/>
          <w:sz w:val="21"/>
          <w:szCs w:val="21"/>
          <w:color w:val="auto"/>
        </w:rPr>
        <w:t xml:space="preserve"> , unless Agent is included thereon as named insured with the loss payable to Agent under a lender's loss payable endorsement or its equivalent. Administrative Borrower immediately shall notify Agent whenever such separate insurance is taken out, specifying the insurer thereunder and full particulars as to the policies evidencing the same, and copies of such policies promptly shall be provided to Agent.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Location of Inventory</w:t>
      </w:r>
    </w:p>
    <w:p>
      <w:pPr>
        <w:spacing w:after="0" w:line="212" w:lineRule="exact"/>
        <w:rPr>
          <w:sz w:val="20"/>
          <w:szCs w:val="20"/>
          <w:color w:val="auto"/>
        </w:rPr>
      </w:pPr>
    </w:p>
    <w:p>
      <w:pPr>
        <w:jc w:val="both"/>
        <w:ind w:firstLine="8"/>
        <w:spacing w:after="0"/>
        <w:tabs>
          <w:tab w:leader="none" w:pos="19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Keep the Inventory only at the locations identified on </w:t>
      </w:r>
      <w:r>
        <w:rPr>
          <w:rFonts w:ascii="Arial" w:cs="Arial" w:eastAsia="Arial" w:hAnsi="Arial"/>
          <w:sz w:val="22"/>
          <w:szCs w:val="22"/>
          <w:u w:val="single" w:color="auto"/>
          <w:color w:val="auto"/>
        </w:rPr>
        <w:t>Schedule 5.5</w:t>
      </w:r>
      <w:r>
        <w:rPr>
          <w:rFonts w:ascii="Arial" w:cs="Arial" w:eastAsia="Arial" w:hAnsi="Arial"/>
          <w:sz w:val="22"/>
          <w:szCs w:val="22"/>
          <w:color w:val="auto"/>
        </w:rPr>
        <w:t xml:space="preserve"> and between such locations to the extent in transit in the ordinary course of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Administrative Borrower may amend </w:t>
      </w:r>
      <w:r>
        <w:rPr>
          <w:rFonts w:ascii="Arial" w:cs="Arial" w:eastAsia="Arial" w:hAnsi="Arial"/>
          <w:sz w:val="22"/>
          <w:szCs w:val="22"/>
          <w:u w:val="single" w:color="auto"/>
          <w:color w:val="auto"/>
        </w:rPr>
        <w:t>Schedule 5.5</w:t>
      </w:r>
      <w:r>
        <w:rPr>
          <w:rFonts w:ascii="Arial" w:cs="Arial" w:eastAsia="Arial" w:hAnsi="Arial"/>
          <w:sz w:val="22"/>
          <w:szCs w:val="22"/>
          <w:color w:val="auto"/>
        </w:rPr>
        <w:t xml:space="preserve"> so long as such amendment occurs by written notice to Agent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8" w:name="page149"/>
    <w:bookmarkEnd w:id="148"/>
    <w:p>
      <w:pPr>
        <w:jc w:val="both"/>
        <w:spacing w:after="0" w:line="238" w:lineRule="auto"/>
        <w:rPr>
          <w:sz w:val="20"/>
          <w:szCs w:val="20"/>
          <w:color w:val="auto"/>
        </w:rPr>
      </w:pPr>
      <w:r>
        <w:rPr>
          <w:rFonts w:ascii="Arial" w:cs="Arial" w:eastAsia="Arial" w:hAnsi="Arial"/>
          <w:sz w:val="22"/>
          <w:szCs w:val="22"/>
          <w:color w:val="auto"/>
        </w:rPr>
        <w:t>not less than 10 Business Days prior to the date on which the Inventory is moved to such new location, so long as such new location is within the continental United States, and so long as, at the time of such written notification, the applicable Loan Party provides any financing statements necessary to perfect and continue perfected the Agent's Liens on such assets and also provides to Agent a Collateral Access Agreement, if applicable.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Compliance with Laws</w:t>
      </w:r>
    </w:p>
    <w:p>
      <w:pPr>
        <w:spacing w:after="0" w:line="212" w:lineRule="exact"/>
        <w:rPr>
          <w:sz w:val="20"/>
          <w:szCs w:val="20"/>
          <w:color w:val="auto"/>
        </w:rPr>
      </w:pPr>
    </w:p>
    <w:p>
      <w:pPr>
        <w:jc w:val="both"/>
        <w:ind w:firstLine="8"/>
        <w:spacing w:after="0" w:line="238" w:lineRule="auto"/>
        <w:tabs>
          <w:tab w:leader="none" w:pos="19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Comply with the requirements of all applicable laws, rules, regulations, and orders of any Governmental Authority, including the Fair Labor Standards Act and the Americans With Disabilities Act, other than laws, rules, regulations, and orders the non-compliance with which, individually or in the aggregate, would not result in and reasonably could not be expected to result in a Material Adverse Change.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Leases</w:t>
      </w:r>
    </w:p>
    <w:p>
      <w:pPr>
        <w:spacing w:after="0" w:line="212" w:lineRule="exact"/>
        <w:rPr>
          <w:sz w:val="20"/>
          <w:szCs w:val="20"/>
          <w:color w:val="auto"/>
        </w:rPr>
      </w:pPr>
    </w:p>
    <w:p>
      <w:pPr>
        <w:ind w:firstLine="8"/>
        <w:spacing w:after="0" w:line="274" w:lineRule="auto"/>
        <w:tabs>
          <w:tab w:leader="none" w:pos="184" w:val="left"/>
        </w:tabs>
        <w:numPr>
          <w:ilvl w:val="0"/>
          <w:numId w:val="105"/>
        </w:numPr>
        <w:rPr>
          <w:rFonts w:ascii="Arial" w:cs="Arial" w:eastAsia="Arial" w:hAnsi="Arial"/>
          <w:sz w:val="21"/>
          <w:szCs w:val="21"/>
          <w:color w:val="auto"/>
        </w:rPr>
      </w:pPr>
      <w:r>
        <w:rPr>
          <w:rFonts w:ascii="Arial" w:cs="Arial" w:eastAsia="Arial" w:hAnsi="Arial"/>
          <w:sz w:val="21"/>
          <w:szCs w:val="21"/>
          <w:color w:val="auto"/>
        </w:rPr>
        <w:t>Pay when due all rents and other amounts payable under any leases to which any Loan Party is a party or by which any Loan Party's properties and assets are bound, unless such payments are the subject of a Permitted Protest.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Brokerage Commissions</w:t>
      </w:r>
    </w:p>
    <w:p>
      <w:pPr>
        <w:spacing w:after="0" w:line="212" w:lineRule="exact"/>
        <w:rPr>
          <w:sz w:val="20"/>
          <w:szCs w:val="20"/>
          <w:color w:val="auto"/>
        </w:rPr>
      </w:pPr>
    </w:p>
    <w:p>
      <w:pPr>
        <w:jc w:val="both"/>
        <w:ind w:firstLine="8"/>
        <w:spacing w:after="0" w:line="249" w:lineRule="auto"/>
        <w:tabs>
          <w:tab w:leader="none" w:pos="181" w:val="left"/>
        </w:tabs>
        <w:numPr>
          <w:ilvl w:val="0"/>
          <w:numId w:val="106"/>
        </w:numPr>
        <w:rPr>
          <w:rFonts w:ascii="Arial" w:cs="Arial" w:eastAsia="Arial" w:hAnsi="Arial"/>
          <w:sz w:val="21"/>
          <w:szCs w:val="21"/>
          <w:color w:val="auto"/>
        </w:rPr>
      </w:pPr>
      <w:r>
        <w:rPr>
          <w:rFonts w:ascii="Arial" w:cs="Arial" w:eastAsia="Arial" w:hAnsi="Arial"/>
          <w:sz w:val="21"/>
          <w:szCs w:val="21"/>
          <w:color w:val="auto"/>
        </w:rPr>
        <w:t>Pay any and all brokerage commission or finder's fees incurred in connection with or as a result of the Loan Parties' obtaining financing from the Lender Group under this Agreement. The Loan Parties agree and acknowledge that payment of all such brokerage commissions or finder's fees shall be the sole responsibility of the Loan Parties, and each Loan Party agrees to indemnify, defend, and hold Agent and the Lender Group harmless from and against any claim of any broker or finder arising out of the Loan Parties' obtaining financing from the Lender Group under this Agreement.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Existence</w:t>
      </w:r>
    </w:p>
    <w:p>
      <w:pPr>
        <w:spacing w:after="0" w:line="212" w:lineRule="exact"/>
        <w:rPr>
          <w:sz w:val="20"/>
          <w:szCs w:val="20"/>
          <w:color w:val="auto"/>
        </w:rPr>
      </w:pPr>
    </w:p>
    <w:p>
      <w:pPr>
        <w:ind w:firstLine="8"/>
        <w:spacing w:after="0" w:line="250" w:lineRule="auto"/>
        <w:tabs>
          <w:tab w:leader="none" w:pos="17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At all times preserve and keep in full force and effect each Loan Party's valid existence and good standing and any rights and franchises material to the Loan Parties' businesses.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Environmental</w:t>
      </w:r>
    </w:p>
    <w:p>
      <w:pPr>
        <w:spacing w:after="0" w:line="212" w:lineRule="exact"/>
        <w:rPr>
          <w:sz w:val="20"/>
          <w:szCs w:val="20"/>
          <w:color w:val="auto"/>
        </w:rPr>
      </w:pPr>
    </w:p>
    <w:p>
      <w:pPr>
        <w:jc w:val="both"/>
        <w:ind w:firstLine="8"/>
        <w:spacing w:after="0" w:line="245" w:lineRule="auto"/>
        <w:tabs>
          <w:tab w:leader="none" w:pos="20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(a) Keep any property either owned or operated by any Loan Party free of any Environmental Liens or post bonds or other financial assurances sufficient to satisfy the obligations or liability evidenced by such Environmental Liens, (b) comply, in all material respects, with Environmental Laws and provide to Agent documentation of such compliance which Agent reasonably requests, (c) promptly notify Agent of any release of a Hazardous Material of any reportable quantity from or onto property owned or operated by any Loan Party and take any Remedial Actions required to abate said release or otherwise to come into compliance with applicable Environmental Law, and (d) promptly provide Agent with written notice within 10 days of the receipt of any of the following: (i) notice that an Environmental Lien has been filed against of the real or personal property of any Loan Party, (ii) commencement of any Environmental Action or notice that an Environmental Action will be filed against any Loan Party, and (iii) notice of a violation, citation,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or other administrative order which reasonably could be expected to result in a Material Adverse Change.</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Disclosure Updates</w:t>
      </w:r>
    </w:p>
    <w:p>
      <w:pPr>
        <w:spacing w:after="0" w:line="212" w:lineRule="exact"/>
        <w:rPr>
          <w:sz w:val="20"/>
          <w:szCs w:val="20"/>
          <w:color w:val="auto"/>
        </w:rPr>
      </w:pPr>
    </w:p>
    <w:p>
      <w:pPr>
        <w:jc w:val="both"/>
        <w:ind w:firstLine="8"/>
        <w:spacing w:after="0" w:line="236" w:lineRule="auto"/>
        <w:tabs>
          <w:tab w:leader="none" w:pos="24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Promptly and in no event later than 5 Business Days after obtaining knowledge thereof, (a) notify Agent if any written information, exhibit, or report furnished to the Lender Group contained any untrue statement of a material fact or omitted to state any material fact necessary to make the statements contained therein not misleading in light of the circumstances in which made, and (b) correct any defect or error that may be discovered therein or in any Loan Document or in the execution, acknowledgement, filing, or recordation thereof.</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OFAC; Sanctions; Anti-Corruption Laws; Anti-Money Laundering Laws</w:t>
      </w:r>
    </w:p>
    <w:p>
      <w:pPr>
        <w:spacing w:after="0" w:line="212" w:lineRule="exact"/>
        <w:rPr>
          <w:sz w:val="20"/>
          <w:szCs w:val="20"/>
          <w:color w:val="auto"/>
        </w:rPr>
      </w:pPr>
    </w:p>
    <w:p>
      <w:pPr>
        <w:jc w:val="both"/>
        <w:ind w:firstLine="8"/>
        <w:spacing w:after="0" w:line="236" w:lineRule="auto"/>
        <w:tabs>
          <w:tab w:leader="none" w:pos="17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Each Loan Party will, and will cause each of its Subsidiaries to comply (i) with all applicable Sanctions, and (ii) in all material respects, with all Anti-Corruption Laws and Anti-Money Laundering Laws. Each of the Loan Parties and its Subsidiaries shall implement and maintain in effect policies and procedures designed to ensure compliance by the Loan Parties and their Subsidiaries and their respective directors, officers, employees, agents and Affiliates with all Sanctions, Anti-Corruption Laws and Anti-Money Laundering Laws.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Margin Stock</w:t>
      </w:r>
    </w:p>
    <w:p>
      <w:pPr>
        <w:spacing w:after="0" w:line="212" w:lineRule="exact"/>
        <w:rPr>
          <w:sz w:val="20"/>
          <w:szCs w:val="20"/>
          <w:color w:val="auto"/>
        </w:rPr>
      </w:pPr>
    </w:p>
    <w:p>
      <w:pPr>
        <w:jc w:val="both"/>
        <w:ind w:firstLine="8"/>
        <w:spacing w:after="0"/>
        <w:tabs>
          <w:tab w:leader="none" w:pos="2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If any Loan Party or any of their Subsidiaries intends or expects to acquire any Margin Stock, such Loan Party will, or will cause its Subsidiary to, deliver to Agent (for further distribution to Lenders) a Form U-1 together with such other information as Agent shall reasonably request to complete such Form U-1.</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CARES Debt</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The Loan Parties shall provide to Agent (i) a copy of their application for CARES Debt promptly (and in any event within three (3) Business Days) upon submission thereof and (ii) copies of the definitive loan documentation for CARES Debt promptly (and in any event within three (3) Business Days) upon execution and delivery thereof by the parties.</w:t>
      </w:r>
    </w:p>
    <w:p>
      <w:pPr>
        <w:spacing w:after="0" w:line="13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The Loan Parties shall timely submit all applications and required documentation necessary or desirable for the lender of the CARES Debt and/or the Small Business Administration to make a determination regarding the amount of the CARES Debt that is eligible to be forgiven.</w:t>
      </w:r>
    </w:p>
    <w:p>
      <w:pPr>
        <w:spacing w:after="0" w:line="186"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The Loan Parties shall provide to Agent copies of any amendments, modifications, waivers, supplements or consents executed and delivered with respect to CARES Debt promptly (and in any event within three (3) Business Days) upon execution and delivery thereof, and copies of any notices of default received by any Loan Party with respect to the CARES Debt.</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Reserved</w:t>
      </w:r>
      <w:r>
        <w:rPr>
          <w:rFonts w:ascii="Arial" w:cs="Arial" w:eastAsia="Arial" w:hAnsi="Arial"/>
          <w:sz w:val="22"/>
          <w:szCs w:val="22"/>
          <w:i w:val="1"/>
          <w:iCs w:val="1"/>
          <w:u w:val="single" w:color="auto"/>
          <w:color w:val="0000FF"/>
        </w:rPr>
        <w:t>Intentionally omitted</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The Loan Parties shall apply the proceeds of the CARES Debt for CARES Act Permitted Purposes before using any other cash on hand to pay expenses that are CARES Act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0" w:name="page151"/>
    <w:bookmarkEnd w:id="150"/>
    <w:p>
      <w:pPr>
        <w:jc w:val="both"/>
        <w:spacing w:after="0" w:line="250" w:lineRule="auto"/>
        <w:rPr>
          <w:sz w:val="20"/>
          <w:szCs w:val="20"/>
          <w:color w:val="auto"/>
        </w:rPr>
      </w:pPr>
      <w:r>
        <w:rPr>
          <w:rFonts w:ascii="Arial" w:cs="Arial" w:eastAsia="Arial" w:hAnsi="Arial"/>
          <w:sz w:val="22"/>
          <w:szCs w:val="22"/>
          <w:color w:val="auto"/>
        </w:rPr>
        <w:t>Permitted Purposes. The Loan Parties shall cause the proceeds of the CARES Debt to be deposited in a Deposit Account that is not subject to the cash dominion of Agent.</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On or prior to the CARES Forgiveness Date, the Loan Parties shall deliver to Agent a written notice of the CARES Debt that will be forgiven pursuant to the provisions of the CARES Act - Title I, together with supporting documentation in respect thereof.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NEGATIVE COVENANTS.</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Each Loan Party covenants and agrees that, so long as any credit hereunder shall be available and until full and final payment of the Obligations, the Loan Parties will not and will not permit any of their respective Subsidiaries to do any of the following:</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Indebtedness</w:t>
      </w:r>
    </w:p>
    <w:p>
      <w:pPr>
        <w:spacing w:after="0" w:line="212" w:lineRule="exact"/>
        <w:rPr>
          <w:sz w:val="20"/>
          <w:szCs w:val="20"/>
          <w:color w:val="auto"/>
        </w:rPr>
      </w:pPr>
    </w:p>
    <w:p>
      <w:pPr>
        <w:jc w:val="both"/>
        <w:ind w:firstLine="8"/>
        <w:spacing w:after="0" w:line="235" w:lineRule="auto"/>
        <w:tabs>
          <w:tab w:leader="none" w:pos="23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Create, incur, assume, permit, guarantee, or otherwise become or remain, directly or indirectly, liable with respect to any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that, the Loan Parties and their respective Subsidiaries shall be entitled to incur Indebtedness if on the date of the incurrence of such Indebtedness, (i) after giving effect to the incurrence thereof, the Fixed Charge Coverage Ratio of the Parent and its Subsidiaries for the most recently ended four full fiscal quarter period is greater than 2.0 to 1.0 and (ii) both immediately before and after the incurrence thereof, the Covenant Condition has been satisfied. The foregoing limitation shall not apply to:</w:t>
      </w:r>
    </w:p>
    <w:p>
      <w:pPr>
        <w:spacing w:after="0" w:line="18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Indebtedness evidenced by this Agreement and the other Loan Documents, together with Indebtedness owed to Underlying Issuers with respect to Underlying Letters of Credit;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Indebtedness set forth on </w:t>
      </w:r>
      <w:r>
        <w:rPr>
          <w:rFonts w:ascii="Arial" w:cs="Arial" w:eastAsia="Arial" w:hAnsi="Arial"/>
          <w:sz w:val="22"/>
          <w:szCs w:val="22"/>
          <w:u w:val="single" w:color="auto"/>
          <w:color w:val="auto"/>
        </w:rPr>
        <w:t>Schedule 5.20</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Permitted Purchase Money Indebtedness;</w:t>
      </w:r>
    </w:p>
    <w:p>
      <w:pPr>
        <w:spacing w:after="0" w:line="206"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 xml:space="preserve">refinancings, renewals, replacements or extensions of Indebtedness permitted under clauses (b) and (c) of this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continuance or renewal of any Permitted Liens associated therewith) so long as: (i) [</w:t>
      </w:r>
      <w:r>
        <w:rPr>
          <w:rFonts w:ascii="Arial" w:cs="Arial" w:eastAsia="Arial" w:hAnsi="Arial"/>
          <w:sz w:val="19"/>
          <w:szCs w:val="19"/>
          <w:i w:val="1"/>
          <w:iCs w:val="1"/>
          <w:color w:val="auto"/>
        </w:rPr>
        <w:t>intentionally omitted</w:t>
      </w:r>
      <w:r>
        <w:rPr>
          <w:rFonts w:ascii="Arial" w:cs="Arial" w:eastAsia="Arial" w:hAnsi="Arial"/>
          <w:sz w:val="19"/>
          <w:szCs w:val="19"/>
          <w:color w:val="auto"/>
        </w:rPr>
        <w:t>], (ii) such refinancings, renewals, or extensions do not result in an increase in the principal amount of, or interest rate with respect to, the Indebtedness so refinanced, renewed, or extended, except for increases in the principal amount of such Indebtedness not exceeding the principal amount of such Indebtedness outstanding on the Restatement Effective Date, (iii) such refinancings, renewals, or extensions do not result in a shortening of the average weighted maturity of the Indebtedness so refinanced, renewed, or extended, nor are they on terms or conditions, that, taken as a whole, are materially more burdensome or restrictive to the applicable Loan Party, and (iv) if the Indebtedness that is refinanced, renewed, or extended was subordinated in right of payment to the Obligations, then the terms and conditions of the refinancing, renewal, or extension Indebtedness must be include subordination terms and conditions that are at least as favorable to the Lender Group as those that were applicable to the refinanced, renewed, or extended Indebtedness;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1" w:name="page152"/>
    <w:bookmarkEnd w:id="151"/>
    <w:p>
      <w:pPr>
        <w:jc w:val="both"/>
        <w:ind w:firstLine="1497"/>
        <w:spacing w:after="0" w:line="273" w:lineRule="auto"/>
        <w:rPr>
          <w:sz w:val="20"/>
          <w:szCs w:val="20"/>
          <w:color w:val="auto"/>
        </w:rPr>
      </w:pPr>
      <w:r>
        <w:rPr>
          <w:rFonts w:ascii="Arial" w:cs="Arial" w:eastAsia="Arial" w:hAnsi="Arial"/>
          <w:sz w:val="19"/>
          <w:szCs w:val="19"/>
          <w:color w:val="auto"/>
        </w:rPr>
        <w:t>unsecured Indebtedness advanced in an aggregate amount not to exceed $10,000,000 by (i) any Governmental Authority (including the Small Business Administration) or any other Person acting as a financial agent of a Governmental Authority or (ii) any other Person to the extent such Indebtedness under this clause (ii) is guaranteed by a Governmental Authority (including the Small Business Administration), in each case under this clause (e), pursuant to the CARES Act - Title I (such unsecured Indebtedness, "</w:t>
      </w:r>
      <w:r>
        <w:rPr>
          <w:rFonts w:ascii="Arial" w:cs="Arial" w:eastAsia="Arial" w:hAnsi="Arial"/>
          <w:sz w:val="19"/>
          <w:szCs w:val="19"/>
          <w:u w:val="single" w:color="auto"/>
          <w:color w:val="auto"/>
        </w:rPr>
        <w:t>CARES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otherwise approved by Agent (such approval not to be unreasonably withheld, conditioned and delayed, and which shall be granted to the extent in accordance with any amendments or modifications of the CARES Act or any acts of any Governmental Authority in connection therewith), CARES Debt shall (1) have a maturity date not less than two (2) years after the date of incurrence of the CARES Debt and (2) bear interest at a non-default rate not greater than one percent (1%) per annum (subject to any provisions of such CARES Act Debt that expressly permit any Governmental Authority to modify such rate in accordance with the CARES Act);</w:t>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Indebtedness owing by any Loan Party to any other Loan Party;</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subordinated Indebtedness the terms and conditions of which, including provisions subordinating such Indebtedness to the Obligations, are satisfactory to the Agent;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intentionally omitted</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other Indebtedness in an aggregate principal amount not to exceed $50,000,000 outstanding at any time;</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Indebtedness composing Permitted Investments;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intentionally omitted</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Indebtedness consisting of the financing of insurance premiums in the ordinary course of business, not in excess of the amount of such premiums;</w:t>
      </w:r>
    </w:p>
    <w:p>
      <w:pPr>
        <w:spacing w:after="0" w:line="175" w:lineRule="exact"/>
        <w:rPr>
          <w:sz w:val="20"/>
          <w:szCs w:val="20"/>
          <w:color w:val="auto"/>
        </w:rPr>
      </w:pPr>
    </w:p>
    <w:p>
      <w:pPr>
        <w:ind w:left="1500" w:right="1040"/>
        <w:spacing w:after="0" w:line="435" w:lineRule="auto"/>
        <w:rPr>
          <w:sz w:val="20"/>
          <w:szCs w:val="20"/>
          <w:color w:val="auto"/>
        </w:rPr>
      </w:pPr>
      <w:r>
        <w:rPr>
          <w:rFonts w:ascii="Arial" w:cs="Arial" w:eastAsia="Arial" w:hAnsi="Arial"/>
          <w:sz w:val="22"/>
          <w:szCs w:val="22"/>
          <w:color w:val="auto"/>
        </w:rPr>
        <w:t>Indebtedness of the Loan Parties and their Subsidiaries under the LSB Notes and guarantees thereof; Indebtedness in respect of Third Party Hedge Obligations;</w:t>
      </w:r>
    </w:p>
    <w:p>
      <w:pPr>
        <w:spacing w:after="0" w:line="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Indebtedness of the Parent in respect of a guaranty under the Zena Credit Documents in an aggregate principal amount not to exceed $35,000,000 at any one time outstanding;</w:t>
      </w:r>
    </w:p>
    <w:p>
      <w:pPr>
        <w:spacing w:after="0" w:line="175"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Indebtedness incurred in the ordinary course of business with respect to surety and appeal bonds, performance bonds, bid bonds, appeal bonds, completion guarantee and similar obligations and guarantees thereof;</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customary indemnification obligations to purchasers in connection with Permitted Dispositions and guarantees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thereof; and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2" w:name="page153"/>
    <w:bookmarkEnd w:id="152"/>
    <w:p>
      <w:pPr>
        <w:jc w:val="both"/>
        <w:ind w:firstLine="1497"/>
        <w:spacing w:after="0" w:line="287" w:lineRule="auto"/>
        <w:rPr>
          <w:sz w:val="20"/>
          <w:szCs w:val="20"/>
          <w:color w:val="auto"/>
        </w:rPr>
      </w:pPr>
      <w:r>
        <w:rPr>
          <w:rFonts w:ascii="Arial" w:cs="Arial" w:eastAsia="Arial" w:hAnsi="Arial"/>
          <w:sz w:val="19"/>
          <w:szCs w:val="19"/>
          <w:color w:val="auto"/>
        </w:rPr>
        <w:t>Indebtedness incurred in the ordinary course of business in respect of credit cards, credit card processing services, debit cards, stored value cards, commercial cards (including so-called "purchase cards", "procurement cards" or "p-cards"), or Bank Products in an aggregate principal amount not to exceed, with respect to any such Indebtedness owed to any Person that is not a Lender or any Affiliate of a Lender, $2,000,000 at any one time outstanding.</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Liens</w:t>
      </w:r>
    </w:p>
    <w:p>
      <w:pPr>
        <w:spacing w:after="0" w:line="212" w:lineRule="exact"/>
        <w:rPr>
          <w:sz w:val="20"/>
          <w:szCs w:val="20"/>
          <w:color w:val="auto"/>
        </w:rPr>
      </w:pPr>
    </w:p>
    <w:p>
      <w:pPr>
        <w:jc w:val="both"/>
        <w:ind w:firstLine="8"/>
        <w:spacing w:after="0" w:line="236" w:lineRule="auto"/>
        <w:tabs>
          <w:tab w:leader="none" w:pos="20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Create, incur, assume, or permit to exist, directly or indirectly, any Lien on or with respect to any of its assets, of any kind, whether now owned or hereafter acquired, or any income or profits therefrom, except for Permitted Liens (including Liens that are replacements of Permitted Liens to the extent that the original Indebtedness is refinanced, renewed, replaced or extended under </w:t>
      </w:r>
      <w:r>
        <w:rPr>
          <w:rFonts w:ascii="Arial" w:cs="Arial" w:eastAsia="Arial" w:hAnsi="Arial"/>
          <w:sz w:val="22"/>
          <w:szCs w:val="22"/>
          <w:u w:val="single" w:color="auto"/>
          <w:color w:val="auto"/>
        </w:rPr>
        <w:t>Section 7.1(d)</w:t>
      </w:r>
      <w:r>
        <w:rPr>
          <w:rFonts w:ascii="Arial" w:cs="Arial" w:eastAsia="Arial" w:hAnsi="Arial"/>
          <w:sz w:val="22"/>
          <w:szCs w:val="22"/>
          <w:color w:val="auto"/>
        </w:rPr>
        <w:t xml:space="preserve"> and so long as the replacement Liens only encumber those assets that secured the refinanced, renewed, or extended Indebtedness).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Restrictions on Fundamental Changes</w:t>
      </w:r>
      <w:r>
        <w:rPr>
          <w:rFonts w:ascii="Arial" w:cs="Arial" w:eastAsia="Arial" w:hAnsi="Arial"/>
          <w:sz w:val="22"/>
          <w:szCs w:val="22"/>
          <w:color w:val="auto"/>
        </w:rPr>
        <w:t>.</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Enter into any merger, consolidation, or reorganization, or, except for the Parent, reclassify its Stock.</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Liquidate, wind up, or dissolve itself (or suffer any liquidation or dissolution).</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Convey, sell, lease, license, assign, transfer, or otherwise dispose of, in one transaction or a series of transactions, all or substantially all of the assets of the Parent and its Restricted Subsidiaries, taken as a whole.</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Clauses (a), (b) and (c) of this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shall not apply to (i) the merger or consolidation of a Loan Party or a Subsidiary of a Loan Party with and into another Loan Party (in each such case, so long as a Borrower (to the extent a Borrower is part of such transaction) is the surviving entity of any such merger), (ii) the sale, transfer, lease or other disposal of any assets of any Loan Party or any of its Subsidiaries to any other Loan Party, (iii) Permitted Dispositions, (iv) Acquisitions and other Investments to the extent permitted hereunder, (v) conveyances, sales, leases, licenses, assignments, transfers or other dispositions permitted by </w:t>
      </w:r>
      <w:r>
        <w:rPr>
          <w:rFonts w:ascii="Arial" w:cs="Arial" w:eastAsia="Arial" w:hAnsi="Arial"/>
          <w:sz w:val="22"/>
          <w:szCs w:val="22"/>
          <w:u w:val="single" w:color="auto"/>
          <w:color w:val="auto"/>
        </w:rPr>
        <w:t>Section 7.4</w:t>
      </w:r>
      <w:r>
        <w:rPr>
          <w:rFonts w:ascii="Arial" w:cs="Arial" w:eastAsia="Arial" w:hAnsi="Arial"/>
          <w:sz w:val="22"/>
          <w:szCs w:val="22"/>
          <w:color w:val="auto"/>
        </w:rPr>
        <w:t>, and (vi) mergers, liquidations, sale of assets of a non-Loan Party Subsidiary into or to another non-Loan Party Subsidiary.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Disposal of Assets</w:t>
      </w:r>
    </w:p>
    <w:p>
      <w:pPr>
        <w:spacing w:after="0" w:line="212" w:lineRule="exact"/>
        <w:rPr>
          <w:sz w:val="20"/>
          <w:szCs w:val="20"/>
          <w:color w:val="auto"/>
        </w:rPr>
      </w:pPr>
    </w:p>
    <w:p>
      <w:pPr>
        <w:jc w:val="both"/>
        <w:ind w:firstLine="8"/>
        <w:spacing w:after="0"/>
        <w:tabs>
          <w:tab w:leader="none" w:pos="21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Other than Permitted Dispositions and as provided in </w:t>
      </w:r>
      <w:r>
        <w:rPr>
          <w:rFonts w:ascii="Arial" w:cs="Arial" w:eastAsia="Arial" w:hAnsi="Arial"/>
          <w:sz w:val="22"/>
          <w:szCs w:val="22"/>
          <w:u w:val="single" w:color="auto"/>
          <w:color w:val="auto"/>
        </w:rPr>
        <w:t>Section 7.3</w:t>
      </w:r>
      <w:r>
        <w:rPr>
          <w:rFonts w:ascii="Arial" w:cs="Arial" w:eastAsia="Arial" w:hAnsi="Arial"/>
          <w:sz w:val="22"/>
          <w:szCs w:val="22"/>
          <w:color w:val="auto"/>
        </w:rPr>
        <w:t>, convey, sell, lease, license, assign, transfer, or otherwise dispose of any of the assets of any Loan Party, except that, so long as no Default or Event of Default has occurred and is continuing or would result therefrom:</w:t>
      </w:r>
    </w:p>
    <w:p>
      <w:pPr>
        <w:spacing w:after="0" w:line="18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a Loan Party and any Subsidiary of a Loan Party may sell or otherwise dispose of any of its other assets,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to the extent such disposition involves ABL Priority Collateral, the proceeds from such sale or disposition in respect of such ABL Priority Collateral are applied to prepay the Obligations in accordance with </w:t>
      </w:r>
      <w:r>
        <w:rPr>
          <w:rFonts w:ascii="Arial" w:cs="Arial" w:eastAsia="Arial" w:hAnsi="Arial"/>
          <w:sz w:val="22"/>
          <w:szCs w:val="22"/>
          <w:u w:val="single" w:color="auto"/>
          <w:color w:val="auto"/>
        </w:rPr>
        <w:t>Section 2.4(b)</w:t>
      </w:r>
      <w:r>
        <w:rPr>
          <w:rFonts w:ascii="Arial" w:cs="Arial" w:eastAsia="Arial" w:hAnsi="Arial"/>
          <w:sz w:val="22"/>
          <w:szCs w:val="22"/>
          <w:color w:val="auto"/>
        </w:rPr>
        <w:t xml:space="preserve">, except to the extent that the Borrowers deliver a new Borrowing Base Certificate (giving effect to such transaction) demonstrating compliance with </w:t>
      </w:r>
      <w:r>
        <w:rPr>
          <w:rFonts w:ascii="Arial" w:cs="Arial" w:eastAsia="Arial" w:hAnsi="Arial"/>
          <w:sz w:val="22"/>
          <w:szCs w:val="22"/>
          <w:u w:val="single" w:color="auto"/>
          <w:color w:val="auto"/>
        </w:rPr>
        <w:t>Section 2.1(a)</w:t>
      </w:r>
      <w:r>
        <w:rPr>
          <w:rFonts w:ascii="Arial" w:cs="Arial" w:eastAsia="Arial" w:hAnsi="Arial"/>
          <w:sz w:val="22"/>
          <w:szCs w:val="22"/>
          <w:color w:val="auto"/>
        </w:rPr>
        <w:t>, (ii) such assets are sold for Fair Market Value and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3" w:name="page154"/>
    <w:bookmarkEnd w:id="153"/>
    <w:p>
      <w:pPr>
        <w:ind w:firstLine="8"/>
        <w:spacing w:after="0" w:line="250" w:lineRule="auto"/>
        <w:tabs>
          <w:tab w:leader="none" w:pos="3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the aggregate Fair Market Value of all such assets sold during each fiscal year pursuant to this </w:t>
      </w:r>
      <w:r>
        <w:rPr>
          <w:rFonts w:ascii="Arial" w:cs="Arial" w:eastAsia="Arial" w:hAnsi="Arial"/>
          <w:sz w:val="22"/>
          <w:szCs w:val="22"/>
          <w:u w:val="single" w:color="auto"/>
          <w:color w:val="auto"/>
        </w:rPr>
        <w:t>Section 7.4(a)</w:t>
      </w:r>
      <w:r>
        <w:rPr>
          <w:rFonts w:ascii="Arial" w:cs="Arial" w:eastAsia="Arial" w:hAnsi="Arial"/>
          <w:sz w:val="22"/>
          <w:szCs w:val="22"/>
          <w:color w:val="auto"/>
        </w:rPr>
        <w:t xml:space="preserve"> shall not exceed $10,000,000;</w:t>
      </w:r>
    </w:p>
    <w:p>
      <w:pPr>
        <w:spacing w:after="0" w:line="175"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notwithstanding anything to the contrary contained herein, any Loan Party and any of its respective Subsidiaries may sell, transfer or otherwise dispose of any Notes Priority Collateral owned by such Person so long as such disposition is permitted under the Notes Documents or the Indenture (as such terms are defined in the Intercreditor Agreement) or if the requisite holders of the LSB Notes otherwise consents to such sale or disposition, it being understood that upon such sale, Agent's security interest (if any) in such assets shall be automatically released, and it being further understood that proceeds from the sale or disposition of Notes Priority Collateral shall be applied by the Loan Parties in accordance with the terms of the Notes Documents and the Indenture (as such terms are defined in the Intercreditor Agreement); and</w:t>
      </w:r>
    </w:p>
    <w:p>
      <w:pPr>
        <w:spacing w:after="0" w:line="152"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a Loan Party and any Subsidiary of a Loan Party may sell or otherwise dispose of its assets,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75% of the consideration received thereunder is paid in cash or Cash Equivalents, (ii) the sale price is at least fair market value as determined by a responsible officer of Parent and (iii) the Parent shall have delivered a Borrowing Base Certificate, giving pro forma effect to such sale or other disposition and any prepayment of Advances to be made from the proceeds thereof, demonstrating compliance with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dispositions planned in connection with the Zena, Summit and Cogen facilities and the EDC natural gas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pipeline; and</w:t>
      </w:r>
    </w:p>
    <w:p>
      <w:pPr>
        <w:spacing w:after="0" w:line="18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notwithstanding anything to the contrary in any Loan Document, the Parent may at any time issue or sell equity (stock or other equity securities) interests of the Parent.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Change Name</w:t>
      </w:r>
    </w:p>
    <w:p>
      <w:pPr>
        <w:spacing w:after="0" w:line="212" w:lineRule="exact"/>
        <w:rPr>
          <w:sz w:val="20"/>
          <w:szCs w:val="20"/>
          <w:color w:val="auto"/>
        </w:rPr>
      </w:pPr>
    </w:p>
    <w:p>
      <w:pPr>
        <w:jc w:val="both"/>
        <w:ind w:firstLine="8"/>
        <w:spacing w:after="0" w:line="252" w:lineRule="auto"/>
        <w:tabs>
          <w:tab w:leader="none" w:pos="167"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Change any Loan Party's name, FEIN, corporate structure or identity, or add any new fictitious name;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Loan Party may change its name or add any new fictitious name upon at least 30 days prior written notice by Administrative Borrower to Agent of such change and so long as, at the time of such written notification, such Loan Party provides any financing statements or fixture filings necessary to perfect and continue perfected Agent's Liens.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Guarantee</w:t>
      </w:r>
    </w:p>
    <w:p>
      <w:pPr>
        <w:spacing w:after="0" w:line="212" w:lineRule="exact"/>
        <w:rPr>
          <w:sz w:val="20"/>
          <w:szCs w:val="20"/>
          <w:color w:val="auto"/>
        </w:rPr>
      </w:pPr>
    </w:p>
    <w:p>
      <w:pPr>
        <w:jc w:val="both"/>
        <w:ind w:firstLine="8"/>
        <w:spacing w:after="0" w:line="235" w:lineRule="auto"/>
        <w:tabs>
          <w:tab w:leader="none" w:pos="17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Guarantee or otherwise become in any way liable with respect to the obligations of any third Person except (i) by endorsement of instruments or items of payment for deposit to the account of the Loan Parties or which are transmitted or turned over to Agent, (ii) for guarantees of the LSB Notes, (iii) for guarantees of Indebtedness permitted under </w:t>
      </w:r>
      <w:r>
        <w:rPr>
          <w:rFonts w:ascii="Arial" w:cs="Arial" w:eastAsia="Arial" w:hAnsi="Arial"/>
          <w:sz w:val="22"/>
          <w:szCs w:val="22"/>
          <w:u w:val="single" w:color="auto"/>
          <w:color w:val="auto"/>
        </w:rPr>
        <w:t>Sections 7.1(a)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(n)</w:t>
      </w:r>
      <w:r>
        <w:rPr>
          <w:rFonts w:ascii="Arial" w:cs="Arial" w:eastAsia="Arial" w:hAnsi="Arial"/>
          <w:sz w:val="22"/>
          <w:szCs w:val="22"/>
          <w:color w:val="auto"/>
        </w:rPr>
        <w:t xml:space="preserve"> and guarantees set forth on </w:t>
      </w:r>
      <w:r>
        <w:rPr>
          <w:rFonts w:ascii="Arial" w:cs="Arial" w:eastAsia="Arial" w:hAnsi="Arial"/>
          <w:sz w:val="22"/>
          <w:szCs w:val="22"/>
          <w:u w:val="single" w:color="auto"/>
          <w:color w:val="auto"/>
        </w:rPr>
        <w:t>Schedule 5.20</w:t>
      </w:r>
      <w:r>
        <w:rPr>
          <w:rFonts w:ascii="Arial" w:cs="Arial" w:eastAsia="Arial" w:hAnsi="Arial"/>
          <w:sz w:val="22"/>
          <w:szCs w:val="22"/>
          <w:color w:val="auto"/>
        </w:rPr>
        <w:t xml:space="preserve">, (iv) for the guaranty by the Parent of the Indebtedness under the Zena Credit Documents to the extent permitted under </w:t>
      </w:r>
      <w:r>
        <w:rPr>
          <w:rFonts w:ascii="Arial" w:cs="Arial" w:eastAsia="Arial" w:hAnsi="Arial"/>
          <w:sz w:val="22"/>
          <w:szCs w:val="22"/>
          <w:u w:val="single" w:color="auto"/>
          <w:color w:val="auto"/>
        </w:rPr>
        <w:t>Section 7.1(o)</w:t>
      </w:r>
      <w:r>
        <w:rPr>
          <w:rFonts w:ascii="Arial" w:cs="Arial" w:eastAsia="Arial" w:hAnsi="Arial"/>
          <w:sz w:val="22"/>
          <w:szCs w:val="22"/>
          <w:color w:val="auto"/>
        </w:rPr>
        <w:t>, and (v) for guarantees of performance, surety or appeal bonds of any Loan Party (other than the Parent).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Nature of Business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4" w:name="page155"/>
    <w:bookmarkEnd w:id="154"/>
    <w:p>
      <w:pPr>
        <w:ind w:firstLine="8"/>
        <w:spacing w:after="0" w:line="250" w:lineRule="auto"/>
        <w:tabs>
          <w:tab w:leader="none" w:pos="17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Make any change in the principal nature of the Loan Parties' business and any ancillary, related and natural extensions of such business and dispositions that are otherwise permitted.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Prepayments and Amendments</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Except in connection with (i) the Obligations in accordance with this Agreement, (ii) the LSB Notes and any Permitted Purchase Money Indebtedness (which may be prepaid, redeemed or repurchased by any Loan Party without restriction), (iii) a refinancing permitted by </w:t>
      </w:r>
      <w:r>
        <w:rPr>
          <w:rFonts w:ascii="Arial" w:cs="Arial" w:eastAsia="Arial" w:hAnsi="Arial"/>
          <w:sz w:val="22"/>
          <w:szCs w:val="22"/>
          <w:u w:val="single" w:color="auto"/>
          <w:color w:val="auto"/>
        </w:rPr>
        <w:t>Section 7.1(d)</w:t>
      </w:r>
      <w:r>
        <w:rPr>
          <w:rFonts w:ascii="Arial" w:cs="Arial" w:eastAsia="Arial" w:hAnsi="Arial"/>
          <w:sz w:val="22"/>
          <w:szCs w:val="22"/>
          <w:color w:val="auto"/>
        </w:rPr>
        <w:t xml:space="preserve">, and (iv) Indebtedness incurred in reliance on </w:t>
      </w:r>
      <w:r>
        <w:rPr>
          <w:rFonts w:ascii="Arial" w:cs="Arial" w:eastAsia="Arial" w:hAnsi="Arial"/>
          <w:sz w:val="22"/>
          <w:szCs w:val="22"/>
          <w:u w:val="single" w:color="auto"/>
          <w:color w:val="auto"/>
        </w:rPr>
        <w:t>Section 7.1(i)</w:t>
      </w:r>
      <w:r>
        <w:rPr>
          <w:rFonts w:ascii="Arial" w:cs="Arial" w:eastAsia="Arial" w:hAnsi="Arial"/>
          <w:sz w:val="22"/>
          <w:szCs w:val="22"/>
          <w:color w:val="auto"/>
        </w:rPr>
        <w:t xml:space="preserve"> and secured pursuant to clause (r) of the definition of "Permitted Liens" on a pari passu basis with the LSB Notes, prepay, redeem, defease, purchase, or otherwise acquire any Indebtedness of any Loan Party which is junior in right of payment to the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prepayments shall be permitted so long as, with respect to any such amount in excess of $500,000 during any fiscal year, both immediately before and after giving effect to any such excess payments, no Advances are outstanding hereunder;</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intentionally</w:t>
      </w:r>
      <w:r>
        <w:rPr>
          <w:rFonts w:ascii="Arial" w:cs="Arial" w:eastAsia="Arial" w:hAnsi="Arial"/>
          <w:sz w:val="22"/>
          <w:szCs w:val="22"/>
          <w:i w:val="1"/>
          <w:iCs w:val="1"/>
          <w:u w:val="single" w:color="auto"/>
          <w:color w:val="0000FF"/>
        </w:rPr>
        <w:t>Intentionally</w:t>
      </w:r>
      <w:r>
        <w:rPr>
          <w:rFonts w:ascii="Arial" w:cs="Arial" w:eastAsia="Arial" w:hAnsi="Arial"/>
          <w:sz w:val="22"/>
          <w:szCs w:val="22"/>
          <w:color w:val="auto"/>
        </w:rPr>
        <w:t xml:space="preserve"> </w:t>
      </w:r>
      <w:r>
        <w:rPr>
          <w:rFonts w:ascii="Arial" w:cs="Arial" w:eastAsia="Arial" w:hAnsi="Arial"/>
          <w:sz w:val="22"/>
          <w:szCs w:val="22"/>
          <w:i w:val="1"/>
          <w:iCs w:val="1"/>
          <w:color w:val="auto"/>
        </w:rPr>
        <w:t>omitted</w:t>
      </w:r>
      <w:r>
        <w:rPr>
          <w:rFonts w:ascii="Arial" w:cs="Arial" w:eastAsia="Arial" w:hAnsi="Arial"/>
          <w:sz w:val="22"/>
          <w:szCs w:val="22"/>
          <w:color w:val="auto"/>
        </w:rPr>
        <w:t>], and</w:t>
      </w:r>
    </w:p>
    <w:p>
      <w:pPr>
        <w:spacing w:after="0" w:line="20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 xml:space="preserve">Except in connection with a refinancing permitted by </w:t>
      </w:r>
      <w:r>
        <w:rPr>
          <w:rFonts w:ascii="Arial" w:cs="Arial" w:eastAsia="Arial" w:hAnsi="Arial"/>
          <w:sz w:val="21"/>
          <w:szCs w:val="21"/>
          <w:u w:val="single" w:color="auto"/>
          <w:color w:val="auto"/>
        </w:rPr>
        <w:t>Section 7.1(d)</w:t>
      </w:r>
      <w:r>
        <w:rPr>
          <w:rFonts w:ascii="Arial" w:cs="Arial" w:eastAsia="Arial" w:hAnsi="Arial"/>
          <w:sz w:val="21"/>
          <w:szCs w:val="21"/>
          <w:color w:val="auto"/>
        </w:rPr>
        <w:t xml:space="preserve">, amend, modify, alter, increase, or change any of the terms or conditions of any agreement, instrument, document, indenture, or other writing evidencing or concerning Indebtedness which is junior in right of payment to the Obligations permitted under </w:t>
      </w:r>
      <w:r>
        <w:rPr>
          <w:rFonts w:ascii="Arial" w:cs="Arial" w:eastAsia="Arial" w:hAnsi="Arial"/>
          <w:sz w:val="21"/>
          <w:szCs w:val="21"/>
          <w:u w:val="single" w:color="auto"/>
          <w:color w:val="auto"/>
        </w:rPr>
        <w:t>Sections 7.1(b)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(g)</w:t>
      </w:r>
      <w:r>
        <w:rPr>
          <w:rFonts w:ascii="Arial" w:cs="Arial" w:eastAsia="Arial" w:hAnsi="Arial"/>
          <w:sz w:val="21"/>
          <w:szCs w:val="21"/>
          <w:color w:val="auto"/>
        </w:rPr>
        <w:t xml:space="preserve"> if such amendment, modification or change would shorten the final maturity or average life to maturity of, or require any payment to be made earlier than the date originally scheduled on, such Indebtedness, would increase the principal amount of or the interest rate applicable to such Indebtedness, would change the lien subordination provisions of such Indebtedness, or would otherwise be materially adverse to any Loan Party, the Agent or the Lenders in any respect.</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For the avoidance of doubt, nothing in this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shall restrict or prohibit the forgiveness of any CARES Debt or the payment thereof (to the extent unable to be forgiven) in accordance with its terms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Change of Control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Cause, permit, or suffer, directly or indirectly, any Change of Control.</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Consignments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 Consign any Inventory or sell any Inventory on bill and hold, sale or return, sale on approval, or other conditional terms of sale.</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Distributions</w:t>
      </w:r>
    </w:p>
    <w:p>
      <w:pPr>
        <w:spacing w:after="0" w:line="212" w:lineRule="exact"/>
        <w:rPr>
          <w:sz w:val="20"/>
          <w:szCs w:val="20"/>
          <w:color w:val="auto"/>
        </w:rPr>
      </w:pPr>
    </w:p>
    <w:p>
      <w:pPr>
        <w:jc w:val="both"/>
        <w:ind w:firstLine="8"/>
        <w:spacing w:after="0" w:line="252" w:lineRule="auto"/>
        <w:tabs>
          <w:tab w:leader="none" w:pos="24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 xml:space="preserve">Other than (i) distributions or the declaration and payment of dividends by a Loan Party to another Loan Party and (ii) transactions permitted under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make any distribution or declare or pay any dividends (in cash or other property, other than common Stock) on, or purchase, acquire, redeem, or retire any of any Loan Party's Stock, of any class, whether now or hereafter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that Parent may make other distributions and pay dividends to its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5" w:name="page156"/>
    <w:bookmarkEnd w:id="155"/>
    <w:p>
      <w:pPr>
        <w:jc w:val="both"/>
        <w:spacing w:after="0"/>
        <w:rPr>
          <w:sz w:val="20"/>
          <w:szCs w:val="20"/>
          <w:color w:val="auto"/>
        </w:rPr>
      </w:pPr>
      <w:r>
        <w:rPr>
          <w:rFonts w:ascii="Arial" w:cs="Arial" w:eastAsia="Arial" w:hAnsi="Arial"/>
          <w:sz w:val="22"/>
          <w:szCs w:val="22"/>
          <w:color w:val="auto"/>
        </w:rPr>
        <w:t>equityholders and purchase, acquire, redeem, or retire its Stock, so long as, with respect to any such amounts in excess of $500,000 during any fiscal year, both immediately before and after giving effect to any such excess payments, the Covenant Condition has been satisfied.</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Accounting Methods</w:t>
      </w:r>
    </w:p>
    <w:p>
      <w:pPr>
        <w:spacing w:after="0" w:line="212" w:lineRule="exact"/>
        <w:rPr>
          <w:sz w:val="20"/>
          <w:szCs w:val="20"/>
          <w:color w:val="auto"/>
        </w:rPr>
      </w:pPr>
    </w:p>
    <w:p>
      <w:pPr>
        <w:jc w:val="both"/>
        <w:ind w:firstLine="8"/>
        <w:spacing w:after="0" w:line="252" w:lineRule="auto"/>
        <w:tabs>
          <w:tab w:leader="none" w:pos="212" w:val="left"/>
        </w:tabs>
        <w:numPr>
          <w:ilvl w:val="0"/>
          <w:numId w:val="120"/>
        </w:numPr>
        <w:rPr>
          <w:rFonts w:ascii="Arial" w:cs="Arial" w:eastAsia="Arial" w:hAnsi="Arial"/>
          <w:sz w:val="21"/>
          <w:szCs w:val="21"/>
          <w:color w:val="auto"/>
        </w:rPr>
      </w:pPr>
      <w:r>
        <w:rPr>
          <w:rFonts w:ascii="Arial" w:cs="Arial" w:eastAsia="Arial" w:hAnsi="Arial"/>
          <w:sz w:val="21"/>
          <w:szCs w:val="21"/>
          <w:color w:val="auto"/>
        </w:rPr>
        <w:t>Modify or change its method of accounting (other than as may be required to conform to GAAP) or enter into, modify, or terminate any agreement currently existing, or at any time hereafter entered into with any third party accounting firm or service bureau for the preparation or storage of the Loan Parties' accounting records without said accounting firm or service bureau agreeing to provide Agent information regarding the Collateral or the Loan Parties' financial condition.</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Investments</w:t>
      </w:r>
    </w:p>
    <w:p>
      <w:pPr>
        <w:spacing w:after="0" w:line="212" w:lineRule="exact"/>
        <w:rPr>
          <w:sz w:val="20"/>
          <w:szCs w:val="20"/>
          <w:color w:val="auto"/>
        </w:rPr>
      </w:pPr>
    </w:p>
    <w:p>
      <w:pPr>
        <w:jc w:val="both"/>
        <w:ind w:firstLine="8"/>
        <w:spacing w:after="0" w:line="238" w:lineRule="auto"/>
        <w:tabs>
          <w:tab w:leader="none" w:pos="21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Except for Permitted Investments, directly or indirectly, make or acquire any Investment, or incur any liabilities (including contingent obligations) for or in connection with any Investment;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Loan Parties are also permitted to make or acquire other Investments (other than in the Cash Management Accounts) not exceeding $5,000,000 in the aggregate outstanding at any one time.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Transactions with Affiliates</w:t>
      </w:r>
    </w:p>
    <w:p>
      <w:pPr>
        <w:spacing w:after="0" w:line="212" w:lineRule="exact"/>
        <w:rPr>
          <w:sz w:val="20"/>
          <w:szCs w:val="20"/>
          <w:color w:val="auto"/>
        </w:rPr>
      </w:pPr>
    </w:p>
    <w:p>
      <w:pPr>
        <w:jc w:val="both"/>
        <w:ind w:firstLine="8"/>
        <w:spacing w:after="0" w:line="287" w:lineRule="auto"/>
        <w:tabs>
          <w:tab w:leader="none" w:pos="23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Except for agreements set forth on </w:t>
      </w:r>
      <w:r>
        <w:rPr>
          <w:rFonts w:ascii="Arial" w:cs="Arial" w:eastAsia="Arial" w:hAnsi="Arial"/>
          <w:sz w:val="19"/>
          <w:szCs w:val="19"/>
          <w:u w:val="single" w:color="auto"/>
          <w:color w:val="auto"/>
        </w:rPr>
        <w:t>Schedule 7.14</w:t>
      </w:r>
      <w:r>
        <w:rPr>
          <w:rFonts w:ascii="Arial" w:cs="Arial" w:eastAsia="Arial" w:hAnsi="Arial"/>
          <w:sz w:val="19"/>
          <w:szCs w:val="19"/>
          <w:color w:val="auto"/>
        </w:rPr>
        <w:t>, transactions among the Loan Parties or transactions that are otherwise expressly permitted under this Agreement, directly or indirectly enter into or permit to exist any transaction with any Affiliate of any Loan Party except for transactions that are in the ordinary course of the Loan Parties' business, upon fair and reasonable terms and that are no less favorable to Loan Parties than would be obtained in an arm's length transaction with a non-Affiliate.</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Suspension</w:t>
      </w:r>
    </w:p>
    <w:p>
      <w:pPr>
        <w:spacing w:after="0" w:line="212" w:lineRule="exact"/>
        <w:rPr>
          <w:sz w:val="20"/>
          <w:szCs w:val="20"/>
          <w:color w:val="auto"/>
        </w:rPr>
      </w:pPr>
    </w:p>
    <w:p>
      <w:pPr>
        <w:ind w:left="180" w:hanging="172"/>
        <w:spacing w:after="0"/>
        <w:tabs>
          <w:tab w:leader="none" w:pos="1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Suspend or go out of a substantial portion of its business.</w:t>
      </w:r>
    </w:p>
    <w:p>
      <w:pPr>
        <w:spacing w:after="0" w:line="200"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w:t>
      </w:r>
    </w:p>
    <w:p>
      <w:pPr>
        <w:spacing w:after="0" w:line="212" w:lineRule="exact"/>
        <w:rPr>
          <w:sz w:val="20"/>
          <w:szCs w:val="20"/>
          <w:color w:val="auto"/>
        </w:rPr>
      </w:pPr>
    </w:p>
    <w:p>
      <w:pPr>
        <w:ind w:firstLine="8"/>
        <w:spacing w:after="0" w:line="250" w:lineRule="auto"/>
        <w:tabs>
          <w:tab w:leader="none" w:pos="22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Pay or accrue total cash compensation, during any year, to its officers and senior management employees in an aggregate amount in excess of the amount established by the compensation committee of Parent.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Use of Proceeds</w:t>
      </w:r>
    </w:p>
    <w:p>
      <w:pPr>
        <w:spacing w:after="0" w:line="212" w:lineRule="exact"/>
        <w:rPr>
          <w:sz w:val="20"/>
          <w:szCs w:val="20"/>
          <w:color w:val="auto"/>
        </w:rPr>
      </w:pPr>
    </w:p>
    <w:p>
      <w:pPr>
        <w:jc w:val="both"/>
        <w:ind w:firstLine="8"/>
        <w:spacing w:after="0" w:line="235" w:lineRule="auto"/>
        <w:tabs>
          <w:tab w:leader="none" w:pos="17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U se the proceeds of the Advances for any purpose other than (a) on the Restatement Effective Date, to pay transactional fees, costs, and expenses incurred in connection with this Agreement, the other Loan Documents, and the transactions contemplated hereby and thereby, and (b) thereafter, consistent with the terms and conditions hereof, for its lawful and permitted purposes. No part of the proceeds of any Loan or Letter of Credit will be used, directly or to Borrowers' reasonable knowledge, indirectly, to make any payments to a Sanctioned Entity or a Sanctioned Person, to fund any investments, loans or contributions in, or otherwise make such proceeds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6" w:name="page157"/>
    <w:bookmarkEnd w:id="156"/>
    <w:p>
      <w:pPr>
        <w:jc w:val="both"/>
        <w:spacing w:after="0" w:line="279" w:lineRule="auto"/>
        <w:rPr>
          <w:sz w:val="20"/>
          <w:szCs w:val="20"/>
          <w:color w:val="auto"/>
        </w:rPr>
      </w:pPr>
      <w:r>
        <w:rPr>
          <w:rFonts w:ascii="Arial" w:cs="Arial" w:eastAsia="Arial" w:hAnsi="Arial"/>
          <w:sz w:val="19"/>
          <w:szCs w:val="19"/>
          <w:color w:val="auto"/>
        </w:rPr>
        <w:t>available to, a Sanctioned Entity or a Sanctioned Person, to fund any operations, activities or business of a Sanctioned Entity or a Sanctioned Person, or in any other manner that would result in a violation of Sanctions by any Person, and that no part of the proceeds of any Loan or Letter of Credit will be used, directly or to Borrowers' reasonable knowledge, indirectly, in furtherance of an offer, payment, promise to pay, or authorization of the payment or giving of money, or anything else of value, to any Loan Party, Subsidiary, any Lender, Bank Product Provider, or other individual or entity participating in the transactions contemplated herein in violation of any Sanctions, Anti-Corruption Laws or Anti-Money Laundering Laws.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Change in Location of Chief Executive Office; Inventory and Equipment with Bailees</w:t>
      </w:r>
    </w:p>
    <w:p>
      <w:pPr>
        <w:spacing w:after="0" w:line="212" w:lineRule="exact"/>
        <w:rPr>
          <w:sz w:val="20"/>
          <w:szCs w:val="20"/>
          <w:color w:val="auto"/>
        </w:rPr>
      </w:pPr>
    </w:p>
    <w:p>
      <w:pPr>
        <w:jc w:val="both"/>
        <w:ind w:firstLine="8"/>
        <w:spacing w:after="0" w:line="282" w:lineRule="auto"/>
        <w:tabs>
          <w:tab w:leader="none" w:pos="263" w:val="left"/>
        </w:tabs>
        <w:numPr>
          <w:ilvl w:val="0"/>
          <w:numId w:val="126"/>
        </w:numPr>
        <w:rPr>
          <w:rFonts w:ascii="Arial" w:cs="Arial" w:eastAsia="Arial" w:hAnsi="Arial"/>
          <w:sz w:val="19"/>
          <w:szCs w:val="19"/>
          <w:color w:val="auto"/>
        </w:rPr>
      </w:pPr>
      <w:r>
        <w:rPr>
          <w:rFonts w:ascii="Arial" w:cs="Arial" w:eastAsia="Arial" w:hAnsi="Arial"/>
          <w:sz w:val="19"/>
          <w:szCs w:val="19"/>
          <w:color w:val="auto"/>
        </w:rPr>
        <w:t>Relocate its chief executive office to a new location without Administrative Borrower providing 30 days prior written notification thereof to Agent and so long as, at the time of such written notification, the applicable Loan Party provides any financing statements or fixture filings necessary to perfect and continue perfected the Agent's Liens and also provides to Agent a Collateral Access Agreement, if applicable, with respect to such new location. The Inventory shall not at any time now or hereafter be stored with a bailee, warehouseman, or similar party without Agent's prior written consent.</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intentionally omitted</w:t>
      </w:r>
      <w:r>
        <w:rPr>
          <w:rFonts w:ascii="Arial" w:cs="Arial" w:eastAsia="Arial" w:hAnsi="Arial"/>
          <w:sz w:val="22"/>
          <w:szCs w:val="22"/>
          <w:i w:val="1"/>
          <w:iCs w:val="1"/>
          <w:u w:val="single" w:color="auto"/>
          <w:color w:val="0000FF"/>
        </w:rPr>
        <w:t>Intentionally Omitted</w:t>
      </w:r>
      <w:r>
        <w:rPr>
          <w:rFonts w:ascii="Arial" w:cs="Arial" w:eastAsia="Arial" w:hAnsi="Arial"/>
          <w:sz w:val="22"/>
          <w:szCs w:val="22"/>
          <w:color w:val="auto"/>
        </w:rPr>
        <w:t>].</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Financial Covenants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b w:val="1"/>
          <w:bCs w:val="1"/>
          <w:color w:val="auto"/>
        </w:rPr>
        <w:t>Fixed Charge Coverage Ratio</w:t>
      </w:r>
      <w:r>
        <w:rPr>
          <w:rFonts w:ascii="Arial" w:cs="Arial" w:eastAsia="Arial" w:hAnsi="Arial"/>
          <w:sz w:val="22"/>
          <w:szCs w:val="22"/>
          <w:color w:val="auto"/>
        </w:rPr>
        <w:t>. At any time on or after September 30, 2017, solely during the continuance of</w:t>
      </w:r>
      <w:r>
        <w:rPr>
          <w:rFonts w:ascii="Arial" w:cs="Arial" w:eastAsia="Arial" w:hAnsi="Arial"/>
          <w:sz w:val="22"/>
          <w:szCs w:val="22"/>
          <w:b w:val="1"/>
          <w:bCs w:val="1"/>
          <w:color w:val="auto"/>
        </w:rPr>
        <w:t xml:space="preserve"> </w:t>
      </w:r>
      <w:r>
        <w:rPr>
          <w:rFonts w:ascii="Arial" w:cs="Arial" w:eastAsia="Arial" w:hAnsi="Arial"/>
          <w:sz w:val="22"/>
          <w:szCs w:val="22"/>
          <w:color w:val="auto"/>
        </w:rPr>
        <w:t>an Financial Covenant Trigger Period, fail to maintain a Fixed Charge Coverage Ratio of not less than 1.00:1.00, measured monthly commencing on the Financial Covenant Trigger Date with the month ending immediately after the Financial Covenant Trigger Date, on a trailing twelve month basis.</w:t>
      </w:r>
    </w:p>
    <w:p>
      <w:pPr>
        <w:spacing w:after="0" w:line="180"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b w:val="1"/>
          <w:bCs w:val="1"/>
          <w:color w:val="auto"/>
        </w:rPr>
        <w:t>Minimum EBITDA</w:t>
      </w:r>
      <w:r>
        <w:rPr>
          <w:rFonts w:ascii="Arial" w:cs="Arial" w:eastAsia="Arial" w:hAnsi="Arial"/>
          <w:sz w:val="22"/>
          <w:szCs w:val="22"/>
          <w:color w:val="auto"/>
        </w:rPr>
        <w:t>. Solely during the continuance of anFinancial Covenant Trigger Period, permit EBITDA,</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applicable date set forth below for the period set forth below ending on such date, to be less than the applicable amount set forth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0" w:type="dxa"/>
            <w:vAlign w:val="bottom"/>
          </w:tcPr>
          <w:p>
            <w:pPr>
              <w:spacing w:after="0"/>
              <w:rPr>
                <w:sz w:val="21"/>
                <w:szCs w:val="21"/>
                <w:color w:val="auto"/>
              </w:rPr>
            </w:pPr>
          </w:p>
        </w:tc>
        <w:tc>
          <w:tcPr>
            <w:tcW w:w="1640" w:type="dxa"/>
            <w:vAlign w:val="bottom"/>
          </w:tcPr>
          <w:p>
            <w:pPr>
              <w:spacing w:after="0"/>
              <w:rPr>
                <w:sz w:val="20"/>
                <w:szCs w:val="20"/>
                <w:color w:val="auto"/>
              </w:rPr>
            </w:pPr>
            <w:r>
              <w:rPr>
                <w:rFonts w:ascii="Arial" w:cs="Arial" w:eastAsia="Arial" w:hAnsi="Arial"/>
                <w:sz w:val="22"/>
                <w:szCs w:val="22"/>
                <w:color w:val="auto"/>
                <w:w w:val="89"/>
              </w:rPr>
              <w:t>Last Day of Period</w:t>
            </w:r>
          </w:p>
        </w:tc>
        <w:tc>
          <w:tcPr>
            <w:tcW w:w="1220" w:type="dxa"/>
            <w:vAlign w:val="bottom"/>
          </w:tcPr>
          <w:p>
            <w:pPr>
              <w:spacing w:after="0"/>
              <w:rPr>
                <w:sz w:val="21"/>
                <w:szCs w:val="21"/>
                <w:color w:val="auto"/>
              </w:rPr>
            </w:pPr>
          </w:p>
        </w:tc>
        <w:tc>
          <w:tcPr>
            <w:tcW w:w="6380" w:type="dxa"/>
            <w:vAlign w:val="bottom"/>
            <w:gridSpan w:val="3"/>
          </w:tcPr>
          <w:p>
            <w:pPr>
              <w:ind w:left="2720"/>
              <w:spacing w:after="0"/>
              <w:rPr>
                <w:sz w:val="20"/>
                <w:szCs w:val="20"/>
                <w:color w:val="auto"/>
              </w:rPr>
            </w:pPr>
            <w:r>
              <w:rPr>
                <w:rFonts w:ascii="Arial" w:cs="Arial" w:eastAsia="Arial" w:hAnsi="Arial"/>
                <w:sz w:val="22"/>
                <w:szCs w:val="22"/>
                <w:color w:val="auto"/>
              </w:rPr>
              <w:t>Minimum EBITDA</w:t>
            </w:r>
          </w:p>
        </w:tc>
      </w:tr>
      <w:tr>
        <w:trPr>
          <w:trHeight w:val="20"/>
        </w:trPr>
        <w:tc>
          <w:tcPr>
            <w:tcW w:w="20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85"/>
        </w:trPr>
        <w:tc>
          <w:tcPr>
            <w:tcW w:w="4860" w:type="dxa"/>
            <w:vAlign w:val="bottom"/>
            <w:gridSpan w:val="3"/>
          </w:tcPr>
          <w:p>
            <w:pPr>
              <w:ind w:left="100"/>
              <w:spacing w:after="0"/>
              <w:rPr>
                <w:sz w:val="20"/>
                <w:szCs w:val="20"/>
                <w:color w:val="auto"/>
              </w:rPr>
            </w:pPr>
            <w:r>
              <w:rPr>
                <w:rFonts w:ascii="Arial" w:cs="Arial" w:eastAsia="Arial" w:hAnsi="Arial"/>
                <w:sz w:val="22"/>
                <w:szCs w:val="22"/>
                <w:color w:val="auto"/>
              </w:rPr>
              <w:t>One month period ending January 30, 2017</w:t>
            </w:r>
          </w:p>
        </w:tc>
        <w:tc>
          <w:tcPr>
            <w:tcW w:w="6380" w:type="dxa"/>
            <w:vAlign w:val="bottom"/>
            <w:gridSpan w:val="3"/>
          </w:tcPr>
          <w:p>
            <w:pPr>
              <w:ind w:left="860"/>
              <w:spacing w:after="0"/>
              <w:rPr>
                <w:sz w:val="20"/>
                <w:szCs w:val="20"/>
                <w:color w:val="auto"/>
              </w:rPr>
            </w:pPr>
            <w:r>
              <w:rPr>
                <w:rFonts w:ascii="Arial" w:cs="Arial" w:eastAsia="Arial" w:hAnsi="Arial"/>
                <w:sz w:val="22"/>
                <w:szCs w:val="22"/>
                <w:color w:val="auto"/>
                <w:w w:val="96"/>
              </w:rPr>
              <w:t>80% of the EBITDA amount set forth for such period in the</w:t>
            </w:r>
          </w:p>
        </w:tc>
      </w:tr>
      <w:tr>
        <w:trPr>
          <w:trHeight w:val="274"/>
        </w:trPr>
        <w:tc>
          <w:tcPr>
            <w:tcW w:w="20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380" w:type="dxa"/>
            <w:vAlign w:val="bottom"/>
            <w:gridSpan w:val="3"/>
          </w:tcPr>
          <w:p>
            <w:pPr>
              <w:ind w:left="860"/>
              <w:spacing w:after="0"/>
              <w:rPr>
                <w:sz w:val="20"/>
                <w:szCs w:val="20"/>
                <w:color w:val="auto"/>
              </w:rPr>
            </w:pPr>
            <w:r>
              <w:rPr>
                <w:rFonts w:ascii="Arial" w:cs="Arial" w:eastAsia="Arial" w:hAnsi="Arial"/>
                <w:sz w:val="22"/>
                <w:szCs w:val="22"/>
                <w:color w:val="auto"/>
              </w:rPr>
              <w:t>Projections</w:t>
            </w:r>
          </w:p>
        </w:tc>
      </w:tr>
      <w:tr>
        <w:trPr>
          <w:trHeight w:val="455"/>
        </w:trPr>
        <w:tc>
          <w:tcPr>
            <w:tcW w:w="4860" w:type="dxa"/>
            <w:vAlign w:val="bottom"/>
            <w:gridSpan w:val="3"/>
          </w:tcPr>
          <w:p>
            <w:pPr>
              <w:ind w:left="100"/>
              <w:spacing w:after="0"/>
              <w:rPr>
                <w:sz w:val="20"/>
                <w:szCs w:val="20"/>
                <w:color w:val="auto"/>
              </w:rPr>
            </w:pPr>
            <w:r>
              <w:rPr>
                <w:rFonts w:ascii="Arial" w:cs="Arial" w:eastAsia="Arial" w:hAnsi="Arial"/>
                <w:sz w:val="22"/>
                <w:szCs w:val="22"/>
                <w:color w:val="auto"/>
              </w:rPr>
              <w:t>Two month period ending February 28, 2017</w:t>
            </w:r>
          </w:p>
        </w:tc>
        <w:tc>
          <w:tcPr>
            <w:tcW w:w="6380" w:type="dxa"/>
            <w:vAlign w:val="bottom"/>
            <w:gridSpan w:val="3"/>
          </w:tcPr>
          <w:p>
            <w:pPr>
              <w:ind w:left="860"/>
              <w:spacing w:after="0"/>
              <w:rPr>
                <w:sz w:val="20"/>
                <w:szCs w:val="20"/>
                <w:color w:val="auto"/>
              </w:rPr>
            </w:pPr>
            <w:r>
              <w:rPr>
                <w:rFonts w:ascii="Arial" w:cs="Arial" w:eastAsia="Arial" w:hAnsi="Arial"/>
                <w:sz w:val="22"/>
                <w:szCs w:val="22"/>
                <w:color w:val="auto"/>
                <w:w w:val="96"/>
              </w:rPr>
              <w:t>80% of the EBITDA amount set forth for such period in the</w:t>
            </w:r>
          </w:p>
        </w:tc>
      </w:tr>
      <w:tr>
        <w:trPr>
          <w:trHeight w:val="274"/>
        </w:trPr>
        <w:tc>
          <w:tcPr>
            <w:tcW w:w="20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380" w:type="dxa"/>
            <w:vAlign w:val="bottom"/>
            <w:gridSpan w:val="3"/>
          </w:tcPr>
          <w:p>
            <w:pPr>
              <w:ind w:left="860"/>
              <w:spacing w:after="0"/>
              <w:rPr>
                <w:sz w:val="20"/>
                <w:szCs w:val="20"/>
                <w:color w:val="auto"/>
              </w:rPr>
            </w:pPr>
            <w:r>
              <w:rPr>
                <w:rFonts w:ascii="Arial" w:cs="Arial" w:eastAsia="Arial" w:hAnsi="Arial"/>
                <w:sz w:val="22"/>
                <w:szCs w:val="22"/>
                <w:color w:val="auto"/>
              </w:rPr>
              <w:t>Projections</w:t>
            </w:r>
          </w:p>
        </w:tc>
      </w:tr>
      <w:tr>
        <w:trPr>
          <w:trHeight w:val="455"/>
        </w:trPr>
        <w:tc>
          <w:tcPr>
            <w:tcW w:w="4860" w:type="dxa"/>
            <w:vAlign w:val="bottom"/>
            <w:gridSpan w:val="3"/>
          </w:tcPr>
          <w:p>
            <w:pPr>
              <w:ind w:left="100"/>
              <w:spacing w:after="0"/>
              <w:rPr>
                <w:sz w:val="20"/>
                <w:szCs w:val="20"/>
                <w:color w:val="auto"/>
              </w:rPr>
            </w:pPr>
            <w:r>
              <w:rPr>
                <w:rFonts w:ascii="Arial" w:cs="Arial" w:eastAsia="Arial" w:hAnsi="Arial"/>
                <w:sz w:val="22"/>
                <w:szCs w:val="22"/>
                <w:color w:val="auto"/>
              </w:rPr>
              <w:t>Three month period ending March 31, 2017</w:t>
            </w:r>
          </w:p>
        </w:tc>
        <w:tc>
          <w:tcPr>
            <w:tcW w:w="6380" w:type="dxa"/>
            <w:vAlign w:val="bottom"/>
            <w:gridSpan w:val="3"/>
          </w:tcPr>
          <w:p>
            <w:pPr>
              <w:ind w:left="860"/>
              <w:spacing w:after="0"/>
              <w:rPr>
                <w:sz w:val="20"/>
                <w:szCs w:val="20"/>
                <w:color w:val="auto"/>
              </w:rPr>
            </w:pPr>
            <w:r>
              <w:rPr>
                <w:rFonts w:ascii="Arial" w:cs="Arial" w:eastAsia="Arial" w:hAnsi="Arial"/>
                <w:sz w:val="22"/>
                <w:szCs w:val="22"/>
                <w:color w:val="auto"/>
                <w:w w:val="96"/>
              </w:rPr>
              <w:t>80% of the EBITDA amount set forth for such period in the</w:t>
            </w:r>
          </w:p>
        </w:tc>
      </w:tr>
      <w:tr>
        <w:trPr>
          <w:trHeight w:val="274"/>
        </w:trPr>
        <w:tc>
          <w:tcPr>
            <w:tcW w:w="20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380" w:type="dxa"/>
            <w:vAlign w:val="bottom"/>
            <w:gridSpan w:val="3"/>
          </w:tcPr>
          <w:p>
            <w:pPr>
              <w:ind w:left="860"/>
              <w:spacing w:after="0"/>
              <w:rPr>
                <w:sz w:val="20"/>
                <w:szCs w:val="20"/>
                <w:color w:val="auto"/>
              </w:rPr>
            </w:pPr>
            <w:r>
              <w:rPr>
                <w:rFonts w:ascii="Arial" w:cs="Arial" w:eastAsia="Arial" w:hAnsi="Arial"/>
                <w:sz w:val="22"/>
                <w:szCs w:val="22"/>
                <w:color w:val="auto"/>
              </w:rPr>
              <w:t>Projections</w:t>
            </w:r>
          </w:p>
        </w:tc>
      </w:tr>
      <w:tr>
        <w:trPr>
          <w:trHeight w:val="455"/>
        </w:trPr>
        <w:tc>
          <w:tcPr>
            <w:tcW w:w="4860" w:type="dxa"/>
            <w:vAlign w:val="bottom"/>
            <w:gridSpan w:val="3"/>
          </w:tcPr>
          <w:p>
            <w:pPr>
              <w:ind w:left="100"/>
              <w:spacing w:after="0"/>
              <w:rPr>
                <w:sz w:val="20"/>
                <w:szCs w:val="20"/>
                <w:color w:val="auto"/>
              </w:rPr>
            </w:pPr>
            <w:r>
              <w:rPr>
                <w:rFonts w:ascii="Arial" w:cs="Arial" w:eastAsia="Arial" w:hAnsi="Arial"/>
                <w:sz w:val="22"/>
                <w:szCs w:val="22"/>
                <w:color w:val="auto"/>
              </w:rPr>
              <w:t>Four month period ending April 30, 2017</w:t>
            </w:r>
          </w:p>
        </w:tc>
        <w:tc>
          <w:tcPr>
            <w:tcW w:w="6380" w:type="dxa"/>
            <w:vAlign w:val="bottom"/>
            <w:gridSpan w:val="3"/>
          </w:tcPr>
          <w:p>
            <w:pPr>
              <w:ind w:left="860"/>
              <w:spacing w:after="0"/>
              <w:rPr>
                <w:sz w:val="20"/>
                <w:szCs w:val="20"/>
                <w:color w:val="auto"/>
              </w:rPr>
            </w:pPr>
            <w:r>
              <w:rPr>
                <w:rFonts w:ascii="Arial" w:cs="Arial" w:eastAsia="Arial" w:hAnsi="Arial"/>
                <w:sz w:val="22"/>
                <w:szCs w:val="22"/>
                <w:color w:val="auto"/>
                <w:w w:val="96"/>
              </w:rPr>
              <w:t>80% of the EBITDA amount set forth for such period in the</w:t>
            </w:r>
          </w:p>
        </w:tc>
      </w:tr>
      <w:tr>
        <w:trPr>
          <w:trHeight w:val="274"/>
        </w:trPr>
        <w:tc>
          <w:tcPr>
            <w:tcW w:w="20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380" w:type="dxa"/>
            <w:vAlign w:val="bottom"/>
            <w:gridSpan w:val="3"/>
          </w:tcPr>
          <w:p>
            <w:pPr>
              <w:ind w:left="860"/>
              <w:spacing w:after="0"/>
              <w:rPr>
                <w:sz w:val="20"/>
                <w:szCs w:val="20"/>
                <w:color w:val="auto"/>
              </w:rPr>
            </w:pPr>
            <w:r>
              <w:rPr>
                <w:rFonts w:ascii="Arial" w:cs="Arial" w:eastAsia="Arial" w:hAnsi="Arial"/>
                <w:sz w:val="22"/>
                <w:szCs w:val="22"/>
                <w:color w:val="auto"/>
              </w:rPr>
              <w:t>Projections</w:t>
            </w:r>
          </w:p>
        </w:tc>
      </w:tr>
      <w:tr>
        <w:trPr>
          <w:trHeight w:val="473"/>
        </w:trPr>
        <w:tc>
          <w:tcPr>
            <w:tcW w:w="2000" w:type="dxa"/>
            <w:vAlign w:val="bottom"/>
          </w:tcPr>
          <w:p>
            <w:pPr>
              <w:spacing w:after="0"/>
              <w:rPr>
                <w:sz w:val="20"/>
                <w:szCs w:val="20"/>
                <w:color w:val="auto"/>
              </w:rPr>
            </w:pPr>
            <w:r>
              <w:rPr>
                <w:rFonts w:ascii="Arial" w:cs="Arial" w:eastAsia="Arial" w:hAnsi="Arial"/>
                <w:sz w:val="22"/>
                <w:szCs w:val="22"/>
                <w:color w:val="auto"/>
              </w:rPr>
              <w:t>-103-</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05"/>
        </w:trPr>
        <w:tc>
          <w:tcPr>
            <w:tcW w:w="20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7" w:name="page158"/>
    <w:bookmarkEnd w:id="157"/>
    <w:tbl>
      <w:tblPr>
        <w:tblLayout w:type="fixed"/>
        <w:tblInd w:w="100" w:type="dxa"/>
        <w:tblCellMar>
          <w:top w:w="0" w:type="dxa"/>
          <w:left w:w="0" w:type="dxa"/>
          <w:bottom w:w="0" w:type="dxa"/>
          <w:right w:w="0" w:type="dxa"/>
        </w:tblCellMar>
      </w:tblPr>
      <w:tr>
        <w:trPr>
          <w:trHeight w:val="253"/>
        </w:trPr>
        <w:tc>
          <w:tcPr>
            <w:tcW w:w="1900" w:type="dxa"/>
            <w:vAlign w:val="bottom"/>
          </w:tcPr>
          <w:p>
            <w:pPr>
              <w:spacing w:after="0"/>
              <w:rPr>
                <w:sz w:val="21"/>
                <w:szCs w:val="21"/>
                <w:color w:val="auto"/>
              </w:rPr>
            </w:pPr>
          </w:p>
        </w:tc>
        <w:tc>
          <w:tcPr>
            <w:tcW w:w="1640" w:type="dxa"/>
            <w:vAlign w:val="bottom"/>
          </w:tcPr>
          <w:p>
            <w:pPr>
              <w:spacing w:after="0"/>
              <w:rPr>
                <w:sz w:val="20"/>
                <w:szCs w:val="20"/>
                <w:color w:val="auto"/>
              </w:rPr>
            </w:pPr>
            <w:r>
              <w:rPr>
                <w:rFonts w:ascii="Arial" w:cs="Arial" w:eastAsia="Arial" w:hAnsi="Arial"/>
                <w:sz w:val="22"/>
                <w:szCs w:val="22"/>
                <w:color w:val="auto"/>
                <w:w w:val="89"/>
              </w:rPr>
              <w:t>Last Day of Period</w:t>
            </w:r>
          </w:p>
        </w:tc>
        <w:tc>
          <w:tcPr>
            <w:tcW w:w="1300" w:type="dxa"/>
            <w:vAlign w:val="bottom"/>
          </w:tcPr>
          <w:p>
            <w:pPr>
              <w:spacing w:after="0"/>
              <w:rPr>
                <w:sz w:val="21"/>
                <w:szCs w:val="21"/>
                <w:color w:val="auto"/>
              </w:rPr>
            </w:pPr>
          </w:p>
        </w:tc>
        <w:tc>
          <w:tcPr>
            <w:tcW w:w="5940" w:type="dxa"/>
            <w:vAlign w:val="bottom"/>
            <w:gridSpan w:val="3"/>
          </w:tcPr>
          <w:p>
            <w:pPr>
              <w:ind w:left="2640"/>
              <w:spacing w:after="0"/>
              <w:rPr>
                <w:sz w:val="20"/>
                <w:szCs w:val="20"/>
                <w:color w:val="auto"/>
              </w:rPr>
            </w:pPr>
            <w:r>
              <w:rPr>
                <w:rFonts w:ascii="Arial" w:cs="Arial" w:eastAsia="Arial" w:hAnsi="Arial"/>
                <w:sz w:val="22"/>
                <w:szCs w:val="22"/>
                <w:color w:val="auto"/>
              </w:rPr>
              <w:t>Minimum EBITDA</w:t>
            </w:r>
          </w:p>
        </w:tc>
      </w:tr>
      <w:tr>
        <w:trPr>
          <w:trHeight w:val="20"/>
        </w:trPr>
        <w:tc>
          <w:tcPr>
            <w:tcW w:w="19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85"/>
        </w:trPr>
        <w:tc>
          <w:tcPr>
            <w:tcW w:w="4840" w:type="dxa"/>
            <w:vAlign w:val="bottom"/>
            <w:gridSpan w:val="3"/>
          </w:tcPr>
          <w:p>
            <w:pPr>
              <w:spacing w:after="0"/>
              <w:rPr>
                <w:sz w:val="20"/>
                <w:szCs w:val="20"/>
                <w:color w:val="auto"/>
              </w:rPr>
            </w:pPr>
            <w:r>
              <w:rPr>
                <w:rFonts w:ascii="Arial" w:cs="Arial" w:eastAsia="Arial" w:hAnsi="Arial"/>
                <w:sz w:val="22"/>
                <w:szCs w:val="22"/>
                <w:color w:val="auto"/>
              </w:rPr>
              <w:t>Five month period ending May 31, 2017</w:t>
            </w:r>
          </w:p>
        </w:tc>
        <w:tc>
          <w:tcPr>
            <w:tcW w:w="5940" w:type="dxa"/>
            <w:vAlign w:val="bottom"/>
            <w:gridSpan w:val="3"/>
          </w:tcPr>
          <w:p>
            <w:pPr>
              <w:ind w:left="780"/>
              <w:spacing w:after="0"/>
              <w:rPr>
                <w:sz w:val="20"/>
                <w:szCs w:val="20"/>
                <w:color w:val="auto"/>
              </w:rPr>
            </w:pPr>
            <w:r>
              <w:rPr>
                <w:rFonts w:ascii="Arial" w:cs="Arial" w:eastAsia="Arial" w:hAnsi="Arial"/>
                <w:sz w:val="22"/>
                <w:szCs w:val="22"/>
                <w:color w:val="auto"/>
                <w:w w:val="90"/>
              </w:rPr>
              <w:t>80% of the EBITDA amount set forth for such period in the</w:t>
            </w:r>
          </w:p>
        </w:tc>
      </w:tr>
      <w:tr>
        <w:trPr>
          <w:trHeight w:val="274"/>
        </w:trPr>
        <w:tc>
          <w:tcPr>
            <w:tcW w:w="19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940" w:type="dxa"/>
            <w:vAlign w:val="bottom"/>
            <w:gridSpan w:val="3"/>
          </w:tcPr>
          <w:p>
            <w:pPr>
              <w:ind w:left="780"/>
              <w:spacing w:after="0"/>
              <w:rPr>
                <w:sz w:val="20"/>
                <w:szCs w:val="20"/>
                <w:color w:val="auto"/>
              </w:rPr>
            </w:pPr>
            <w:r>
              <w:rPr>
                <w:rFonts w:ascii="Arial" w:cs="Arial" w:eastAsia="Arial" w:hAnsi="Arial"/>
                <w:sz w:val="22"/>
                <w:szCs w:val="22"/>
                <w:color w:val="auto"/>
              </w:rPr>
              <w:t>Projections</w:t>
            </w:r>
          </w:p>
        </w:tc>
      </w:tr>
      <w:tr>
        <w:trPr>
          <w:trHeight w:val="455"/>
        </w:trPr>
        <w:tc>
          <w:tcPr>
            <w:tcW w:w="4840" w:type="dxa"/>
            <w:vAlign w:val="bottom"/>
            <w:gridSpan w:val="3"/>
          </w:tcPr>
          <w:p>
            <w:pPr>
              <w:spacing w:after="0"/>
              <w:rPr>
                <w:sz w:val="20"/>
                <w:szCs w:val="20"/>
                <w:color w:val="auto"/>
              </w:rPr>
            </w:pPr>
            <w:r>
              <w:rPr>
                <w:rFonts w:ascii="Arial" w:cs="Arial" w:eastAsia="Arial" w:hAnsi="Arial"/>
                <w:sz w:val="22"/>
                <w:szCs w:val="22"/>
                <w:color w:val="auto"/>
              </w:rPr>
              <w:t>Six month period ending June 30, 2017</w:t>
            </w:r>
          </w:p>
        </w:tc>
        <w:tc>
          <w:tcPr>
            <w:tcW w:w="5940" w:type="dxa"/>
            <w:vAlign w:val="bottom"/>
            <w:gridSpan w:val="3"/>
          </w:tcPr>
          <w:p>
            <w:pPr>
              <w:ind w:left="780"/>
              <w:spacing w:after="0"/>
              <w:rPr>
                <w:sz w:val="20"/>
                <w:szCs w:val="20"/>
                <w:color w:val="auto"/>
              </w:rPr>
            </w:pPr>
            <w:r>
              <w:rPr>
                <w:rFonts w:ascii="Arial" w:cs="Arial" w:eastAsia="Arial" w:hAnsi="Arial"/>
                <w:sz w:val="22"/>
                <w:szCs w:val="22"/>
                <w:color w:val="auto"/>
                <w:w w:val="90"/>
              </w:rPr>
              <w:t>80% of the EBITDA amount set forth for such period in the</w:t>
            </w:r>
          </w:p>
        </w:tc>
      </w:tr>
      <w:tr>
        <w:trPr>
          <w:trHeight w:val="274"/>
        </w:trPr>
        <w:tc>
          <w:tcPr>
            <w:tcW w:w="19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940" w:type="dxa"/>
            <w:vAlign w:val="bottom"/>
            <w:gridSpan w:val="3"/>
          </w:tcPr>
          <w:p>
            <w:pPr>
              <w:ind w:left="780"/>
              <w:spacing w:after="0"/>
              <w:rPr>
                <w:sz w:val="20"/>
                <w:szCs w:val="20"/>
                <w:color w:val="auto"/>
              </w:rPr>
            </w:pPr>
            <w:r>
              <w:rPr>
                <w:rFonts w:ascii="Arial" w:cs="Arial" w:eastAsia="Arial" w:hAnsi="Arial"/>
                <w:sz w:val="22"/>
                <w:szCs w:val="22"/>
                <w:color w:val="auto"/>
              </w:rPr>
              <w:t>Projections</w:t>
            </w:r>
          </w:p>
        </w:tc>
      </w:tr>
      <w:tr>
        <w:trPr>
          <w:trHeight w:val="455"/>
        </w:trPr>
        <w:tc>
          <w:tcPr>
            <w:tcW w:w="4840" w:type="dxa"/>
            <w:vAlign w:val="bottom"/>
            <w:gridSpan w:val="3"/>
          </w:tcPr>
          <w:p>
            <w:pPr>
              <w:spacing w:after="0"/>
              <w:rPr>
                <w:sz w:val="20"/>
                <w:szCs w:val="20"/>
                <w:color w:val="auto"/>
              </w:rPr>
            </w:pPr>
            <w:r>
              <w:rPr>
                <w:rFonts w:ascii="Arial" w:cs="Arial" w:eastAsia="Arial" w:hAnsi="Arial"/>
                <w:sz w:val="22"/>
                <w:szCs w:val="22"/>
                <w:color w:val="auto"/>
              </w:rPr>
              <w:t>Seven month period ending July 31, 2017</w:t>
            </w:r>
          </w:p>
        </w:tc>
        <w:tc>
          <w:tcPr>
            <w:tcW w:w="5940" w:type="dxa"/>
            <w:vAlign w:val="bottom"/>
            <w:gridSpan w:val="3"/>
          </w:tcPr>
          <w:p>
            <w:pPr>
              <w:ind w:left="780"/>
              <w:spacing w:after="0"/>
              <w:rPr>
                <w:sz w:val="20"/>
                <w:szCs w:val="20"/>
                <w:color w:val="auto"/>
              </w:rPr>
            </w:pPr>
            <w:r>
              <w:rPr>
                <w:rFonts w:ascii="Arial" w:cs="Arial" w:eastAsia="Arial" w:hAnsi="Arial"/>
                <w:sz w:val="22"/>
                <w:szCs w:val="22"/>
                <w:color w:val="auto"/>
                <w:w w:val="90"/>
              </w:rPr>
              <w:t>80% of the EBITDA amount set forth for such period in the</w:t>
            </w:r>
          </w:p>
        </w:tc>
      </w:tr>
      <w:tr>
        <w:trPr>
          <w:trHeight w:val="274"/>
        </w:trPr>
        <w:tc>
          <w:tcPr>
            <w:tcW w:w="19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940" w:type="dxa"/>
            <w:vAlign w:val="bottom"/>
            <w:gridSpan w:val="3"/>
          </w:tcPr>
          <w:p>
            <w:pPr>
              <w:ind w:left="780"/>
              <w:spacing w:after="0"/>
              <w:rPr>
                <w:sz w:val="20"/>
                <w:szCs w:val="20"/>
                <w:color w:val="auto"/>
              </w:rPr>
            </w:pPr>
            <w:r>
              <w:rPr>
                <w:rFonts w:ascii="Arial" w:cs="Arial" w:eastAsia="Arial" w:hAnsi="Arial"/>
                <w:sz w:val="22"/>
                <w:szCs w:val="22"/>
                <w:color w:val="auto"/>
              </w:rPr>
              <w:t>Projections</w:t>
            </w:r>
          </w:p>
        </w:tc>
      </w:tr>
      <w:tr>
        <w:trPr>
          <w:trHeight w:val="455"/>
        </w:trPr>
        <w:tc>
          <w:tcPr>
            <w:tcW w:w="4840" w:type="dxa"/>
            <w:vAlign w:val="bottom"/>
            <w:gridSpan w:val="3"/>
          </w:tcPr>
          <w:p>
            <w:pPr>
              <w:spacing w:after="0"/>
              <w:rPr>
                <w:sz w:val="20"/>
                <w:szCs w:val="20"/>
                <w:color w:val="auto"/>
              </w:rPr>
            </w:pPr>
            <w:r>
              <w:rPr>
                <w:rFonts w:ascii="Arial" w:cs="Arial" w:eastAsia="Arial" w:hAnsi="Arial"/>
                <w:sz w:val="22"/>
                <w:szCs w:val="22"/>
                <w:color w:val="auto"/>
              </w:rPr>
              <w:t>Eight month period ending August 31, 2017</w:t>
            </w:r>
          </w:p>
        </w:tc>
        <w:tc>
          <w:tcPr>
            <w:tcW w:w="5940" w:type="dxa"/>
            <w:vAlign w:val="bottom"/>
            <w:gridSpan w:val="3"/>
          </w:tcPr>
          <w:p>
            <w:pPr>
              <w:ind w:left="780"/>
              <w:spacing w:after="0"/>
              <w:rPr>
                <w:sz w:val="20"/>
                <w:szCs w:val="20"/>
                <w:color w:val="auto"/>
              </w:rPr>
            </w:pPr>
            <w:r>
              <w:rPr>
                <w:rFonts w:ascii="Arial" w:cs="Arial" w:eastAsia="Arial" w:hAnsi="Arial"/>
                <w:sz w:val="22"/>
                <w:szCs w:val="22"/>
                <w:color w:val="auto"/>
                <w:w w:val="90"/>
              </w:rPr>
              <w:t>80% of the EBITDA amount set forth for such period in the</w:t>
            </w:r>
          </w:p>
        </w:tc>
      </w:tr>
      <w:tr>
        <w:trPr>
          <w:trHeight w:val="274"/>
        </w:trPr>
        <w:tc>
          <w:tcPr>
            <w:tcW w:w="19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940" w:type="dxa"/>
            <w:vAlign w:val="bottom"/>
            <w:gridSpan w:val="3"/>
          </w:tcPr>
          <w:p>
            <w:pPr>
              <w:ind w:left="780"/>
              <w:spacing w:after="0"/>
              <w:rPr>
                <w:sz w:val="20"/>
                <w:szCs w:val="20"/>
                <w:color w:val="auto"/>
              </w:rPr>
            </w:pPr>
            <w:r>
              <w:rPr>
                <w:rFonts w:ascii="Arial" w:cs="Arial" w:eastAsia="Arial" w:hAnsi="Arial"/>
                <w:sz w:val="22"/>
                <w:szCs w:val="22"/>
                <w:color w:val="auto"/>
              </w:rPr>
              <w:t>Projections</w:t>
            </w:r>
          </w:p>
        </w:tc>
      </w:tr>
      <w:tr>
        <w:trPr>
          <w:trHeight w:val="455"/>
        </w:trPr>
        <w:tc>
          <w:tcPr>
            <w:tcW w:w="4840" w:type="dxa"/>
            <w:vAlign w:val="bottom"/>
            <w:gridSpan w:val="3"/>
          </w:tcPr>
          <w:p>
            <w:pPr>
              <w:spacing w:after="0"/>
              <w:rPr>
                <w:sz w:val="20"/>
                <w:szCs w:val="20"/>
                <w:color w:val="auto"/>
              </w:rPr>
            </w:pPr>
            <w:r>
              <w:rPr>
                <w:rFonts w:ascii="Arial" w:cs="Arial" w:eastAsia="Arial" w:hAnsi="Arial"/>
                <w:sz w:val="22"/>
                <w:szCs w:val="22"/>
                <w:color w:val="auto"/>
              </w:rPr>
              <w:t>Nine month period ending September 30, 2017</w:t>
            </w:r>
          </w:p>
        </w:tc>
        <w:tc>
          <w:tcPr>
            <w:tcW w:w="5940" w:type="dxa"/>
            <w:vAlign w:val="bottom"/>
            <w:gridSpan w:val="3"/>
          </w:tcPr>
          <w:p>
            <w:pPr>
              <w:ind w:left="780"/>
              <w:spacing w:after="0"/>
              <w:rPr>
                <w:sz w:val="20"/>
                <w:szCs w:val="20"/>
                <w:color w:val="auto"/>
              </w:rPr>
            </w:pPr>
            <w:r>
              <w:rPr>
                <w:rFonts w:ascii="Arial" w:cs="Arial" w:eastAsia="Arial" w:hAnsi="Arial"/>
                <w:sz w:val="22"/>
                <w:szCs w:val="22"/>
                <w:color w:val="auto"/>
                <w:w w:val="90"/>
              </w:rPr>
              <w:t>80% of the EBITDA amount set forth for such period in the</w:t>
            </w:r>
          </w:p>
        </w:tc>
      </w:tr>
      <w:tr>
        <w:trPr>
          <w:trHeight w:val="274"/>
        </w:trPr>
        <w:tc>
          <w:tcPr>
            <w:tcW w:w="19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940" w:type="dxa"/>
            <w:vAlign w:val="bottom"/>
            <w:gridSpan w:val="3"/>
          </w:tcPr>
          <w:p>
            <w:pPr>
              <w:ind w:left="780"/>
              <w:spacing w:after="0"/>
              <w:rPr>
                <w:sz w:val="20"/>
                <w:szCs w:val="20"/>
                <w:color w:val="auto"/>
              </w:rPr>
            </w:pPr>
            <w:r>
              <w:rPr>
                <w:rFonts w:ascii="Arial" w:cs="Arial" w:eastAsia="Arial" w:hAnsi="Arial"/>
                <w:sz w:val="22"/>
                <w:szCs w:val="22"/>
                <w:color w:val="auto"/>
              </w:rPr>
              <w:t>Projections</w:t>
            </w:r>
          </w:p>
        </w:tc>
      </w:tr>
    </w:tbl>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It being acknowledged that the financial covenant set forth in this </w:t>
      </w:r>
      <w:r>
        <w:rPr>
          <w:rFonts w:ascii="Arial" w:cs="Arial" w:eastAsia="Arial" w:hAnsi="Arial"/>
          <w:sz w:val="22"/>
          <w:szCs w:val="22"/>
          <w:u w:val="single" w:color="auto"/>
          <w:color w:val="auto"/>
        </w:rPr>
        <w:t>Section 7.20(b)</w:t>
      </w:r>
      <w:r>
        <w:rPr>
          <w:rFonts w:ascii="Arial" w:cs="Arial" w:eastAsia="Arial" w:hAnsi="Arial"/>
          <w:sz w:val="22"/>
          <w:szCs w:val="22"/>
          <w:color w:val="auto"/>
        </w:rPr>
        <w:t xml:space="preserve"> shall not be tested or required to be tested as of any date after, or for any period ending after, September 30, 2017.</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Any one or more of the following events shall constitute an event of default (each, an "</w:t>
      </w:r>
      <w:r>
        <w:rPr>
          <w:rFonts w:ascii="Arial" w:cs="Arial" w:eastAsia="Arial" w:hAnsi="Arial"/>
          <w:sz w:val="19"/>
          <w:szCs w:val="19"/>
          <w:u w:val="single" w:color="auto"/>
          <w:color w:val="auto"/>
        </w:rPr>
        <w:t>Event of Default</w:t>
      </w:r>
      <w:r>
        <w:rPr>
          <w:rFonts w:ascii="Arial" w:cs="Arial" w:eastAsia="Arial" w:hAnsi="Arial"/>
          <w:sz w:val="19"/>
          <w:szCs w:val="19"/>
          <w:color w:val="auto"/>
        </w:rPr>
        <w:t>") under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if any Loan Party fails to pay when due and payable or when declared due and payable, all or any portion of the Obligations (whether of principal, interest (including any interest which, but for the provisions of the Bankruptcy Code, would have accrued on such amounts), fees and charges due the Lender Group, reimbursement of Lender Group Expenses, or other amounts constituting Obligations);</w:t>
      </w:r>
    </w:p>
    <w:p>
      <w:pPr>
        <w:spacing w:after="0" w:line="185" w:lineRule="exact"/>
        <w:rPr>
          <w:sz w:val="20"/>
          <w:szCs w:val="20"/>
          <w:color w:val="auto"/>
        </w:rPr>
      </w:pPr>
    </w:p>
    <w:p>
      <w:pPr>
        <w:jc w:val="both"/>
        <w:ind w:firstLine="757"/>
        <w:spacing w:after="0" w:line="246" w:lineRule="auto"/>
        <w:tabs>
          <w:tab w:leader="none" w:pos="107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if any Loan Party fails to perform or observe any covenant, condition or other agreement contained in any of (i) </w:t>
      </w:r>
      <w:r>
        <w:rPr>
          <w:rFonts w:ascii="Arial" w:cs="Arial" w:eastAsia="Arial" w:hAnsi="Arial"/>
          <w:sz w:val="21"/>
          <w:szCs w:val="21"/>
          <w:u w:val="single" w:color="auto"/>
          <w:color w:val="auto"/>
        </w:rPr>
        <w:t>Sections 2.7</w:t>
      </w:r>
      <w:r>
        <w:rPr>
          <w:rFonts w:ascii="Arial" w:cs="Arial" w:eastAsia="Arial" w:hAnsi="Arial"/>
          <w:sz w:val="21"/>
          <w:szCs w:val="21"/>
          <w:color w:val="auto"/>
        </w:rPr>
        <w:t xml:space="preserve">, </w:t>
      </w:r>
      <w:r>
        <w:rPr>
          <w:rFonts w:ascii="Arial" w:cs="Arial" w:eastAsia="Arial" w:hAnsi="Arial"/>
          <w:sz w:val="21"/>
          <w:szCs w:val="21"/>
          <w:u w:val="single" w:color="auto"/>
          <w:color w:val="auto"/>
        </w:rPr>
        <w:t>6.2</w:t>
      </w:r>
      <w:r>
        <w:rPr>
          <w:rFonts w:ascii="Arial" w:cs="Arial" w:eastAsia="Arial" w:hAnsi="Arial"/>
          <w:sz w:val="21"/>
          <w:szCs w:val="21"/>
          <w:color w:val="auto"/>
        </w:rPr>
        <w:t xml:space="preserve">, </w:t>
      </w:r>
      <w:r>
        <w:rPr>
          <w:rFonts w:ascii="Arial" w:cs="Arial" w:eastAsia="Arial" w:hAnsi="Arial"/>
          <w:sz w:val="21"/>
          <w:szCs w:val="21"/>
          <w:u w:val="single" w:color="auto"/>
          <w:color w:val="auto"/>
        </w:rPr>
        <w:t>6.3</w:t>
      </w:r>
      <w:r>
        <w:rPr>
          <w:rFonts w:ascii="Arial" w:cs="Arial" w:eastAsia="Arial" w:hAnsi="Arial"/>
          <w:sz w:val="21"/>
          <w:szCs w:val="21"/>
          <w:color w:val="auto"/>
        </w:rPr>
        <w:t xml:space="preserve">, </w:t>
      </w:r>
      <w:r>
        <w:rPr>
          <w:rFonts w:ascii="Arial" w:cs="Arial" w:eastAsia="Arial" w:hAnsi="Arial"/>
          <w:sz w:val="21"/>
          <w:szCs w:val="21"/>
          <w:u w:val="single" w:color="auto"/>
          <w:color w:val="auto"/>
        </w:rPr>
        <w:t>6.7</w:t>
      </w:r>
      <w:r>
        <w:rPr>
          <w:rFonts w:ascii="Arial" w:cs="Arial" w:eastAsia="Arial" w:hAnsi="Arial"/>
          <w:sz w:val="21"/>
          <w:szCs w:val="21"/>
          <w:color w:val="auto"/>
        </w:rPr>
        <w:t xml:space="preserve"> (with respect to payment in full of all assessments and material taxes, whether real, personal, or otherwise, due or payable by, or imposed, levied, or assessed against the Loan Parties or any of their assets, before delinquency or before the expiration of any extension period, except to the extent that the validity of such assessment or tax shall be the subject of a Permitted Protest), </w:t>
      </w:r>
      <w:r>
        <w:rPr>
          <w:rFonts w:ascii="Arial" w:cs="Arial" w:eastAsia="Arial" w:hAnsi="Arial"/>
          <w:sz w:val="21"/>
          <w:szCs w:val="21"/>
          <w:u w:val="single" w:color="auto"/>
          <w:color w:val="auto"/>
        </w:rPr>
        <w:t>6.8(a)</w:t>
      </w:r>
      <w:r>
        <w:rPr>
          <w:rFonts w:ascii="Arial" w:cs="Arial" w:eastAsia="Arial" w:hAnsi="Arial"/>
          <w:sz w:val="21"/>
          <w:szCs w:val="21"/>
          <w:color w:val="auto"/>
        </w:rPr>
        <w:t xml:space="preserve">, </w:t>
      </w:r>
      <w:r>
        <w:rPr>
          <w:rFonts w:ascii="Arial" w:cs="Arial" w:eastAsia="Arial" w:hAnsi="Arial"/>
          <w:sz w:val="21"/>
          <w:szCs w:val="21"/>
          <w:u w:val="single" w:color="auto"/>
          <w:color w:val="auto"/>
        </w:rPr>
        <w:t>6.10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6.13</w:t>
      </w:r>
      <w:r>
        <w:rPr>
          <w:rFonts w:ascii="Arial" w:cs="Arial" w:eastAsia="Arial" w:hAnsi="Arial"/>
          <w:sz w:val="21"/>
          <w:szCs w:val="21"/>
          <w:color w:val="auto"/>
        </w:rPr>
        <w:t xml:space="preserve"> (with respect to existence of the Parent and any Specified Borrower) or (ii) </w:t>
      </w:r>
      <w:r>
        <w:rPr>
          <w:rFonts w:ascii="Arial" w:cs="Arial" w:eastAsia="Arial" w:hAnsi="Arial"/>
          <w:sz w:val="21"/>
          <w:szCs w:val="21"/>
          <w:u w:val="single" w:color="auto"/>
          <w:color w:val="auto"/>
        </w:rPr>
        <w:t>Article 7</w:t>
      </w:r>
      <w:r>
        <w:rPr>
          <w:rFonts w:ascii="Arial" w:cs="Arial" w:eastAsia="Arial" w:hAnsi="Arial"/>
          <w:sz w:val="21"/>
          <w:szCs w:val="21"/>
          <w:color w:val="auto"/>
        </w:rPr>
        <w:t xml:space="preserve"> of this Agreement; (b) if any Loan Party fails to perform or observe any covenant, condition or other agreement contained in this Agreement, or in any of the other Loan Documents (other than those specified in clause (a) above), and such failure continues for a period of twenty (20) days;</w:t>
      </w:r>
    </w:p>
    <w:p>
      <w:pPr>
        <w:spacing w:after="0" w:line="180"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if all or substantially all of the assets of Parent and its Subsidiaries, taken as a whole, is attached, seized, subjected to a writ or distress warrant, levied upon, or comes into the possession of any third Person;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an Insolvency Proceeding is commenced by any Loan Party or any of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58" w:name="page159"/>
    <w:bookmarkEnd w:id="158"/>
    <w:p>
      <w:pPr>
        <w:jc w:val="both"/>
        <w:ind w:firstLine="749"/>
        <w:spacing w:after="0" w:line="276" w:lineRule="auto"/>
        <w:rPr>
          <w:sz w:val="20"/>
          <w:szCs w:val="20"/>
          <w:color w:val="auto"/>
        </w:rPr>
      </w:pPr>
      <w:r>
        <w:rPr>
          <w:rFonts w:ascii="Arial" w:cs="Arial" w:eastAsia="Arial" w:hAnsi="Arial"/>
          <w:sz w:val="19"/>
          <w:szCs w:val="19"/>
          <w:color w:val="auto"/>
        </w:rPr>
        <w:t>if an Insolvency Proceeding is commenced against any Loan Party or any of its Subsidiaries, and any of the following events occur: (a) the applicable Loan Party or the Subsidiary consents to the institution of the Insolvency Proceeding against it,</w:t>
      </w:r>
    </w:p>
    <w:p>
      <w:pPr>
        <w:spacing w:after="0" w:line="1" w:lineRule="exact"/>
        <w:rPr>
          <w:sz w:val="20"/>
          <w:szCs w:val="20"/>
          <w:color w:val="auto"/>
        </w:rPr>
      </w:pPr>
    </w:p>
    <w:p>
      <w:pPr>
        <w:jc w:val="both"/>
        <w:ind w:firstLine="8"/>
        <w:spacing w:after="0" w:line="244" w:lineRule="auto"/>
        <w:tabs>
          <w:tab w:leader="none" w:pos="324" w:val="left"/>
        </w:tabs>
        <w:numPr>
          <w:ilvl w:val="0"/>
          <w:numId w:val="128"/>
        </w:numPr>
        <w:rPr>
          <w:rFonts w:ascii="Arial" w:cs="Arial" w:eastAsia="Arial" w:hAnsi="Arial"/>
          <w:sz w:val="21"/>
          <w:szCs w:val="21"/>
          <w:color w:val="auto"/>
        </w:rPr>
      </w:pPr>
      <w:r>
        <w:rPr>
          <w:rFonts w:ascii="Arial" w:cs="Arial" w:eastAsia="Arial" w:hAnsi="Arial"/>
          <w:sz w:val="21"/>
          <w:szCs w:val="21"/>
          <w:color w:val="auto"/>
        </w:rPr>
        <w:t xml:space="preserve">the petition commencing the Insolvency Proceeding is not timely controverted, (c) the petition commencing the Insolvency Proceeding is not dismissed within 60 calendar days of the date of the filing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during the pendency of such period, Agent (including any successor agent) and each other member of the Lender Group shall be relieved of their obligation to extend credit hereunder, (d) an interim trustee is appointed to take possession of all or any substantial portion of the properties or assets of, or to operate all or any substantial portion of the business of, any Loan Party or any of its Subsidiaries, or (e) an order for relief shall have been entered therein;</w:t>
      </w:r>
    </w:p>
    <w:p>
      <w:pPr>
        <w:spacing w:after="0" w:line="18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if all or substantially all of the business affairs of Parent and its Subsidiaries, taken as a whole, is enjoined, restrained, or in any way prevented by court order from continuing;</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intentionally omitted</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if a judgment or other claim for an amount in excess of $1,000,000 becomes a Lien or encumbrance upon any material portion of any Loan Party's or any of its Subsidiaries' properties or assets;</w:t>
      </w:r>
    </w:p>
    <w:p>
      <w:pPr>
        <w:spacing w:after="0" w:line="17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if there is a default in any material agreement (including, without limitation, the LSB Notes and the Zena Credit Documents) to which any Loan Party or any of its Subsidiaries is a party (whether as a direct obligor or a guarantor thereof) and such default (a)(i) occurs at the final maturity of the obligations thereunder after giving effect to any applicable grace period and any extensions thereof, or (ii) results in a right by the other party thereto after giving effect to any applicable grace periods and any extensions thereof, irrespective of whether exercised, to accelerate the maturity of the applicable Loan Party's or its Subsidiaries' obligations thereunder, to terminate such agreement, or to refuse to renew such agreement pursuant to an automatic renewal right therein, and (b) involves Indebtedness or an obligation for the payment of money in an aggregate amount in excess of $10,000,000;</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if any Loan Party or any of its Subsidiaries makes any payment on account of Indebtedness that has been contractually subordinated in right of payment to the payment of the Obligations, except to the extent such payment is permitted by the terms of the subordination provisions applicable to such Indebtedness;</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if any material misstatement or misrepresentation exists now or hereafter in any warranty, representation, statement, or Record made to the Lender Group by any Loan Party, its Subsidiaries, or any officer, employee, agent, or director of any Loan Party or any of its Subsidiaries;</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if the obligation of any Guarantor under its Guaranty is limited or terminated by operation of law or by such Guarantor thereunder;</w:t>
      </w:r>
    </w:p>
    <w:p>
      <w:pPr>
        <w:spacing w:after="0" w:line="17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if this Agreement or any other Loan Document that purports to create a Lien, shall, for any reason not as a result of any act or omission of the Agent, fail or cease to create a valid and perfected and, except to the extent permitted by the terms hereof or thereof, first priority Lien on or security interest in the Collateral covered hereby or thereby; or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9" w:name="page160"/>
    <w:bookmarkEnd w:id="159"/>
    <w:p>
      <w:pPr>
        <w:jc w:val="both"/>
        <w:ind w:firstLine="749"/>
        <w:spacing w:after="0" w:line="236" w:lineRule="auto"/>
        <w:rPr>
          <w:sz w:val="20"/>
          <w:szCs w:val="20"/>
          <w:color w:val="auto"/>
        </w:rPr>
      </w:pPr>
      <w:r>
        <w:rPr>
          <w:rFonts w:ascii="Arial" w:cs="Arial" w:eastAsia="Arial" w:hAnsi="Arial"/>
          <w:sz w:val="22"/>
          <w:szCs w:val="22"/>
          <w:color w:val="auto"/>
        </w:rPr>
        <w:t>any provision of any Loan Document shall at any time for any reason be declared to be null and void, or the validity or enforceability thereof shall be contested by any Loan Party, or a proceeding shall be commenced by any Loan Party, or by any Governmental Authority having jurisdiction over any Loan Party, seeking to establish the invalidity or unenforceability thereof, or any Loan Party shall deny that any Loan Party has any liability or obligation purported to be created under any Loan Document.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LENDER GROUP'S RIGHTS AND REMEDIES.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Rights and Remedies</w:t>
      </w:r>
    </w:p>
    <w:p>
      <w:pPr>
        <w:spacing w:after="0" w:line="212" w:lineRule="exact"/>
        <w:rPr>
          <w:sz w:val="20"/>
          <w:szCs w:val="20"/>
          <w:color w:val="auto"/>
        </w:rPr>
      </w:pPr>
    </w:p>
    <w:p>
      <w:pPr>
        <w:jc w:val="both"/>
        <w:ind w:firstLine="8"/>
        <w:spacing w:after="0" w:line="238" w:lineRule="auto"/>
        <w:tabs>
          <w:tab w:leader="none" w:pos="187" w:val="left"/>
        </w:tabs>
        <w:numPr>
          <w:ilvl w:val="0"/>
          <w:numId w:val="129"/>
        </w:numPr>
        <w:rPr>
          <w:rFonts w:ascii="Arial" w:cs="Arial" w:eastAsia="Arial" w:hAnsi="Arial"/>
          <w:sz w:val="22"/>
          <w:szCs w:val="22"/>
          <w:color w:val="auto"/>
        </w:rPr>
      </w:pPr>
      <w:r>
        <w:rPr>
          <w:rFonts w:ascii="Arial" w:cs="Arial" w:eastAsia="Arial" w:hAnsi="Arial"/>
          <w:sz w:val="22"/>
          <w:szCs w:val="22"/>
          <w:color w:val="auto"/>
        </w:rPr>
        <w:t>Upon the occurrence, and during the continuation, of an Event of Default, the Required Lenders (at their election but without notice of their election and without demand) may authorize and instruct Agent to do any one or more of the following on behalf of the Lender Group (and Agent, acting upon the instructions of the Required Lenders, shall do the same on behalf of the Lender Group), all of which are authorized by the Loan Parties:</w:t>
      </w:r>
    </w:p>
    <w:p>
      <w:pPr>
        <w:spacing w:after="0" w:line="18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Declare all Obligations (other than the Bank Product Obligations), whether evidenced by this Agreement, by any of the other Loan Documents, or otherwise, immediately due and payable;</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Cease advancing money or extending credit to or for the benefit of Borrowers under this Agreement, under any of the Loan Documents, or under any other agreement between the Loan Parties and the Lender Group;</w:t>
      </w:r>
    </w:p>
    <w:p>
      <w:pPr>
        <w:spacing w:after="0" w:line="175"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Terminate this Agreement and any of the other Loan Documents as to any future liability or obligation of the Lender Group, but without affecting any of the Agent's Liens in the Collateral and without affecting the Obligations;</w:t>
      </w:r>
    </w:p>
    <w:p>
      <w:pPr>
        <w:spacing w:after="0" w:line="151"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Settle or adjust disputes and claims directly with Account Debtors for amounts and upon terms which Agent considers advisable, and in such cases, Agent will credit the Loan Account with only the net amounts received by Agent in payment of such disputed Accounts after deducting all Lender Group Expenses incurred or expended in connection therewith;</w:t>
      </w:r>
    </w:p>
    <w:p>
      <w:pPr>
        <w:spacing w:after="0" w:line="13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Cause the Loan Parties to hold all returned Inventory in trust for the Lender Group, segregate all returned Inventory from all other assets of the Loan Parties or in the Loan Parties' possession and conspicuously label said returned Inventory as the property of the Lender Group;</w:t>
      </w:r>
    </w:p>
    <w:p>
      <w:pPr>
        <w:spacing w:after="0" w:line="186"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Without notice to or demand upon any Loan Party, make such payments and do such acts as Agent considers necessary or reasonable to protect its security interests in the Collateral. Each Loan Party agrees to assemble the Collateral if Agent so requires, and to make the Collateral available to Agent at a place that Agent may designate which is reasonably convenient to both parties. Each Loan Party authorizes Agent to enter the premises where the Collateral is located, to take and maintain possession of the Collateral, or any part of it, and to pay, purchase, contest, or compromise any Lien that in Agent's determination appears to conflict with the Agent's Liens and to pay all expenses incurred in connection therewith and to charge Borrowers' Loan Account therefor. With respect to any of the Loan Parties' owned or leased premises, each Loan Party hereby grants Agent a license to enter into possession of such premises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0" w:name="page161"/>
    <w:bookmarkEnd w:id="160"/>
    <w:p>
      <w:pPr>
        <w:jc w:val="both"/>
        <w:spacing w:after="0" w:line="250" w:lineRule="auto"/>
        <w:rPr>
          <w:sz w:val="20"/>
          <w:szCs w:val="20"/>
          <w:color w:val="auto"/>
        </w:rPr>
      </w:pPr>
      <w:r>
        <w:rPr>
          <w:rFonts w:ascii="Arial" w:cs="Arial" w:eastAsia="Arial" w:hAnsi="Arial"/>
          <w:sz w:val="22"/>
          <w:szCs w:val="22"/>
          <w:color w:val="auto"/>
        </w:rPr>
        <w:t>and to occupy the same, without charge, in order to exercise any of the Lender Group's rights or remedies provided herein, at law, in equity, or otherwise;</w:t>
      </w:r>
    </w:p>
    <w:p>
      <w:pPr>
        <w:spacing w:after="0" w:line="175"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Without notice to any Loan Party (such notice being expressly waived), and without constituting a retention of any collateral in satisfaction of an obligation (within the meaning of the Code), set off and apply to the Obligations any and all (i) balances and deposits of any Borrower held by the Lender Group (including any amounts received in the Cash Management Accounts), or (ii) Indebtedness at any time owing to or for the credit or the account of any Loan Party held by the Lender Group;</w:t>
      </w:r>
    </w:p>
    <w:p>
      <w:pPr>
        <w:spacing w:after="0" w:line="143"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Hold, as cash collateral, any and all balances and deposits of any Loan Party held by the Lender Group, and any amounts received in the Cash Management Accounts, to secure the full and final repayment of all of the Obligations and as Bank Product Collateralization;</w:t>
      </w:r>
    </w:p>
    <w:p>
      <w:pPr>
        <w:spacing w:after="0" w:line="186"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Ship, reclaim, recover, store, finish, maintain, repair, prepare for sale, advertise for sale, and sell (in the manner provided for herein) the Collateral. Agent is hereby granted a license or other right to use, without charge, for the benefit of the Lender Group, such Loan Party's labels, patents, copyrights, trade secrets, trade names, trademarks, service marks, and advertising matter, or any property of a similar nature, as it pertains to the Collateral, in completing production of, advertising for sale, and selling any Collateral and such Loan Party's rights under all licenses and all franchise agreements shall inure to the Lender Group's benefit;</w:t>
      </w:r>
    </w:p>
    <w:p>
      <w:pPr>
        <w:spacing w:after="0" w:line="18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Sell the Collateral at either a public or private sale, or both, by way of one or more contracts or transactions, for cash or on terms, in such manner and at such places (including Loan Parties' premises) as Agent determines is commercially reasonable. It is not necessary that the Collateral be present at any such sale;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Agent shall give notice of the disposition of the Collateral as follows:</w:t>
      </w:r>
    </w:p>
    <w:p>
      <w:pPr>
        <w:spacing w:after="0" w:line="206" w:lineRule="exact"/>
        <w:rPr>
          <w:sz w:val="20"/>
          <w:szCs w:val="20"/>
          <w:color w:val="auto"/>
        </w:rPr>
      </w:pPr>
    </w:p>
    <w:p>
      <w:pPr>
        <w:jc w:val="both"/>
        <w:ind w:firstLine="2246"/>
        <w:spacing w:after="0" w:line="257" w:lineRule="auto"/>
        <w:rPr>
          <w:sz w:val="20"/>
          <w:szCs w:val="20"/>
          <w:color w:val="auto"/>
        </w:rPr>
      </w:pPr>
      <w:r>
        <w:rPr>
          <w:rFonts w:ascii="Arial" w:cs="Arial" w:eastAsia="Arial" w:hAnsi="Arial"/>
          <w:sz w:val="21"/>
          <w:szCs w:val="21"/>
          <w:color w:val="auto"/>
        </w:rPr>
        <w:t>Agent shall give Administrative Borrower (for the benefit of the applicable Loan Party) a notice in writing of the time and place of public sale, or, if the sale is a private sale or some other disposition other than a public sale is to be made of the Collateral, the time on or after which the private sale or other disposition is to be made; and</w:t>
      </w:r>
    </w:p>
    <w:p>
      <w:pPr>
        <w:spacing w:after="0" w:line="169"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 xml:space="preserve">The notice shall be personally delivered or mailed, postage prepaid, to Administrative Borrower as provided in </w:t>
      </w:r>
      <w:r>
        <w:rPr>
          <w:rFonts w:ascii="Arial" w:cs="Arial" w:eastAsia="Arial" w:hAnsi="Arial"/>
          <w:sz w:val="22"/>
          <w:szCs w:val="22"/>
          <w:u w:val="single" w:color="auto"/>
          <w:color w:val="auto"/>
        </w:rPr>
        <w:t>Section 12</w:t>
      </w:r>
      <w:r>
        <w:rPr>
          <w:rFonts w:ascii="Arial" w:cs="Arial" w:eastAsia="Arial" w:hAnsi="Arial"/>
          <w:sz w:val="22"/>
          <w:szCs w:val="22"/>
          <w:color w:val="auto"/>
        </w:rPr>
        <w:t>, at least 10 days before the earliest time of disposition set forth in the notice; no notice needs to be given prior to the disposition of any portion of the Collateral that is perishable or threatens to decline speedily in value or that is of a type customarily sold on a recognized market;</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Agent, on behalf of the Lender Group may credit bid and purchase at any public sale;</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Agent may seek the appointment of a receiver or keeper to take possession of all or any portion of the Collateral or to operate same and, to the maximum extent permitted by law, may seek the appointment of such a receiver without the requirement of prior notice or a hearing;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1" w:name="page162"/>
    <w:bookmarkEnd w:id="161"/>
    <w:p>
      <w:pPr>
        <w:jc w:val="both"/>
        <w:ind w:firstLine="1497"/>
        <w:spacing w:after="0" w:line="250" w:lineRule="auto"/>
        <w:rPr>
          <w:sz w:val="20"/>
          <w:szCs w:val="20"/>
          <w:color w:val="auto"/>
        </w:rPr>
      </w:pPr>
      <w:r>
        <w:rPr>
          <w:rFonts w:ascii="Arial" w:cs="Arial" w:eastAsia="Arial" w:hAnsi="Arial"/>
          <w:sz w:val="22"/>
          <w:szCs w:val="22"/>
          <w:color w:val="auto"/>
        </w:rPr>
        <w:t>The Lender Group shall have all other rights and remedies available to it at law or in equity pursuant to any other Loan Documents; and</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Any deficiency that exists after disposition of the Collateral as provided above will be paid immediately by the Loan Parties. Any excess (after setting aside amounts required to be held as described in clause (h) above) will be returned, without interest and subject to the rights of third Persons, by Agent to Administrative Borrower (for the benefit of the applicable Loan Party).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Remedies Cumulative</w:t>
      </w:r>
    </w:p>
    <w:p>
      <w:pPr>
        <w:spacing w:after="0" w:line="212" w:lineRule="exact"/>
        <w:rPr>
          <w:sz w:val="20"/>
          <w:szCs w:val="20"/>
          <w:color w:val="auto"/>
        </w:rPr>
      </w:pPr>
    </w:p>
    <w:p>
      <w:pPr>
        <w:jc w:val="both"/>
        <w:ind w:firstLine="8"/>
        <w:spacing w:after="0" w:line="236" w:lineRule="auto"/>
        <w:tabs>
          <w:tab w:leader="none" w:pos="17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rights and remedies of the Lender Group under this Agreement, the other Loan Documents, and all other 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Event of Default shall be deemed a continuing waiver. No delay by the Lender Group shall constitute a waiver, election, or acquiescence by it.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TAXES AND EXPENSES.</w:t>
      </w:r>
    </w:p>
    <w:p>
      <w:pPr>
        <w:spacing w:after="0" w:line="21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If any Loan Party fails to pay any monies (whether taxes, assessments, insurance premiums, or, in the case of leased properties or assets, rents or other amounts payable under such leases) due to third Persons, or fails to make any deposits or furnish any required proof of payment or deposit, all as required under the terms of this Agreement, then, Agent, in its sole discretion and without prior notice to any Loan Party, may do any or all of the following: (a) make payment of the same or any part thereof, (b) set up such reserves in Borrowers' Loan Account as Agent deems necessary to protect the Lender Group from the exposure created by such failure, or (c) in the case of the failure to comply with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hereof, obtain and maintain insurance policies of the type described in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and take any action consistent with the terms of this Agreement. Any such amounts paid by Agent shall constitute Lender Group Expenses and any such payments shall not constitute an agreement by the Lender Group to make similar payments in the future or a waiver by the Lender Group of any Event of Default under this Agreement. Agent need not inquire as to, or contest the validity of, any such expense, tax, or Lien and the receipt of the usual official notice for the payment thereof shall be conclusive evidence that the same was validly due and owing.</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WAIVERS; INDEMNIFICATION.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Demand; Protest; etc</w:t>
      </w:r>
    </w:p>
    <w:p>
      <w:pPr>
        <w:spacing w:after="0" w:line="212" w:lineRule="exact"/>
        <w:rPr>
          <w:sz w:val="20"/>
          <w:szCs w:val="20"/>
          <w:color w:val="auto"/>
        </w:rPr>
      </w:pPr>
    </w:p>
    <w:p>
      <w:pPr>
        <w:jc w:val="both"/>
        <w:ind w:firstLine="8"/>
        <w:spacing w:after="0" w:line="297" w:lineRule="auto"/>
        <w:tabs>
          <w:tab w:leader="none" w:pos="18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Each Loan Party waives demand, protest, notice of protest, notice of default or dishonor, notice of payment and nonpayment, nonpayment at maturity, release, compromise, settlement, extension, or renewal of documents, instruments, chattel paper, and guarantees at any time held by the Lender Group on which each such Loan Party may in any way be liable.</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The Lender Group's Liability for Collateral</w:t>
      </w:r>
    </w:p>
    <w:p>
      <w:pPr>
        <w:spacing w:after="0" w:line="212" w:lineRule="exact"/>
        <w:rPr>
          <w:sz w:val="20"/>
          <w:szCs w:val="20"/>
          <w:color w:val="auto"/>
        </w:rPr>
      </w:pPr>
    </w:p>
    <w:p>
      <w:pPr>
        <w:ind w:firstLine="8"/>
        <w:spacing w:after="0" w:line="250" w:lineRule="auto"/>
        <w:tabs>
          <w:tab w:leader="none" w:pos="20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Each Loan Party hereby agrees that: (a) so long as the Lender Group complies with its obligations, if any, under the Code, Agent shall not in any way or manner be liable or responsible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2" w:name="page163"/>
    <w:bookmarkEnd w:id="162"/>
    <w:p>
      <w:pPr>
        <w:jc w:val="both"/>
        <w:spacing w:after="0" w:line="297" w:lineRule="auto"/>
        <w:rPr>
          <w:sz w:val="20"/>
          <w:szCs w:val="20"/>
          <w:color w:val="auto"/>
        </w:rPr>
      </w:pPr>
      <w:r>
        <w:rPr>
          <w:rFonts w:ascii="Arial" w:cs="Arial" w:eastAsia="Arial" w:hAnsi="Arial"/>
          <w:sz w:val="19"/>
          <w:szCs w:val="19"/>
          <w:color w:val="auto"/>
        </w:rPr>
        <w:t>for: (i) the safekeeping of the Collateral, (ii) any loss or damage thereto occurring or arising in any manner or fashion from any cause, (iii) any diminution in the value thereof, or (iv) any act or default of any carrier, warehouseman, bailee, forwarding agency, or other Person, and (b) all risk of loss, damage, or destruction of the Collateral shall be borne by the Loan Parties.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12" w:lineRule="exact"/>
        <w:rPr>
          <w:sz w:val="20"/>
          <w:szCs w:val="20"/>
          <w:color w:val="auto"/>
        </w:rPr>
      </w:pPr>
    </w:p>
    <w:p>
      <w:pPr>
        <w:jc w:val="both"/>
        <w:ind w:firstLine="8"/>
        <w:spacing w:after="0" w:line="270" w:lineRule="auto"/>
        <w:tabs>
          <w:tab w:leader="none" w:pos="175" w:val="left"/>
        </w:tabs>
        <w:numPr>
          <w:ilvl w:val="0"/>
          <w:numId w:val="133"/>
        </w:numPr>
        <w:rPr>
          <w:rFonts w:ascii="Arial" w:cs="Arial" w:eastAsia="Arial" w:hAnsi="Arial"/>
          <w:sz w:val="19"/>
          <w:szCs w:val="19"/>
          <w:color w:val="auto"/>
        </w:rPr>
      </w:pPr>
      <w:r>
        <w:rPr>
          <w:rFonts w:ascii="Arial" w:cs="Arial" w:eastAsia="Arial" w:hAnsi="Arial"/>
          <w:sz w:val="19"/>
          <w:szCs w:val="19"/>
          <w:color w:val="auto"/>
        </w:rPr>
        <w:t>Each Loan Party shall pay, indemnify, defend, and hold the Agent-Related Persons, the Lender-Related Persons with respect to each Lender, each Participant, and each of their respective officers, directors, employees, agents, and attorneys-in-fact (each, an "</w:t>
      </w:r>
      <w:r>
        <w:rPr>
          <w:rFonts w:ascii="Arial" w:cs="Arial" w:eastAsia="Arial" w:hAnsi="Arial"/>
          <w:sz w:val="19"/>
          <w:szCs w:val="19"/>
          <w:u w:val="single" w:color="auto"/>
          <w:color w:val="auto"/>
        </w:rPr>
        <w:t>Indemnified Person</w:t>
      </w:r>
      <w:r>
        <w:rPr>
          <w:rFonts w:ascii="Arial" w:cs="Arial" w:eastAsia="Arial" w:hAnsi="Arial"/>
          <w:sz w:val="19"/>
          <w:szCs w:val="19"/>
          <w:color w:val="auto"/>
        </w:rPr>
        <w:t>") harmless (to the fullest extent permitted by law) from and against any and all claims, demands, suits, actions, investigations, proceedings, and damages, and all reasonable attorneys' fees and disbursements and other out-of-pocket costs and expenses actually incurred in connection therewith (as and when they are incurred and irrespective of whether suit is brought), at any time asserted against, imposed upon, or incurred by any of them (a) in connection with or as a result of or related to the execution, delivery, enforcement, performance, or administration of this Agreement, any of the other Loan Documents, or the transactions contemplated hereby or thereby, and (b) with respect to any investigation, litigation, or proceeding related to this Agreement, any other Loan Document, or the use of the proceeds of the credit provided hereunder (irrespective of whether any Indemnified Person is a party thereto), or any act, omission, event, or circumstance in any manner related thereto (all the foregoing, collectively,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The foregoing to the contrary notwithstanding, the Loan Parties shall have no obligation to any Indemnified Person under this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with respect to any Indemnified Liability that a court of competent jurisdiction finally determines to have resulted from the gross negligence, bad faith or willful misconduct of such Indemnified Person. This provision shall survive the termination of this Agreement and the repayment of the Obligations. If any Indemnified Person makes any payment to any other Indemnified Person with respect to an Indemnified Liability as to which the Loan Parties were required to indemnify the Indemnified Person receiving such payment, the Indemnified Person making such payment is entitled to be indemnified and reimbursed by the Loan Parties with respect thereto. WITHOUT LIMITATION, THE FOREGOING INDEMNITY SHALL APPLY TO EACH INDEMNIFIED PERSON WITH RESPECT TO INDEMNIFIED LIABILITIES WHICH IN WHOLE OR IN PART CAUSED BY OR ARISE OUT OF ANY NEGLIGENT ACT OR OMISSION OF SUCH INDEMNIFIED PERSON OR OF ANY OTHER PERSON.</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NOTICES.</w:t>
      </w:r>
    </w:p>
    <w:p>
      <w:pPr>
        <w:spacing w:after="0" w:line="21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Unless otherwise provided in this Agreement, all notices or demands by the Loan Parties or Agent to the other relating to this Agreement or any other Loan Document shall be in writing and (except for financial statements and other informational documents which may be sent by first-class mail, postage prepaid) shall be personally delivered or sent by registered or certified mail (postage prepaid, return receipt requested), overnight courier, electronic mail (at such email addresses as the Administrative Borrower or Agent, as applicable, may designate to each other in accordance herewith), or telefacsimile to Loan Parties in care of Administrative Borrower or to Agent, as the case may be, at its address set forth below:</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3" w:name="page164"/>
    <w:bookmarkEnd w:id="163"/>
    <w:p>
      <w:pPr>
        <w:spacing w:after="0" w:line="6" w:lineRule="exact"/>
        <w:rPr>
          <w:sz w:val="20"/>
          <w:szCs w:val="20"/>
          <w:color w:val="auto"/>
        </w:rPr>
      </w:pPr>
    </w:p>
    <w:p>
      <w:pPr>
        <w:ind w:left="960"/>
        <w:spacing w:after="0"/>
        <w:rPr>
          <w:sz w:val="20"/>
          <w:szCs w:val="20"/>
          <w:color w:val="auto"/>
        </w:rPr>
      </w:pPr>
      <w:r>
        <w:rPr>
          <w:rFonts w:ascii="Arial" w:cs="Arial" w:eastAsia="Arial" w:hAnsi="Arial"/>
          <w:sz w:val="19"/>
          <w:szCs w:val="19"/>
          <w:color w:val="auto"/>
        </w:rPr>
        <w:t>If to Administrative</w:t>
      </w:r>
    </w:p>
    <w:p>
      <w:pPr>
        <w:spacing w:after="0" w:line="43" w:lineRule="exact"/>
        <w:rPr>
          <w:sz w:val="20"/>
          <w:szCs w:val="20"/>
          <w:color w:val="auto"/>
        </w:rPr>
      </w:pPr>
    </w:p>
    <w:p>
      <w:pPr>
        <w:ind w:left="960"/>
        <w:spacing w:after="0"/>
        <w:rPr>
          <w:sz w:val="20"/>
          <w:szCs w:val="20"/>
          <w:color w:val="auto"/>
        </w:rPr>
      </w:pPr>
      <w:r>
        <w:rPr>
          <w:rFonts w:ascii="Arial" w:cs="Arial" w:eastAsia="Arial" w:hAnsi="Arial"/>
          <w:sz w:val="22"/>
          <w:szCs w:val="22"/>
          <w:color w:val="auto"/>
        </w:rPr>
        <w:t>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LSB INDUSTRIES, INC.</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3503 NW 63rd Street, Suite 500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Oklahoma City, Oklahoma 73116</w:t>
      </w:r>
    </w:p>
    <w:p>
      <w:pPr>
        <w:spacing w:after="0" w:line="2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Cheryl Maguire</w:t>
      </w:r>
    </w:p>
    <w:p>
      <w:pPr>
        <w:spacing w:after="0" w:line="200" w:lineRule="exact"/>
        <w:rPr>
          <w:sz w:val="20"/>
          <w:szCs w:val="20"/>
          <w:color w:val="auto"/>
        </w:rPr>
      </w:pPr>
    </w:p>
    <w:p>
      <w:pPr>
        <w:sectPr>
          <w:pgSz w:w="11900" w:h="16838" w:orient="portrait"/>
          <w:cols w:equalWidth="0" w:num="2">
            <w:col w:w="4280" w:space="720"/>
            <w:col w:w="6240"/>
          </w:cols>
          <w:pgMar w:left="320" w:top="396" w:right="339" w:bottom="1440" w:gutter="0" w:footer="0" w:header="0"/>
        </w:sectPr>
      </w:pPr>
    </w:p>
    <w:p>
      <w:pPr>
        <w:spacing w:after="0" w:line="15"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Fax No. (405) 235-506</w:t>
      </w:r>
    </w:p>
    <w:p>
      <w:pPr>
        <w:sectPr>
          <w:pgSz w:w="11900" w:h="16838" w:orient="portrait"/>
          <w:cols w:equalWidth="0" w:num="1">
            <w:col w:w="11240"/>
          </w:cols>
          <w:pgMar w:left="320" w:top="396" w:right="339" w:bottom="1440" w:gutter="0" w:footer="0" w:header="0"/>
          <w:type w:val="continuous"/>
        </w:sectPr>
      </w:pPr>
    </w:p>
    <w:p>
      <w:pPr>
        <w:spacing w:after="0" w:line="268" w:lineRule="exact"/>
        <w:rPr>
          <w:sz w:val="20"/>
          <w:szCs w:val="20"/>
          <w:color w:val="auto"/>
        </w:rPr>
      </w:pPr>
    </w:p>
    <w:p>
      <w:pPr>
        <w:ind w:left="960"/>
        <w:spacing w:after="0"/>
        <w:rPr>
          <w:sz w:val="20"/>
          <w:szCs w:val="20"/>
          <w:color w:val="auto"/>
        </w:rPr>
      </w:pPr>
      <w:r>
        <w:rPr>
          <w:rFonts w:ascii="Arial" w:cs="Arial" w:eastAsia="Arial" w:hAnsi="Arial"/>
          <w:sz w:val="19"/>
          <w:szCs w:val="19"/>
          <w:color w:val="auto"/>
        </w:rPr>
        <w:t>with copies to:</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LSB INDUSTRIES, INC.</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3503 NW 63rd Street, Suite 500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Oklahoma City, Oklahoma 73116</w:t>
      </w:r>
    </w:p>
    <w:p>
      <w:pPr>
        <w:spacing w:after="0" w:line="25" w:lineRule="exact"/>
        <w:rPr>
          <w:sz w:val="20"/>
          <w:szCs w:val="20"/>
          <w:color w:val="auto"/>
        </w:rPr>
      </w:pPr>
    </w:p>
    <w:p>
      <w:pPr>
        <w:spacing w:after="0"/>
        <w:tabs>
          <w:tab w:leader="none" w:pos="8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Michael J. Foster, Esq.</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Fax No. (405) 235-5067</w:t>
      </w:r>
    </w:p>
    <w:p>
      <w:pPr>
        <w:spacing w:after="0" w:line="200" w:lineRule="exact"/>
        <w:rPr>
          <w:sz w:val="20"/>
          <w:szCs w:val="20"/>
          <w:color w:val="auto"/>
        </w:rPr>
      </w:pPr>
    </w:p>
    <w:p>
      <w:pPr>
        <w:sectPr>
          <w:pgSz w:w="11900" w:h="16838" w:orient="portrait"/>
          <w:cols w:equalWidth="0" w:num="2">
            <w:col w:w="4280" w:space="720"/>
            <w:col w:w="6240"/>
          </w:cols>
          <w:pgMar w:left="320" w:top="396" w:right="339" w:bottom="1440" w:gutter="0" w:footer="0" w:header="0"/>
          <w:type w:val="continuous"/>
        </w:sectPr>
      </w:pPr>
    </w:p>
    <w:p>
      <w:pPr>
        <w:spacing w:after="0" w:line="15" w:lineRule="exact"/>
        <w:rPr>
          <w:sz w:val="20"/>
          <w:szCs w:val="20"/>
          <w:color w:val="auto"/>
        </w:rPr>
      </w:pPr>
    </w:p>
    <w:p>
      <w:pPr>
        <w:ind w:left="960"/>
        <w:spacing w:after="0"/>
        <w:rPr>
          <w:sz w:val="20"/>
          <w:szCs w:val="20"/>
          <w:color w:val="auto"/>
        </w:rPr>
      </w:pPr>
      <w:r>
        <w:rPr>
          <w:rFonts w:ascii="Arial" w:cs="Arial" w:eastAsia="Arial" w:hAnsi="Arial"/>
          <w:sz w:val="19"/>
          <w:szCs w:val="19"/>
          <w:color w:val="auto"/>
        </w:rPr>
        <w:t>with a copy (not constituting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ROPES &amp; GRAY LLP</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1211 Avenue of the Americas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New York, New York 10036</w:t>
      </w:r>
    </w:p>
    <w:p>
      <w:pPr>
        <w:spacing w:after="0" w:line="2" w:lineRule="exact"/>
        <w:rPr>
          <w:sz w:val="20"/>
          <w:szCs w:val="20"/>
          <w:color w:val="auto"/>
        </w:rPr>
      </w:pPr>
    </w:p>
    <w:p>
      <w:pPr>
        <w:spacing w:after="0"/>
        <w:tabs>
          <w:tab w:leader="none" w:pos="8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Leonard Klingbaum</w:t>
      </w:r>
    </w:p>
    <w:p>
      <w:pPr>
        <w:spacing w:after="0" w:line="1" w:lineRule="exact"/>
        <w:rPr>
          <w:sz w:val="20"/>
          <w:szCs w:val="20"/>
          <w:color w:val="auto"/>
        </w:rPr>
      </w:pPr>
    </w:p>
    <w:p>
      <w:pPr>
        <w:sectPr>
          <w:pgSz w:w="11900" w:h="16838" w:orient="portrait"/>
          <w:cols w:equalWidth="0" w:num="2">
            <w:col w:w="4380" w:space="620"/>
            <w:col w:w="6240"/>
          </w:cols>
          <w:pgMar w:left="320" w:top="396" w:right="339" w:bottom="1440" w:gutter="0" w:footer="0" w:header="0"/>
          <w:type w:val="continuous"/>
        </w:sectPr>
      </w:pPr>
    </w:p>
    <w:tbl>
      <w:tblPr>
        <w:tblLayout w:type="fixed"/>
        <w:tblInd w:w="960" w:type="dxa"/>
        <w:tblCellMar>
          <w:top w:w="0" w:type="dxa"/>
          <w:left w:w="0" w:type="dxa"/>
          <w:bottom w:w="0" w:type="dxa"/>
          <w:right w:w="0" w:type="dxa"/>
        </w:tblCellMar>
      </w:tblPr>
      <w:tr>
        <w:trPr>
          <w:trHeight w:val="250"/>
        </w:trPr>
        <w:tc>
          <w:tcPr>
            <w:tcW w:w="2660" w:type="dxa"/>
            <w:vAlign w:val="bottom"/>
          </w:tcPr>
          <w:p>
            <w:pPr>
              <w:spacing w:after="0"/>
              <w:rPr>
                <w:sz w:val="21"/>
                <w:szCs w:val="21"/>
                <w:color w:val="auto"/>
              </w:rPr>
            </w:pPr>
          </w:p>
        </w:tc>
        <w:tc>
          <w:tcPr>
            <w:tcW w:w="5560" w:type="dxa"/>
            <w:vAlign w:val="bottom"/>
            <w:gridSpan w:val="5"/>
          </w:tcPr>
          <w:p>
            <w:pPr>
              <w:ind w:left="1420"/>
              <w:spacing w:after="0" w:line="249" w:lineRule="exact"/>
              <w:rPr>
                <w:sz w:val="20"/>
                <w:szCs w:val="20"/>
                <w:color w:val="auto"/>
              </w:rPr>
            </w:pPr>
            <w:r>
              <w:rPr>
                <w:rFonts w:ascii="Arial" w:cs="Arial" w:eastAsia="Arial" w:hAnsi="Arial"/>
                <w:sz w:val="22"/>
                <w:szCs w:val="22"/>
                <w:color w:val="auto"/>
              </w:rPr>
              <w:t>Andrea Hwang</w:t>
            </w:r>
          </w:p>
        </w:tc>
      </w:tr>
      <w:tr>
        <w:trPr>
          <w:trHeight w:val="243"/>
        </w:trPr>
        <w:tc>
          <w:tcPr>
            <w:tcW w:w="2660" w:type="dxa"/>
            <w:vAlign w:val="bottom"/>
          </w:tcPr>
          <w:p>
            <w:pPr>
              <w:spacing w:after="0"/>
              <w:rPr>
                <w:sz w:val="21"/>
                <w:szCs w:val="21"/>
                <w:color w:val="auto"/>
              </w:rPr>
            </w:pPr>
          </w:p>
        </w:tc>
        <w:tc>
          <w:tcPr>
            <w:tcW w:w="5560" w:type="dxa"/>
            <w:vAlign w:val="bottom"/>
            <w:gridSpan w:val="5"/>
          </w:tcPr>
          <w:p>
            <w:pPr>
              <w:ind w:left="1380"/>
              <w:spacing w:after="0" w:line="243" w:lineRule="exact"/>
              <w:rPr>
                <w:sz w:val="20"/>
                <w:szCs w:val="20"/>
                <w:color w:val="auto"/>
              </w:rPr>
            </w:pPr>
            <w:r>
              <w:rPr>
                <w:rFonts w:ascii="Arial" w:cs="Arial" w:eastAsia="Arial" w:hAnsi="Arial"/>
                <w:sz w:val="22"/>
                <w:szCs w:val="22"/>
                <w:color w:val="auto"/>
              </w:rPr>
              <w:t>Fax No. (646) 728-2694</w:t>
            </w:r>
          </w:p>
        </w:tc>
      </w:tr>
      <w:tr>
        <w:trPr>
          <w:trHeight w:val="274"/>
        </w:trPr>
        <w:tc>
          <w:tcPr>
            <w:tcW w:w="2660" w:type="dxa"/>
            <w:vAlign w:val="bottom"/>
          </w:tcPr>
          <w:p>
            <w:pPr>
              <w:spacing w:after="0"/>
              <w:rPr>
                <w:sz w:val="23"/>
                <w:szCs w:val="23"/>
                <w:color w:val="auto"/>
              </w:rPr>
            </w:pPr>
          </w:p>
        </w:tc>
        <w:tc>
          <w:tcPr>
            <w:tcW w:w="3460" w:type="dxa"/>
            <w:vAlign w:val="bottom"/>
            <w:gridSpan w:val="3"/>
          </w:tcPr>
          <w:p>
            <w:pPr>
              <w:ind w:left="1540"/>
              <w:spacing w:after="0"/>
              <w:rPr>
                <w:sz w:val="20"/>
                <w:szCs w:val="20"/>
                <w:color w:val="auto"/>
              </w:rPr>
            </w:pPr>
            <w:r>
              <w:rPr>
                <w:rFonts w:ascii="Arial" w:cs="Arial" w:eastAsia="Arial" w:hAnsi="Arial"/>
                <w:sz w:val="22"/>
                <w:szCs w:val="22"/>
                <w:color w:val="auto"/>
              </w:rPr>
              <w:t>(646) 728-2695</w:t>
            </w:r>
          </w:p>
        </w:tc>
        <w:tc>
          <w:tcPr>
            <w:tcW w:w="8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455"/>
        </w:trPr>
        <w:tc>
          <w:tcPr>
            <w:tcW w:w="2660" w:type="dxa"/>
            <w:vAlign w:val="bottom"/>
          </w:tcPr>
          <w:p>
            <w:pPr>
              <w:spacing w:after="0"/>
              <w:rPr>
                <w:sz w:val="20"/>
                <w:szCs w:val="20"/>
                <w:color w:val="auto"/>
              </w:rPr>
            </w:pPr>
            <w:r>
              <w:rPr>
                <w:rFonts w:ascii="Arial" w:cs="Arial" w:eastAsia="Arial" w:hAnsi="Arial"/>
                <w:sz w:val="22"/>
                <w:szCs w:val="22"/>
                <w:color w:val="auto"/>
              </w:rPr>
              <w:t>If to Agent:</w:t>
            </w:r>
          </w:p>
        </w:tc>
        <w:tc>
          <w:tcPr>
            <w:tcW w:w="5560" w:type="dxa"/>
            <w:vAlign w:val="bottom"/>
            <w:gridSpan w:val="5"/>
          </w:tcPr>
          <w:p>
            <w:pPr>
              <w:ind w:left="1380"/>
              <w:spacing w:after="0"/>
              <w:rPr>
                <w:sz w:val="20"/>
                <w:szCs w:val="20"/>
                <w:color w:val="auto"/>
              </w:rPr>
            </w:pPr>
            <w:r>
              <w:rPr>
                <w:rFonts w:ascii="Arial" w:cs="Arial" w:eastAsia="Arial" w:hAnsi="Arial"/>
                <w:sz w:val="22"/>
                <w:szCs w:val="22"/>
                <w:b w:val="1"/>
                <w:bCs w:val="1"/>
                <w:color w:val="auto"/>
                <w:w w:val="98"/>
              </w:rPr>
              <w:t>WELLS FARGO CAPITAL FINANCE, INC.</w:t>
            </w:r>
          </w:p>
        </w:tc>
      </w:tr>
      <w:tr>
        <w:trPr>
          <w:trHeight w:val="243"/>
        </w:trPr>
        <w:tc>
          <w:tcPr>
            <w:tcW w:w="2660" w:type="dxa"/>
            <w:vAlign w:val="bottom"/>
          </w:tcPr>
          <w:p>
            <w:pPr>
              <w:spacing w:after="0"/>
              <w:rPr>
                <w:sz w:val="21"/>
                <w:szCs w:val="21"/>
                <w:color w:val="auto"/>
              </w:rPr>
            </w:pPr>
          </w:p>
        </w:tc>
        <w:tc>
          <w:tcPr>
            <w:tcW w:w="5560" w:type="dxa"/>
            <w:vAlign w:val="bottom"/>
            <w:gridSpan w:val="5"/>
          </w:tcPr>
          <w:p>
            <w:pPr>
              <w:ind w:left="1380"/>
              <w:spacing w:after="0" w:line="243" w:lineRule="exact"/>
              <w:rPr>
                <w:sz w:val="20"/>
                <w:szCs w:val="20"/>
                <w:color w:val="auto"/>
              </w:rPr>
            </w:pPr>
            <w:r>
              <w:rPr>
                <w:rFonts w:ascii="Arial" w:cs="Arial" w:eastAsia="Arial" w:hAnsi="Arial"/>
                <w:sz w:val="22"/>
                <w:szCs w:val="22"/>
                <w:color w:val="auto"/>
              </w:rPr>
              <w:t>1100 Abernathy Road</w:t>
            </w:r>
          </w:p>
        </w:tc>
      </w:tr>
      <w:tr>
        <w:trPr>
          <w:trHeight w:val="243"/>
        </w:trPr>
        <w:tc>
          <w:tcPr>
            <w:tcW w:w="2660" w:type="dxa"/>
            <w:vAlign w:val="bottom"/>
          </w:tcPr>
          <w:p>
            <w:pPr>
              <w:spacing w:after="0"/>
              <w:rPr>
                <w:sz w:val="21"/>
                <w:szCs w:val="21"/>
                <w:color w:val="auto"/>
              </w:rPr>
            </w:pPr>
          </w:p>
        </w:tc>
        <w:tc>
          <w:tcPr>
            <w:tcW w:w="5560" w:type="dxa"/>
            <w:vAlign w:val="bottom"/>
            <w:gridSpan w:val="5"/>
          </w:tcPr>
          <w:p>
            <w:pPr>
              <w:ind w:left="1380"/>
              <w:spacing w:after="0" w:line="243" w:lineRule="exact"/>
              <w:rPr>
                <w:sz w:val="20"/>
                <w:szCs w:val="20"/>
                <w:color w:val="auto"/>
              </w:rPr>
            </w:pPr>
            <w:r>
              <w:rPr>
                <w:rFonts w:ascii="Arial" w:cs="Arial" w:eastAsia="Arial" w:hAnsi="Arial"/>
                <w:sz w:val="22"/>
                <w:szCs w:val="22"/>
                <w:color w:val="auto"/>
              </w:rPr>
              <w:t>Suite 1600</w:t>
            </w:r>
          </w:p>
        </w:tc>
      </w:tr>
      <w:tr>
        <w:trPr>
          <w:trHeight w:val="243"/>
        </w:trPr>
        <w:tc>
          <w:tcPr>
            <w:tcW w:w="2660" w:type="dxa"/>
            <w:vAlign w:val="bottom"/>
          </w:tcPr>
          <w:p>
            <w:pPr>
              <w:spacing w:after="0"/>
              <w:rPr>
                <w:sz w:val="21"/>
                <w:szCs w:val="21"/>
                <w:color w:val="auto"/>
              </w:rPr>
            </w:pPr>
          </w:p>
        </w:tc>
        <w:tc>
          <w:tcPr>
            <w:tcW w:w="5560" w:type="dxa"/>
            <w:vAlign w:val="bottom"/>
            <w:gridSpan w:val="5"/>
          </w:tcPr>
          <w:p>
            <w:pPr>
              <w:ind w:left="1380"/>
              <w:spacing w:after="0" w:line="243" w:lineRule="exact"/>
              <w:rPr>
                <w:sz w:val="20"/>
                <w:szCs w:val="20"/>
                <w:color w:val="auto"/>
              </w:rPr>
            </w:pPr>
            <w:r>
              <w:rPr>
                <w:rFonts w:ascii="Arial" w:cs="Arial" w:eastAsia="Arial" w:hAnsi="Arial"/>
                <w:sz w:val="22"/>
                <w:szCs w:val="22"/>
                <w:color w:val="auto"/>
              </w:rPr>
              <w:t>Atlanta, Georgia 30328</w:t>
            </w:r>
          </w:p>
        </w:tc>
      </w:tr>
      <w:tr>
        <w:trPr>
          <w:trHeight w:val="243"/>
        </w:trPr>
        <w:tc>
          <w:tcPr>
            <w:tcW w:w="2660" w:type="dxa"/>
            <w:vAlign w:val="bottom"/>
          </w:tcPr>
          <w:p>
            <w:pPr>
              <w:spacing w:after="0"/>
              <w:rPr>
                <w:sz w:val="21"/>
                <w:szCs w:val="21"/>
                <w:color w:val="auto"/>
              </w:rPr>
            </w:pPr>
          </w:p>
        </w:tc>
        <w:tc>
          <w:tcPr>
            <w:tcW w:w="5560" w:type="dxa"/>
            <w:vAlign w:val="bottom"/>
            <w:gridSpan w:val="5"/>
          </w:tcPr>
          <w:p>
            <w:pPr>
              <w:ind w:left="1380"/>
              <w:spacing w:after="0" w:line="243" w:lineRule="exact"/>
              <w:rPr>
                <w:sz w:val="20"/>
                <w:szCs w:val="20"/>
                <w:color w:val="auto"/>
              </w:rPr>
            </w:pPr>
            <w:r>
              <w:rPr>
                <w:rFonts w:ascii="Arial" w:cs="Arial" w:eastAsia="Arial" w:hAnsi="Arial"/>
                <w:sz w:val="22"/>
                <w:szCs w:val="22"/>
                <w:color w:val="auto"/>
              </w:rPr>
              <w:t>Attn: Portfolio Manager</w:t>
            </w:r>
          </w:p>
        </w:tc>
      </w:tr>
      <w:tr>
        <w:trPr>
          <w:trHeight w:val="274"/>
        </w:trPr>
        <w:tc>
          <w:tcPr>
            <w:tcW w:w="2660" w:type="dxa"/>
            <w:vAlign w:val="bottom"/>
          </w:tcPr>
          <w:p>
            <w:pPr>
              <w:spacing w:after="0"/>
              <w:rPr>
                <w:sz w:val="23"/>
                <w:szCs w:val="23"/>
                <w:color w:val="auto"/>
              </w:rPr>
            </w:pPr>
          </w:p>
        </w:tc>
        <w:tc>
          <w:tcPr>
            <w:tcW w:w="5560" w:type="dxa"/>
            <w:vAlign w:val="bottom"/>
            <w:gridSpan w:val="5"/>
          </w:tcPr>
          <w:p>
            <w:pPr>
              <w:ind w:left="1380"/>
              <w:spacing w:after="0"/>
              <w:rPr>
                <w:sz w:val="20"/>
                <w:szCs w:val="20"/>
                <w:color w:val="auto"/>
              </w:rPr>
            </w:pPr>
            <w:r>
              <w:rPr>
                <w:rFonts w:ascii="Arial" w:cs="Arial" w:eastAsia="Arial" w:hAnsi="Arial"/>
                <w:sz w:val="22"/>
                <w:szCs w:val="22"/>
                <w:color w:val="auto"/>
              </w:rPr>
              <w:t>Fax No. (855) 260-0212</w:t>
            </w:r>
          </w:p>
        </w:tc>
      </w:tr>
      <w:tr>
        <w:trPr>
          <w:trHeight w:val="455"/>
        </w:trPr>
        <w:tc>
          <w:tcPr>
            <w:tcW w:w="2660" w:type="dxa"/>
            <w:vAlign w:val="bottom"/>
          </w:tcPr>
          <w:p>
            <w:pPr>
              <w:spacing w:after="0"/>
              <w:rPr>
                <w:sz w:val="20"/>
                <w:szCs w:val="20"/>
                <w:color w:val="auto"/>
              </w:rPr>
            </w:pPr>
            <w:r>
              <w:rPr>
                <w:rFonts w:ascii="Arial" w:cs="Arial" w:eastAsia="Arial" w:hAnsi="Arial"/>
                <w:sz w:val="22"/>
                <w:szCs w:val="22"/>
                <w:color w:val="auto"/>
              </w:rPr>
              <w:t>with copies to:</w:t>
            </w:r>
          </w:p>
        </w:tc>
        <w:tc>
          <w:tcPr>
            <w:tcW w:w="5560" w:type="dxa"/>
            <w:vAlign w:val="bottom"/>
            <w:gridSpan w:val="5"/>
          </w:tcPr>
          <w:p>
            <w:pPr>
              <w:ind w:left="1380"/>
              <w:spacing w:after="0"/>
              <w:rPr>
                <w:sz w:val="20"/>
                <w:szCs w:val="20"/>
                <w:color w:val="auto"/>
              </w:rPr>
            </w:pPr>
            <w:r>
              <w:rPr>
                <w:rFonts w:ascii="Arial" w:cs="Arial" w:eastAsia="Arial" w:hAnsi="Arial"/>
                <w:sz w:val="22"/>
                <w:szCs w:val="22"/>
                <w:b w:val="1"/>
                <w:bCs w:val="1"/>
                <w:color w:val="auto"/>
              </w:rPr>
              <w:t>GOLDBERG KOHN LTD.</w:t>
            </w:r>
          </w:p>
        </w:tc>
      </w:tr>
      <w:tr>
        <w:trPr>
          <w:trHeight w:val="243"/>
        </w:trPr>
        <w:tc>
          <w:tcPr>
            <w:tcW w:w="2660" w:type="dxa"/>
            <w:vAlign w:val="bottom"/>
          </w:tcPr>
          <w:p>
            <w:pPr>
              <w:spacing w:after="0"/>
              <w:rPr>
                <w:sz w:val="21"/>
                <w:szCs w:val="21"/>
                <w:color w:val="auto"/>
              </w:rPr>
            </w:pPr>
          </w:p>
        </w:tc>
        <w:tc>
          <w:tcPr>
            <w:tcW w:w="5560" w:type="dxa"/>
            <w:vAlign w:val="bottom"/>
            <w:gridSpan w:val="5"/>
          </w:tcPr>
          <w:p>
            <w:pPr>
              <w:ind w:left="1380"/>
              <w:spacing w:after="0" w:line="243" w:lineRule="exact"/>
              <w:rPr>
                <w:sz w:val="20"/>
                <w:szCs w:val="20"/>
                <w:color w:val="auto"/>
              </w:rPr>
            </w:pPr>
            <w:r>
              <w:rPr>
                <w:rFonts w:ascii="Arial" w:cs="Arial" w:eastAsia="Arial" w:hAnsi="Arial"/>
                <w:sz w:val="22"/>
                <w:szCs w:val="22"/>
                <w:color w:val="auto"/>
              </w:rPr>
              <w:t>55 East Monroe</w:t>
            </w:r>
          </w:p>
        </w:tc>
      </w:tr>
      <w:tr>
        <w:trPr>
          <w:trHeight w:val="243"/>
        </w:trPr>
        <w:tc>
          <w:tcPr>
            <w:tcW w:w="2660" w:type="dxa"/>
            <w:vAlign w:val="bottom"/>
          </w:tcPr>
          <w:p>
            <w:pPr>
              <w:spacing w:after="0"/>
              <w:rPr>
                <w:sz w:val="21"/>
                <w:szCs w:val="21"/>
                <w:color w:val="auto"/>
              </w:rPr>
            </w:pPr>
          </w:p>
        </w:tc>
        <w:tc>
          <w:tcPr>
            <w:tcW w:w="5560" w:type="dxa"/>
            <w:vAlign w:val="bottom"/>
            <w:gridSpan w:val="5"/>
          </w:tcPr>
          <w:p>
            <w:pPr>
              <w:ind w:left="1380"/>
              <w:spacing w:after="0" w:line="243" w:lineRule="exact"/>
              <w:rPr>
                <w:sz w:val="20"/>
                <w:szCs w:val="20"/>
                <w:color w:val="auto"/>
              </w:rPr>
            </w:pPr>
            <w:r>
              <w:rPr>
                <w:rFonts w:ascii="Arial" w:cs="Arial" w:eastAsia="Arial" w:hAnsi="Arial"/>
                <w:sz w:val="22"/>
                <w:szCs w:val="22"/>
                <w:color w:val="auto"/>
              </w:rPr>
              <w:t>Suite 3300</w:t>
            </w:r>
          </w:p>
        </w:tc>
      </w:tr>
      <w:tr>
        <w:trPr>
          <w:trHeight w:val="243"/>
        </w:trPr>
        <w:tc>
          <w:tcPr>
            <w:tcW w:w="2660" w:type="dxa"/>
            <w:vAlign w:val="bottom"/>
          </w:tcPr>
          <w:p>
            <w:pPr>
              <w:spacing w:after="0"/>
              <w:rPr>
                <w:sz w:val="21"/>
                <w:szCs w:val="21"/>
                <w:color w:val="auto"/>
              </w:rPr>
            </w:pPr>
          </w:p>
        </w:tc>
        <w:tc>
          <w:tcPr>
            <w:tcW w:w="5560" w:type="dxa"/>
            <w:vAlign w:val="bottom"/>
            <w:gridSpan w:val="5"/>
          </w:tcPr>
          <w:p>
            <w:pPr>
              <w:ind w:left="1380"/>
              <w:spacing w:after="0" w:line="243" w:lineRule="exact"/>
              <w:rPr>
                <w:sz w:val="20"/>
                <w:szCs w:val="20"/>
                <w:color w:val="auto"/>
              </w:rPr>
            </w:pPr>
            <w:r>
              <w:rPr>
                <w:rFonts w:ascii="Arial" w:cs="Arial" w:eastAsia="Arial" w:hAnsi="Arial"/>
                <w:sz w:val="22"/>
                <w:szCs w:val="22"/>
                <w:color w:val="auto"/>
              </w:rPr>
              <w:t>Chicago, Illinois 60603</w:t>
            </w:r>
          </w:p>
        </w:tc>
      </w:tr>
      <w:tr>
        <w:trPr>
          <w:trHeight w:val="243"/>
        </w:trPr>
        <w:tc>
          <w:tcPr>
            <w:tcW w:w="2660" w:type="dxa"/>
            <w:vAlign w:val="bottom"/>
          </w:tcPr>
          <w:p>
            <w:pPr>
              <w:spacing w:after="0"/>
              <w:rPr>
                <w:sz w:val="21"/>
                <w:szCs w:val="21"/>
                <w:color w:val="auto"/>
              </w:rPr>
            </w:pPr>
          </w:p>
        </w:tc>
        <w:tc>
          <w:tcPr>
            <w:tcW w:w="2020" w:type="dxa"/>
            <w:vAlign w:val="bottom"/>
          </w:tcPr>
          <w:p>
            <w:pPr>
              <w:ind w:left="1380"/>
              <w:spacing w:after="0" w:line="243" w:lineRule="exact"/>
              <w:rPr>
                <w:sz w:val="20"/>
                <w:szCs w:val="20"/>
                <w:color w:val="auto"/>
              </w:rPr>
            </w:pPr>
            <w:r>
              <w:rPr>
                <w:rFonts w:ascii="Arial" w:cs="Arial" w:eastAsia="Arial" w:hAnsi="Arial"/>
                <w:sz w:val="22"/>
                <w:szCs w:val="22"/>
                <w:color w:val="auto"/>
              </w:rPr>
              <w:t>Attn:</w:t>
            </w:r>
          </w:p>
        </w:tc>
        <w:tc>
          <w:tcPr>
            <w:tcW w:w="3540" w:type="dxa"/>
            <w:vAlign w:val="bottom"/>
            <w:gridSpan w:val="4"/>
          </w:tcPr>
          <w:p>
            <w:pPr>
              <w:ind w:left="220"/>
              <w:spacing w:after="0" w:line="243" w:lineRule="exact"/>
              <w:rPr>
                <w:sz w:val="20"/>
                <w:szCs w:val="20"/>
                <w:color w:val="auto"/>
              </w:rPr>
            </w:pPr>
            <w:r>
              <w:rPr>
                <w:rFonts w:ascii="Arial" w:cs="Arial" w:eastAsia="Arial" w:hAnsi="Arial"/>
                <w:sz w:val="22"/>
                <w:szCs w:val="22"/>
                <w:color w:val="auto"/>
              </w:rPr>
              <w:t>Anne Marie Pisano, Esq.</w:t>
            </w:r>
          </w:p>
        </w:tc>
      </w:tr>
      <w:tr>
        <w:trPr>
          <w:trHeight w:val="224"/>
        </w:trPr>
        <w:tc>
          <w:tcPr>
            <w:tcW w:w="2660" w:type="dxa"/>
            <w:vAlign w:val="bottom"/>
          </w:tcPr>
          <w:p>
            <w:pPr>
              <w:spacing w:after="0"/>
              <w:rPr>
                <w:sz w:val="19"/>
                <w:szCs w:val="19"/>
                <w:color w:val="auto"/>
              </w:rPr>
            </w:pPr>
          </w:p>
        </w:tc>
        <w:tc>
          <w:tcPr>
            <w:tcW w:w="2640" w:type="dxa"/>
            <w:vAlign w:val="bottom"/>
            <w:gridSpan w:val="2"/>
          </w:tcPr>
          <w:p>
            <w:pPr>
              <w:ind w:left="1380"/>
              <w:spacing w:after="0" w:line="224" w:lineRule="exact"/>
              <w:rPr>
                <w:sz w:val="20"/>
                <w:szCs w:val="20"/>
                <w:color w:val="auto"/>
              </w:rPr>
            </w:pPr>
            <w:r>
              <w:rPr>
                <w:rFonts w:ascii="Arial" w:cs="Arial" w:eastAsia="Arial" w:hAnsi="Arial"/>
                <w:sz w:val="22"/>
                <w:szCs w:val="22"/>
                <w:color w:val="auto"/>
                <w:w w:val="92"/>
              </w:rPr>
              <w:t>Fax No. (312)</w:t>
            </w:r>
          </w:p>
        </w:tc>
        <w:tc>
          <w:tcPr>
            <w:tcW w:w="820" w:type="dxa"/>
            <w:vAlign w:val="bottom"/>
          </w:tcPr>
          <w:p>
            <w:pPr>
              <w:jc w:val="right"/>
              <w:spacing w:after="0" w:line="224" w:lineRule="exact"/>
              <w:rPr>
                <w:sz w:val="20"/>
                <w:szCs w:val="20"/>
                <w:color w:val="auto"/>
              </w:rPr>
            </w:pPr>
            <w:r>
              <w:rPr>
                <w:rFonts w:ascii="Arial" w:cs="Arial" w:eastAsia="Arial" w:hAnsi="Arial"/>
                <w:sz w:val="22"/>
                <w:szCs w:val="22"/>
                <w:color w:val="FF0000"/>
                <w:strike w:val="1"/>
                <w:w w:val="86"/>
              </w:rPr>
              <w:t>201-3986</w:t>
            </w:r>
          </w:p>
        </w:tc>
        <w:tc>
          <w:tcPr>
            <w:tcW w:w="840" w:type="dxa"/>
            <w:vAlign w:val="bottom"/>
            <w:tcBorders>
              <w:bottom w:val="single" w:sz="8" w:color="0000FF"/>
            </w:tcBorders>
          </w:tcPr>
          <w:p>
            <w:pPr>
              <w:jc w:val="right"/>
              <w:spacing w:after="0" w:line="224" w:lineRule="exact"/>
              <w:rPr>
                <w:sz w:val="20"/>
                <w:szCs w:val="20"/>
                <w:color w:val="auto"/>
              </w:rPr>
            </w:pPr>
            <w:r>
              <w:rPr>
                <w:rFonts w:ascii="Arial" w:cs="Arial" w:eastAsia="Arial" w:hAnsi="Arial"/>
                <w:sz w:val="22"/>
                <w:szCs w:val="22"/>
                <w:color w:val="0000FF"/>
                <w:w w:val="88"/>
              </w:rPr>
              <w:t>863-7488</w:t>
            </w:r>
          </w:p>
        </w:tc>
        <w:tc>
          <w:tcPr>
            <w:tcW w:w="1260" w:type="dxa"/>
            <w:vAlign w:val="bottom"/>
          </w:tcPr>
          <w:p>
            <w:pPr>
              <w:spacing w:after="0"/>
              <w:rPr>
                <w:sz w:val="19"/>
                <w:szCs w:val="19"/>
                <w:color w:val="auto"/>
              </w:rPr>
            </w:pPr>
          </w:p>
        </w:tc>
      </w:tr>
    </w:tbl>
    <w:p>
      <w:pPr>
        <w:spacing w:after="0" w:line="262"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 xml:space="preserve">Agent and the Loan Parties may change the address at which they are to receive notices hereunder, by notice in writing in the foregoing manner given to the other party. All notices or demands sent in accordance with this </w:t>
      </w:r>
      <w:r>
        <w:rPr>
          <w:rFonts w:ascii="Arial" w:cs="Arial" w:eastAsia="Arial" w:hAnsi="Arial"/>
          <w:sz w:val="19"/>
          <w:szCs w:val="19"/>
          <w:u w:val="single" w:color="auto"/>
          <w:color w:val="auto"/>
        </w:rPr>
        <w:t>Section 12</w:t>
      </w:r>
      <w:r>
        <w:rPr>
          <w:rFonts w:ascii="Arial" w:cs="Arial" w:eastAsia="Arial" w:hAnsi="Arial"/>
          <w:sz w:val="19"/>
          <w:szCs w:val="19"/>
          <w:color w:val="auto"/>
        </w:rPr>
        <w:t>, other than notices by Agent in connection with enforcement rights against the Collateral under the provisions of the Code, shall be deemed received on the earlier of the date of actual receipt or 3 Business Days after the deposit thereof in the mail. Each Loan Party acknowledges and agrees that notices sent by the Lender Group in connection with the exercise of enforcement rights against Collateral under the provisions of the Code shall be deemed sent when deposited in the mail or personally delivered, or, where permitted by law, transmitted by telefacsimile or any other method set forth above.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164" w:name="page165"/>
    <w:bookmarkEnd w:id="164"/>
    <w:p>
      <w:pPr>
        <w:spacing w:after="0"/>
        <w:rPr>
          <w:sz w:val="20"/>
          <w:szCs w:val="20"/>
          <w:color w:val="auto"/>
        </w:rPr>
      </w:pPr>
      <w:r>
        <w:rPr>
          <w:rFonts w:ascii="Arial" w:cs="Arial" w:eastAsia="Arial" w:hAnsi="Arial"/>
          <w:sz w:val="22"/>
          <w:szCs w:val="22"/>
          <w:b w:val="1"/>
          <w:bCs w:val="1"/>
          <w:color w:val="auto"/>
        </w:rPr>
        <w:t>CHOICE OF LAW AND VENUE; JURY TRIAL WAIVER.</w:t>
      </w:r>
    </w:p>
    <w:p>
      <w:pPr>
        <w:spacing w:after="0" w:line="212"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THE VALIDITY OF THIS AGREEMENT AND THE OTHER LOAN DOCUMENTS (UNLESS EXPRESSLY PROVIDED TO THE CONTRARY IN ANOTHER LOAN DOCUMENT IN RESPECT OF SUCH OTHER LOAN DOCUMENT), THE CONSTRUCTION, INTERPRETATION, AND ENFORCEMENT HEREOF AND THEREOF, AND THE RIGHTS OF THE PARTIES HERETO AND THERETO WITH RESPECT TO ALL MATTERS ARISING HEREUNDER OR THEREUNDER OR RELATED HERETO OR THERETO SHALL BE DETERMINED UNDER, GOVERNED BY, AND CONSTRUED IN ACCORDANCE WITH THE LAWS OF THE STATE OF NEW YORK.</w:t>
      </w:r>
    </w:p>
    <w:p>
      <w:pPr>
        <w:spacing w:after="0" w:line="177"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THE PARTIES AGREE THAT ALL ACTIONS OR PROCEEDINGS ARISING IN CONNECTION WITH THIS AGREEMENT AND THE OTHER LOAN DOCUMENTS SHALL BE TRIED AND LITIGATED ONLY IN THE STATE AND FEDERAL COURTS LOCATED IN THE COUNTY OF NEW YORK, STATE OF NEW YORK,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ANY SUIT SEEKING ENFORCEMENT AGAINST ANY COLLATERAL OR OTHER PROPERTY MAY BE BROUGHT, AT AGENT'S OPTION, IN THE COURTS OF ANY JURISDICTION WHERE AGENT ELECTS TO BRING SUCH ACTION OR WHERE SUCH COLLATERAL OR OTHER PROPERTY MAY BE FOUND. THE LOAN PARTIES AND THE LENDER GROUP WAIVE, TO THE EXTENT PERMITTED UNDER APPLICABLE LAW, ANY RIGHT EACH MAY HAVE TO ASSERT THE DOCTRINE OF FORUM NON CONVENIENS OR TO OBJECT TO VENUE TO THE EXTENT ANY PROCEEDING IS BROUGHT IN ACCORDANCE WITH THIS </w:t>
      </w:r>
      <w:r>
        <w:rPr>
          <w:rFonts w:ascii="Arial" w:cs="Arial" w:eastAsia="Arial" w:hAnsi="Arial"/>
          <w:sz w:val="21"/>
          <w:szCs w:val="21"/>
          <w:u w:val="single" w:color="auto"/>
          <w:color w:val="auto"/>
        </w:rPr>
        <w:t>SECTION 13(b)</w:t>
      </w:r>
      <w:r>
        <w:rPr>
          <w:rFonts w:ascii="Arial" w:cs="Arial" w:eastAsia="Arial" w:hAnsi="Arial"/>
          <w:sz w:val="21"/>
          <w:szCs w:val="21"/>
          <w:color w:val="auto"/>
        </w:rPr>
        <w:t>.</w:t>
      </w:r>
    </w:p>
    <w:p>
      <w:pPr>
        <w:spacing w:after="0" w:line="184"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THE LOAN PARTIES AND THE LENDER GROUP HEREBY WAIVE THEIR RESPECTIVE RIGHTS TO A JURY TRIAL OF ANY CLAIM OR CAUSE OF ACTION BASED UPON OR ARISING OUT OF ANY OF THE LOAN DOCUMENTS OR ANY OF THE TRANSACTIONS CONTEMPLATED THEREIN, INCLUDING CONTRACT CLAIMS, TORT CLAIMS, BREACH OF DUTY CLAIMS, AND ALL OTHER COMMON LAW OR STATUTORY CLAIMS. THE LOAN PARTIES AND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ASSIGNMENTS AND PARTICIPATIONS; SUCCESSORS.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Assignments and Participations</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Any Lender may, with the written consent of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written consent of Agent shall be required in connection with any assignment and delegation by a Lender to an Eligible Transferee and no notice to Agent shall be required in connection with any assignment and delegation by a Lender to an Affiliate of a Lender or a fund or account managed by a Lender), assign and delegate to one or more assignees (each an "</w:t>
      </w:r>
      <w:r>
        <w:rPr>
          <w:rFonts w:ascii="Arial" w:cs="Arial" w:eastAsia="Arial" w:hAnsi="Arial"/>
          <w:sz w:val="22"/>
          <w:szCs w:val="22"/>
          <w:u w:val="single" w:color="auto"/>
          <w:color w:val="auto"/>
        </w:rPr>
        <w:t>Assignee</w:t>
      </w:r>
      <w:r>
        <w:rPr>
          <w:rFonts w:ascii="Arial" w:cs="Arial" w:eastAsia="Arial" w:hAnsi="Arial"/>
          <w:sz w:val="22"/>
          <w:szCs w:val="22"/>
          <w:color w:val="auto"/>
        </w:rPr>
        <w:t>") all, or any ratable part of all, of the Obligations, the Commitments and the other rights and obligations of such Lender hereunder and under the other Loan Documents, in a minimum amount of $5,000,000 (except such minimum amount shall not apply to any Affiliate of a Lender or to a fund or account managed by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5" w:name="page166"/>
    <w:bookmarkEnd w:id="165"/>
    <w:p>
      <w:pPr>
        <w:jc w:val="both"/>
        <w:spacing w:after="0" w:line="245" w:lineRule="exact"/>
        <w:rPr>
          <w:sz w:val="20"/>
          <w:szCs w:val="20"/>
          <w:color w:val="auto"/>
        </w:rPr>
      </w:pPr>
      <w:r>
        <w:rPr>
          <w:rFonts w:ascii="Arial" w:cs="Arial" w:eastAsia="Arial" w:hAnsi="Arial"/>
          <w:sz w:val="19"/>
          <w:szCs w:val="19"/>
          <w:color w:val="auto"/>
        </w:rPr>
        <w:t xml:space="preserve">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Loan Parties and Agent may continue to deal solely and directly with such Lender in connection with the interest so assigned to an Assignee until (i) written notice of such assignment, together with payment instructions, addresses, and related information with respect to the Assignee, have been given to Administrative Borrower and Agent by such Lender and the Assignee, (ii) such Lender and its Assignee have delivered to Administrative Borrower and Agent an Assignment and Acceptance substantially in the form of </w:t>
      </w:r>
      <w:r>
        <w:rPr>
          <w:rFonts w:ascii="Arial" w:cs="Arial" w:eastAsia="Arial" w:hAnsi="Arial"/>
          <w:sz w:val="19"/>
          <w:szCs w:val="19"/>
          <w:u w:val="single" w:color="auto"/>
          <w:color w:val="auto"/>
        </w:rPr>
        <w:t>Exhibit A</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and (iii) the assignor Lender or Assignee has paid to Agent for Agent's separate account a processing fee in the amount of $5,000. Anything contained herein to the contrary notwithstanding, the consent of Agent shall not be required (and payment of any fees shall not be required) if such assignment is in connection with any merger, consolidation, sale, transfer, or other disposition of all or any substantial portion of the business or loan portfolio of such Lender or the assignee is an Affiliate (other than individuals) of, or a fund, money market account, investment account or other account managed by a Lender or an Affiliate of a Lender. Any assignment by a Lender to a Disqualified Lender (other than during the continuance of an Event of Default) without Administrative Borrower's consent shall, at Administrative Borrower's option, be null and void. Upon the request of any Lender, Agent shall make available to such Lender the list of Disqualified Lenders and such Lender may provide the list to any potential assignee for the purpose of verifying whether such Person is a Disqualified Lender. Without limiting the foregoing, Agent shall not (x) be obligated to ascertain, monitor or inquire as to whether any Lender or prospective Lender is a Disqualified Lender or (y) have any liability with respect to or arising out of disclosure of confidential information to any Disqualified Lender by any other Lender.</w:t>
      </w:r>
    </w:p>
    <w:p>
      <w:pPr>
        <w:spacing w:after="0" w:line="18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From and after the date that Agent notifies the assignor Lender (with a copy to Administrative Borrower, if applicable) that it has received an executed Assignment and Acceptance and payment (if applicable) of the above-referenced processing fee, (i) the Assignee thereunder shall be a party hereto and, to the extent that rights and obligations hereunder have been assigned to it pursuant to such Assignment and Acceptance, shall have the rights and obligations of a Lender under the Loan Documents, and (ii) the assignor Lender shall, to the extent that rights and obligations hereunder and under the other Loan Documents have been assigned by it pursuant to such Assignment and Acceptance, relinquish its rights (except with respect to </w:t>
      </w:r>
      <w:r>
        <w:rPr>
          <w:rFonts w:ascii="Arial" w:cs="Arial" w:eastAsia="Arial" w:hAnsi="Arial"/>
          <w:sz w:val="21"/>
          <w:szCs w:val="21"/>
          <w:u w:val="single" w:color="auto"/>
          <w:color w:val="auto"/>
        </w:rPr>
        <w:t>Section 11.3</w:t>
      </w:r>
      <w:r>
        <w:rPr>
          <w:rFonts w:ascii="Arial" w:cs="Arial" w:eastAsia="Arial" w:hAnsi="Arial"/>
          <w:sz w:val="21"/>
          <w:szCs w:val="21"/>
          <w:color w:val="auto"/>
        </w:rPr>
        <w:t xml:space="preserve"> hereof) and be released from its obligations under this Agreement (and in the case of an Assignment and Acceptance covering all or the remaining portion of an assigning Lender's rights and obligations under this Agreement and the other Loan Documents, such Lender shall cease to be a party hereto and thereto), and such assignment shall affect a novation between Borrowers and the Assignee.</w:t>
      </w:r>
    </w:p>
    <w:p>
      <w:pPr>
        <w:spacing w:after="0" w:line="181"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9"/>
          <w:szCs w:val="19"/>
          <w:color w:val="auto"/>
        </w:rPr>
        <w:t>By executing and delivering an Assignment and Acceptance, the assigning Lender thereunder and the Assignee thereunder confirm to and agree with each other and the other parties hereto as follows: (1)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(2) such assigning Lender makes no representation or warranty and assumes no responsibility with respect to the financial condition of Loan Parties or the performance or observance by the Loan Parties of any of their obligations under this Agreement or any other Loan Document furnished pursuant hereto, (3) such Assignee confirms that it has received a copy of this Agreement, together with such other documents and</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6" w:name="page167"/>
    <w:bookmarkEnd w:id="166"/>
    <w:p>
      <w:pPr>
        <w:jc w:val="both"/>
        <w:spacing w:after="0" w:line="246" w:lineRule="auto"/>
        <w:rPr>
          <w:sz w:val="20"/>
          <w:szCs w:val="20"/>
          <w:color w:val="auto"/>
        </w:rPr>
      </w:pPr>
      <w:r>
        <w:rPr>
          <w:rFonts w:ascii="Arial" w:cs="Arial" w:eastAsia="Arial" w:hAnsi="Arial"/>
          <w:sz w:val="21"/>
          <w:szCs w:val="21"/>
          <w:color w:val="auto"/>
        </w:rPr>
        <w:t>information as it has deemed appropriate to make its own credit analysis and decision to enter into such Assignment and Acceptance, (4)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(5) such Assignee appoints and authorizes Agent to take such actions and to exercise such powers under this Agreement as are delegated to Agent, by the terms hereof, together with such powers as are reasonably incidental thereto, and (6) such Assignee agrees that it will perform all of the obligations which by the terms of this Agreement are required to be performed by it as a Lender.</w:t>
      </w:r>
    </w:p>
    <w:p>
      <w:pPr>
        <w:spacing w:after="0" w:line="184"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 xml:space="preserve">Immediately upon each Assignee's making its processing fee payment (if applicable) under the Assignment and Acceptance and receipt and acknowledgment by Agent of such fully executed Assignment and Acceptance,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pro tanto. The </w:t>
      </w:r>
      <w:r>
        <w:rPr>
          <w:rFonts w:ascii="Arial" w:cs="Arial" w:eastAsia="Arial" w:hAnsi="Arial"/>
          <w:sz w:val="19"/>
          <w:szCs w:val="19"/>
          <w:color w:val="FF0000"/>
          <w:strike w:val="1"/>
        </w:rPr>
        <w:t>Administrative</w:t>
      </w:r>
      <w:r>
        <w:rPr>
          <w:rFonts w:ascii="Arial" w:cs="Arial" w:eastAsia="Arial" w:hAnsi="Arial"/>
          <w:sz w:val="19"/>
          <w:szCs w:val="19"/>
          <w:color w:val="auto"/>
        </w:rPr>
        <w:t xml:space="preserve"> Agent, acting solely for this purpose as a non-fiduciary agent of the Loan Parties, shall maintain at one of its offices in the United States a copy of each Assignment and Acceptance delivered to it and a register for the recordation of the names and addresses of the Lenders, and the Commitments of and Advances made by each Lender pursuant to the terms hereof from time to time (the " </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 The entries in the Register shall be conclusive absent manifest error, and the Loan Parties, the </w:t>
      </w:r>
      <w:r>
        <w:rPr>
          <w:rFonts w:ascii="Arial" w:cs="Arial" w:eastAsia="Arial" w:hAnsi="Arial"/>
          <w:sz w:val="19"/>
          <w:szCs w:val="19"/>
          <w:color w:val="FF0000"/>
          <w:strike w:val="1"/>
        </w:rPr>
        <w:t>Administrative</w:t>
      </w:r>
      <w:r>
        <w:rPr>
          <w:rFonts w:ascii="Arial" w:cs="Arial" w:eastAsia="Arial" w:hAnsi="Arial"/>
          <w:sz w:val="19"/>
          <w:szCs w:val="19"/>
          <w:color w:val="auto"/>
        </w:rPr>
        <w:t xml:space="preserve"> Agent and the Lenders shall treat each Person whose name is recorded in the Register pursuant to the terms hereof as a Lender hereunder for all purposes of this Agreement. The Register shall be available for inspection by the Loan Parties and any Lender, at any reasonable time and from time to time upon reasonable prior notice.</w:t>
      </w:r>
    </w:p>
    <w:p>
      <w:pPr>
        <w:spacing w:after="0" w:line="200" w:lineRule="exact"/>
        <w:rPr>
          <w:sz w:val="20"/>
          <w:szCs w:val="20"/>
          <w:color w:val="auto"/>
        </w:rPr>
      </w:pPr>
    </w:p>
    <w:p>
      <w:pPr>
        <w:spacing w:after="0" w:line="208"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Any Lender may at any time sell to one or more commercial banks, financial institutions, or other Persons not Affiliates of such Lender (a "</w:t>
      </w:r>
      <w:r>
        <w:rPr>
          <w:rFonts w:ascii="Arial" w:cs="Arial" w:eastAsia="Arial" w:hAnsi="Arial"/>
          <w:sz w:val="19"/>
          <w:szCs w:val="19"/>
          <w:u w:val="single" w:color="auto"/>
          <w:color w:val="auto"/>
        </w:rPr>
        <w:t>Participant</w:t>
      </w:r>
      <w:r>
        <w:rPr>
          <w:rFonts w:ascii="Arial" w:cs="Arial" w:eastAsia="Arial" w:hAnsi="Arial"/>
          <w:sz w:val="19"/>
          <w:szCs w:val="19"/>
          <w:color w:val="auto"/>
        </w:rPr>
        <w:t>") participating interests in its Obligations, the Commitment, and the other rights and interests of that Lender (the "</w:t>
      </w:r>
      <w:r>
        <w:rPr>
          <w:rFonts w:ascii="Arial" w:cs="Arial" w:eastAsia="Arial" w:hAnsi="Arial"/>
          <w:sz w:val="19"/>
          <w:szCs w:val="19"/>
          <w:u w:val="single" w:color="auto"/>
          <w:color w:val="auto"/>
        </w:rPr>
        <w:t>Originating Lender</w:t>
      </w:r>
      <w:r>
        <w:rPr>
          <w:rFonts w:ascii="Arial" w:cs="Arial" w:eastAsia="Arial" w:hAnsi="Arial"/>
          <w:sz w:val="19"/>
          <w:szCs w:val="19"/>
          <w:color w:val="auto"/>
        </w:rPr>
        <w:t xml:space="preserve">") hereunder and under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Loan Parties,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a material portion of the Collateral or guaranties (except to the extent expressly provided herein or in any of the Loan Documents) supporting the Obligations hereunder in which such Participant is participating, (D) postpone the payment of, or reduce the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7" w:name="page168"/>
    <w:bookmarkEnd w:id="167"/>
    <w:p>
      <w:pPr>
        <w:jc w:val="both"/>
        <w:spacing w:after="0" w:line="269" w:lineRule="auto"/>
        <w:rPr>
          <w:sz w:val="20"/>
          <w:szCs w:val="20"/>
          <w:color w:val="auto"/>
        </w:rPr>
      </w:pPr>
      <w:r>
        <w:rPr>
          <w:rFonts w:ascii="Arial" w:cs="Arial" w:eastAsia="Arial" w:hAnsi="Arial"/>
          <w:sz w:val="19"/>
          <w:szCs w:val="19"/>
          <w:color w:val="auto"/>
        </w:rPr>
        <w:t xml:space="preserve">amount of, the interest or fees payable to such Participant through such Lender, or (E) change the amount or due dates of scheduled principal repayments or prepayments or premiums; and (v) all amounts payable by the Loan Parties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Loan Parties, the Collections, the Collateral, or otherwise in respect of the Obligations. No Participant shall have the right to participate directly in the making of decisions by the Lenders among themselves. The Borrower agrees that each Participant shall be entitled to the benefits of </w:t>
      </w:r>
      <w:r>
        <w:rPr>
          <w:rFonts w:ascii="Arial" w:cs="Arial" w:eastAsia="Arial" w:hAnsi="Arial"/>
          <w:sz w:val="19"/>
          <w:szCs w:val="19"/>
          <w:u w:val="single" w:color="auto"/>
          <w:color w:val="auto"/>
        </w:rPr>
        <w:t>Section 16.11</w:t>
      </w:r>
      <w:r>
        <w:rPr>
          <w:rFonts w:ascii="Arial" w:cs="Arial" w:eastAsia="Arial" w:hAnsi="Arial"/>
          <w:sz w:val="19"/>
          <w:szCs w:val="19"/>
          <w:color w:val="auto"/>
        </w:rPr>
        <w:t xml:space="preserve"> (subject to the requirements and limitations therein, including the requirements under </w:t>
      </w:r>
      <w:r>
        <w:rPr>
          <w:rFonts w:ascii="Arial" w:cs="Arial" w:eastAsia="Arial" w:hAnsi="Arial"/>
          <w:sz w:val="19"/>
          <w:szCs w:val="19"/>
          <w:u w:val="single" w:color="auto"/>
          <w:color w:val="auto"/>
        </w:rPr>
        <w:t>Section 16.11(a)</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 16.11(a)</w:t>
      </w:r>
      <w:r>
        <w:rPr>
          <w:rFonts w:ascii="Arial" w:cs="Arial" w:eastAsia="Arial" w:hAnsi="Arial"/>
          <w:sz w:val="19"/>
          <w:szCs w:val="19"/>
          <w:color w:val="auto"/>
        </w:rPr>
        <w:t xml:space="preserve"> shall be delivered to the participating Lender)) to the same extent as if it were a Lender and had acquired its interest by assignment. Each Lender that sells a participation shall, acting solely for this purpose as a non-fiduciary agent of the Borrower, maintain a register on which it enters the name and address of each Participant and the Commitment of and Advances made by each Participant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or Advances) to any Person except to the extent that such disclosure is necessary to establish that such Commitment or Advance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w:t>
      </w:r>
      <w:r>
        <w:rPr>
          <w:rFonts w:ascii="Arial" w:cs="Arial" w:eastAsia="Arial" w:hAnsi="Arial"/>
          <w:sz w:val="19"/>
          <w:szCs w:val="19"/>
          <w:color w:val="FF0000"/>
          <w:strike w:val="1"/>
        </w:rPr>
        <w:t>Administrative</w:t>
      </w:r>
      <w:r>
        <w:rPr>
          <w:rFonts w:ascii="Arial" w:cs="Arial" w:eastAsia="Arial" w:hAnsi="Arial"/>
          <w:sz w:val="19"/>
          <w:szCs w:val="19"/>
          <w:color w:val="auto"/>
        </w:rPr>
        <w:t xml:space="preserve"> Agent (in its capacity as </w:t>
      </w:r>
      <w:r>
        <w:rPr>
          <w:rFonts w:ascii="Arial" w:cs="Arial" w:eastAsia="Arial" w:hAnsi="Arial"/>
          <w:sz w:val="19"/>
          <w:szCs w:val="19"/>
          <w:color w:val="FF0000"/>
          <w:strike w:val="1"/>
        </w:rPr>
        <w:t>Administrative</w:t>
      </w:r>
      <w:r>
        <w:rPr>
          <w:rFonts w:ascii="Arial" w:cs="Arial" w:eastAsia="Arial" w:hAnsi="Arial"/>
          <w:sz w:val="19"/>
          <w:szCs w:val="19"/>
          <w:color w:val="FF0000"/>
        </w:rPr>
        <w:t xml:space="preserve"> </w:t>
      </w:r>
      <w:r>
        <w:rPr>
          <w:rFonts w:ascii="Arial" w:cs="Arial" w:eastAsia="Arial" w:hAnsi="Arial"/>
          <w:sz w:val="19"/>
          <w:szCs w:val="19"/>
          <w:color w:val="000000"/>
        </w:rPr>
        <w:t>Agent) shall have no responsibility for maintaining a Participant Register.</w:t>
      </w:r>
    </w:p>
    <w:p>
      <w:pPr>
        <w:spacing w:after="0" w:line="200" w:lineRule="exact"/>
        <w:rPr>
          <w:sz w:val="20"/>
          <w:szCs w:val="20"/>
          <w:color w:val="auto"/>
        </w:rPr>
      </w:pPr>
    </w:p>
    <w:p>
      <w:pPr>
        <w:spacing w:after="0" w:line="217"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In connection with any such assignment or participation or proposed assignment or participation, a Lender may disclose all documents and information which it now or hereafter may have relating to Loan Parties or Loan Parties' business.</w:t>
      </w:r>
    </w:p>
    <w:p>
      <w:pPr>
        <w:spacing w:after="0" w:line="105"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Any other provision in this Agreement notwithstanding, any Lender may at any time create a security interest in, or pledge, all or any portion of its rights under and interest in this Agreement in favor of any Federal Reserve Bank in accordance with Regulation A of the Federal Reserve Bank or U.S. Treasury Regulation 31 CFR §203.14, and such Federal Reserve Bank may enforce such pledge or security interest in any manner permitted under applicable law.</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Successors</w:t>
      </w:r>
    </w:p>
    <w:p>
      <w:pPr>
        <w:spacing w:after="0" w:line="212" w:lineRule="exact"/>
        <w:rPr>
          <w:sz w:val="20"/>
          <w:szCs w:val="20"/>
          <w:color w:val="auto"/>
        </w:rPr>
      </w:pPr>
    </w:p>
    <w:p>
      <w:pPr>
        <w:jc w:val="both"/>
        <w:ind w:firstLine="8"/>
        <w:spacing w:after="0" w:line="238" w:lineRule="auto"/>
        <w:tabs>
          <w:tab w:leader="none" w:pos="19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This Agreement shall bind and inure to the benefit of the respective successors and assigns of each of the parties;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Loan Parties may not assign this Agreement or any rights or duties hereunder without the Lenders' prior written consent and any prohibited assignment shall be absolutely void ab initio. No consent to assignment by the Lenders shall release any Loan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8" w:name="page169"/>
    <w:bookmarkEnd w:id="168"/>
    <w:p>
      <w:pPr>
        <w:jc w:val="both"/>
        <w:spacing w:after="0" w:line="257" w:lineRule="auto"/>
        <w:rPr>
          <w:sz w:val="20"/>
          <w:szCs w:val="20"/>
          <w:color w:val="auto"/>
        </w:rPr>
      </w:pPr>
      <w:r>
        <w:rPr>
          <w:rFonts w:ascii="Arial" w:cs="Arial" w:eastAsia="Arial" w:hAnsi="Arial"/>
          <w:sz w:val="21"/>
          <w:szCs w:val="21"/>
          <w:color w:val="auto"/>
        </w:rPr>
        <w:t xml:space="preserve">Party from its Obligations. A Lender may assign this Agreement and the other Loan Documents and its rights and duties hereunder and thereunder pursuant to </w:t>
      </w:r>
      <w:r>
        <w:rPr>
          <w:rFonts w:ascii="Arial" w:cs="Arial" w:eastAsia="Arial" w:hAnsi="Arial"/>
          <w:sz w:val="21"/>
          <w:szCs w:val="21"/>
          <w:u w:val="single" w:color="auto"/>
          <w:color w:val="auto"/>
        </w:rPr>
        <w:t>Section 14.1</w:t>
      </w:r>
      <w:r>
        <w:rPr>
          <w:rFonts w:ascii="Arial" w:cs="Arial" w:eastAsia="Arial" w:hAnsi="Arial"/>
          <w:sz w:val="21"/>
          <w:szCs w:val="21"/>
          <w:color w:val="auto"/>
        </w:rPr>
        <w:t xml:space="preserve"> hereof and, except as expressly required pursuant to </w:t>
      </w:r>
      <w:r>
        <w:rPr>
          <w:rFonts w:ascii="Arial" w:cs="Arial" w:eastAsia="Arial" w:hAnsi="Arial"/>
          <w:sz w:val="21"/>
          <w:szCs w:val="21"/>
          <w:u w:val="single" w:color="auto"/>
          <w:color w:val="auto"/>
        </w:rPr>
        <w:t>Section 14.1</w:t>
      </w:r>
      <w:r>
        <w:rPr>
          <w:rFonts w:ascii="Arial" w:cs="Arial" w:eastAsia="Arial" w:hAnsi="Arial"/>
          <w:sz w:val="21"/>
          <w:szCs w:val="21"/>
          <w:color w:val="auto"/>
        </w:rPr>
        <w:t xml:space="preserve"> hereof, no consent or approval by any Loan Parties is required in connection with any such assignment.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AMENDMENTS; WAIVERS.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Amendments and Waivers</w:t>
      </w:r>
    </w:p>
    <w:p>
      <w:pPr>
        <w:spacing w:after="0" w:line="212" w:lineRule="exact"/>
        <w:rPr>
          <w:sz w:val="20"/>
          <w:szCs w:val="20"/>
          <w:color w:val="auto"/>
        </w:rPr>
      </w:pPr>
    </w:p>
    <w:p>
      <w:pPr>
        <w:jc w:val="both"/>
        <w:ind w:firstLine="8"/>
        <w:spacing w:after="0" w:line="279" w:lineRule="auto"/>
        <w:tabs>
          <w:tab w:leader="none" w:pos="175"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No amendment or waiver of any provision of this Agreement or any other Loan Document, and no consent with respect to any departure by the Loan Parties therefrom, shall be effective unless the same shall be in writing and signed by the Required Lenders (or by Agent at the written request of the Required Lenders) and Administrative Borrower (on behalf of all Loan Parties) and then any such waiver or consent shall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waiver, amendment, or consent shall, unless in writing and signed by all of the Lenders affected thereby and Administrative Borrower (on behalf of all Borrowers) and acknowledged by Agent, do any of the following:</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increase or extend any Commitment of any Lender,</w:t>
      </w:r>
    </w:p>
    <w:p>
      <w:pPr>
        <w:spacing w:after="0" w:line="206"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postpone or delay any date fixed by this Agreement or any other Loan Document for any payment of principal, interest, fees, or other amounts due hereunder or under any other Loan Document,</w:t>
      </w:r>
    </w:p>
    <w:p>
      <w:pPr>
        <w:spacing w:after="0" w:line="175"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reduce the principal of, or the rate of interest on, any loan or other extension of credit hereunder, or reduce any fees or other amounts payable hereunder or under any other Loan Document,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change the percentage of the Commitments that is required to take any action hereunder,</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amend this Section or any provision of the Agreement providing for consent or other action by all Lenders,</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release Collateral other than as permitted by </w:t>
      </w:r>
      <w:r>
        <w:rPr>
          <w:rFonts w:ascii="Arial" w:cs="Arial" w:eastAsia="Arial" w:hAnsi="Arial"/>
          <w:sz w:val="22"/>
          <w:szCs w:val="22"/>
          <w:u w:val="single" w:color="auto"/>
          <w:color w:val="auto"/>
        </w:rPr>
        <w:t>Section 16.12</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change the definition of "Required Lenders",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contractually subordinate any of the Agent's Liens,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release any Loan Party from any obligation for the payment of money, or</w:t>
      </w:r>
    </w:p>
    <w:p>
      <w:pPr>
        <w:spacing w:after="0" w:line="206"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 xml:space="preserve">change the definition of Borrowing Base or the definitions of Eligible Accounts, Eligible Inventory, Eligible Raw Inventory, Eligible Inventory, Maximum Revolver Amount, or change </w:t>
      </w:r>
      <w:r>
        <w:rPr>
          <w:rFonts w:ascii="Arial" w:cs="Arial" w:eastAsia="Arial" w:hAnsi="Arial"/>
          <w:sz w:val="22"/>
          <w:szCs w:val="22"/>
          <w:u w:val="single" w:color="auto"/>
          <w:color w:val="auto"/>
        </w:rPr>
        <w:t>Section 2.1(b)</w:t>
      </w:r>
      <w:r>
        <w:rPr>
          <w:rFonts w:ascii="Arial" w:cs="Arial" w:eastAsia="Arial" w:hAnsi="Arial"/>
          <w:sz w:val="22"/>
          <w:szCs w:val="22"/>
          <w:color w:val="auto"/>
        </w:rPr>
        <w:t>; or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amend any of the provisions of </w:t>
      </w:r>
      <w:r>
        <w:rPr>
          <w:rFonts w:ascii="Arial" w:cs="Arial" w:eastAsia="Arial" w:hAnsi="Arial"/>
          <w:sz w:val="22"/>
          <w:szCs w:val="22"/>
          <w:u w:val="single" w:color="auto"/>
          <w:color w:val="auto"/>
        </w:rPr>
        <w:t>Section 16</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9" w:name="page170"/>
    <w:bookmarkEnd w:id="169"/>
    <w:p>
      <w:pPr>
        <w:jc w:val="both"/>
        <w:spacing w:after="0" w:line="235" w:lineRule="auto"/>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amendment, waiver or consent shall, unless in writing and signed by Agent, Issuing Bank, or Swing Lender, affect the rights or duties of Agent, Issuing Bank, or Swing Lender, as applicable, under this Agreement or any other Loan Document. The foregoing notwithstanding, any amendment, modification, waiver, consent, termination, or release of, or with respect to, any provision of this Agreement or any other Loan Document that relates only to the relationship of the Lender Group among themselves, and that does not affect the rights or obligations of Loan Parties, shall not require consent by or the agreement of Loan Parties.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Replacement of Holdout Lender</w:t>
      </w:r>
    </w:p>
    <w:p>
      <w:pPr>
        <w:spacing w:after="0" w:line="212" w:lineRule="exact"/>
        <w:rPr>
          <w:sz w:val="20"/>
          <w:szCs w:val="20"/>
          <w:color w:val="auto"/>
        </w:rPr>
      </w:pPr>
    </w:p>
    <w:p>
      <w:pPr>
        <w:jc w:val="both"/>
        <w:ind w:firstLine="8"/>
        <w:spacing w:after="0" w:line="248" w:lineRule="auto"/>
        <w:tabs>
          <w:tab w:leader="none" w:pos="174" w:val="left"/>
        </w:tabs>
        <w:numPr>
          <w:ilvl w:val="0"/>
          <w:numId w:val="136"/>
        </w:numPr>
        <w:rPr>
          <w:rFonts w:ascii="Arial" w:cs="Arial" w:eastAsia="Arial" w:hAnsi="Arial"/>
          <w:sz w:val="21"/>
          <w:szCs w:val="21"/>
          <w:color w:val="auto"/>
        </w:rPr>
      </w:pPr>
      <w:r>
        <w:rPr>
          <w:rFonts w:ascii="Arial" w:cs="Arial" w:eastAsia="Arial" w:hAnsi="Arial"/>
          <w:sz w:val="21"/>
          <w:szCs w:val="21"/>
          <w:color w:val="auto"/>
        </w:rPr>
        <w:t>If any action to be taken by the Lender Group or Agent hereunder requires the unanimous consent, authorization, or agreement of all Lenders, and a Lender ("</w:t>
      </w:r>
      <w:r>
        <w:rPr>
          <w:rFonts w:ascii="Arial" w:cs="Arial" w:eastAsia="Arial" w:hAnsi="Arial"/>
          <w:sz w:val="21"/>
          <w:szCs w:val="21"/>
          <w:u w:val="single" w:color="auto"/>
          <w:color w:val="auto"/>
        </w:rPr>
        <w:t>Holdout Lender</w:t>
      </w:r>
      <w:r>
        <w:rPr>
          <w:rFonts w:ascii="Arial" w:cs="Arial" w:eastAsia="Arial" w:hAnsi="Arial"/>
          <w:sz w:val="21"/>
          <w:szCs w:val="21"/>
          <w:color w:val="auto"/>
        </w:rPr>
        <w:t>") fails to give its consent, authorization, or agreement, then Agent, upon at least 5 Business Days prior irrevocable notice to the Holdout Lender, may permanently replace the Holdout Lender with one or more substitute Lenders (each, a "</w:t>
      </w:r>
      <w:r>
        <w:rPr>
          <w:rFonts w:ascii="Arial" w:cs="Arial" w:eastAsia="Arial" w:hAnsi="Arial"/>
          <w:sz w:val="21"/>
          <w:szCs w:val="21"/>
          <w:u w:val="single" w:color="auto"/>
          <w:color w:val="auto"/>
        </w:rPr>
        <w:t>Replacement Lender</w:t>
      </w:r>
      <w:r>
        <w:rPr>
          <w:rFonts w:ascii="Arial" w:cs="Arial" w:eastAsia="Arial" w:hAnsi="Arial"/>
          <w:sz w:val="21"/>
          <w:szCs w:val="21"/>
          <w:color w:val="auto"/>
        </w:rPr>
        <w:t>"), and the Holdout Lender shall have not right to refuse to be replaced hereunder. Such notice to replace the Holdout Lender shall specify an effective date for such replacement, which date shall not be later than 15 Business Days after the date such notice is given.</w:t>
      </w:r>
    </w:p>
    <w:p>
      <w:pPr>
        <w:spacing w:after="0" w:line="177"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 xml:space="preserve">Prior to the effective date of such replacement, the Holdout Lender and each Replacement Lender shall execute and deliver an Assignment and Acceptance Agreement, subject only to the Holdout Lender being repaid its share of the outstanding Obligations (including an assumption of its Pro Rata Share of the Risk Participation Liability) without any premium or penalty of any kind whatsoever. If the Holdout Lender shall refuse or fail to execute and deliver any such Assignment and Acceptance Agreement prior to the effective date of such replacement, the Holdout Lender shall be deemed to have executed and delivered such Assignment and Acceptance Agreement. The replacement of any Holdout Lender shall be made in accordance with the terms of </w:t>
      </w:r>
      <w:r>
        <w:rPr>
          <w:rFonts w:ascii="Arial" w:cs="Arial" w:eastAsia="Arial" w:hAnsi="Arial"/>
          <w:sz w:val="19"/>
          <w:szCs w:val="19"/>
          <w:u w:val="single" w:color="auto"/>
          <w:color w:val="auto"/>
        </w:rPr>
        <w:t>Section 14.1</w:t>
      </w:r>
      <w:r>
        <w:rPr>
          <w:rFonts w:ascii="Arial" w:cs="Arial" w:eastAsia="Arial" w:hAnsi="Arial"/>
          <w:sz w:val="19"/>
          <w:szCs w:val="19"/>
          <w:color w:val="auto"/>
        </w:rPr>
        <w:t>. Until such time as the Replacement Lenders shall have acquired all of the Obligations, the Commitments, and the other rights and obligations of the Holdout Lender hereunder and under the other Loan Documents, the Holdout Lender shall remain obligated to make the Holdout Lender's Pro Rata Share of Advances and to purchase a participation in each Letter of Credit, in an amount equal to its Pro Rata Share of the Risk Participation Liability of such Letter of Credit.</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No Waivers; Cumulative Remedies</w:t>
      </w:r>
    </w:p>
    <w:p>
      <w:pPr>
        <w:spacing w:after="0" w:line="212" w:lineRule="exact"/>
        <w:rPr>
          <w:sz w:val="20"/>
          <w:szCs w:val="20"/>
          <w:color w:val="auto"/>
        </w:rPr>
      </w:pPr>
    </w:p>
    <w:p>
      <w:pPr>
        <w:jc w:val="both"/>
        <w:ind w:firstLine="8"/>
        <w:spacing w:after="0" w:line="279" w:lineRule="auto"/>
        <w:tabs>
          <w:tab w:leader="none" w:pos="16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No failure by Agent or any Lender to exercise any right, remedy, or option under this Agreement 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Borrowers of any provision of this Agreement. Agent's and each Lender's rights under this Agreement and the other Loan Documents will be cumulative and not exclusive of any other right or remedy that Agent or any Lender may have.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b w:val="1"/>
          <w:bCs w:val="1"/>
          <w:color w:val="auto"/>
        </w:rPr>
        <w:t>AGENT; THE LENDER GROUP.</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Appointment and Authorization of Agent</w:t>
      </w:r>
    </w:p>
    <w:p>
      <w:pPr>
        <w:spacing w:after="0" w:line="212" w:lineRule="exact"/>
        <w:rPr>
          <w:sz w:val="20"/>
          <w:szCs w:val="20"/>
          <w:color w:val="auto"/>
        </w:rPr>
      </w:pPr>
    </w:p>
    <w:p>
      <w:pPr>
        <w:jc w:val="both"/>
        <w:ind w:firstLine="8"/>
        <w:spacing w:after="0" w:line="269" w:lineRule="auto"/>
        <w:tabs>
          <w:tab w:leader="none" w:pos="183"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Each Lender hereby designates and appoints WFCF as its representative under this Agreement and the other Loan Documents and each Lender hereby irrevocably authorizes Agent to take such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such on the express conditions contained in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are solely for the benefit of Agent, and the Lenders, and Loan Parties shall have no rights as a third party beneficiary of any of the provisions contained herein. Any provision to the contrary contained elsewhere in this Agreement or in any other Loan Document notwithstanding, Agent shall not have any duties or responsibilities, except those expressly set forth herein, nor shall Agent have or be deemed to have any fiduciary relationship with any Lender, and no implied covenants, functions, responsibilities, duties, obligations or liabilities shall be read into this Agreement or any other Loan Document or otherwise exist against Agent; it being expressly understood and agreed that the use of the word "Agent" is for convenience only, that WFCF is merely the representative of the Lenders, and only has the contractual duties set forth herein.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the Collections, and related matters, (b) execute or file any and all financing or similar statements or notices, amendments, renewals, supplements, documents, instruments, proofs of claim, notices and other written agreements with respect to the Loan Documents, (c) make Advances, for itself or on behalf of Lenders as provided in the Loan Documents, (d) exclusively receive, apply, and distribute the Collections as provided in the Loan Documents, (e) open and maintain such bank accounts and cash management accounts as Agent deems necessary and appropriate in accordance with the Loan Documents for the foregoing purposes with respect to the Collateral and the Collections, (f) perform, exercise, and enforce any and all other rights and remedies of the Lender Group with respect to Loan Parties, the Obligations, the Collateral, the Collections, or otherwise related to any of same as provided in the Loan Documents, and (g) incur and pay such Lender Group Expenses as Agent may deem necessary or appropriate for the performance and fulfillment of its functions and powers pursuant to the Loan Documents.</w:t>
      </w: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Delegation of Duties</w:t>
      </w:r>
    </w:p>
    <w:p>
      <w:pPr>
        <w:spacing w:after="0" w:line="212" w:lineRule="exact"/>
        <w:rPr>
          <w:sz w:val="20"/>
          <w:szCs w:val="20"/>
          <w:color w:val="auto"/>
        </w:rPr>
      </w:pPr>
    </w:p>
    <w:p>
      <w:pPr>
        <w:jc w:val="both"/>
        <w:ind w:firstLine="8"/>
        <w:spacing w:after="0"/>
        <w:tabs>
          <w:tab w:leader="none" w:pos="189"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Agent may execute any of its duties under this Agreement or any other Loan Document by or through agents, employees or attorneys-in- fact and shall be entitled to advice of counsel concerning all matters pertaining to such duties. Agent shall not be responsible for the negligence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1" w:name="page172"/>
    <w:bookmarkEnd w:id="171"/>
    <w:p>
      <w:pPr>
        <w:spacing w:after="0" w:line="250" w:lineRule="auto"/>
        <w:rPr>
          <w:sz w:val="20"/>
          <w:szCs w:val="20"/>
          <w:color w:val="auto"/>
        </w:rPr>
      </w:pPr>
      <w:r>
        <w:rPr>
          <w:rFonts w:ascii="Arial" w:cs="Arial" w:eastAsia="Arial" w:hAnsi="Arial"/>
          <w:sz w:val="22"/>
          <w:szCs w:val="22"/>
          <w:color w:val="auto"/>
        </w:rPr>
        <w:t>or misconduct of any agent or attorney-in-fact that it selects as long as such selection was made without gross negligence or willful misconduct.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Liability of Agent</w:t>
      </w:r>
    </w:p>
    <w:p>
      <w:pPr>
        <w:spacing w:after="0" w:line="212" w:lineRule="exact"/>
        <w:rPr>
          <w:sz w:val="20"/>
          <w:szCs w:val="20"/>
          <w:color w:val="auto"/>
        </w:rPr>
      </w:pPr>
    </w:p>
    <w:p>
      <w:pPr>
        <w:jc w:val="both"/>
        <w:ind w:firstLine="8"/>
        <w:spacing w:after="0" w:line="273" w:lineRule="auto"/>
        <w:tabs>
          <w:tab w:leader="none" w:pos="19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None of the Agent-Related Persons shall (i) be liable for any action taken or omitted to be taken by any of them under or in connection with this Agreement or any other Loan Document or the transactions contemplated hereby (except for its own gross negligence or willful misconduct), or (ii) be responsible in any manner to any of the Lenders for any recital, statement, representation or warranty made by any Loan Party or any Subsidiary or Affiliate of any Loan Party,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any other party to any Loan Document to perform its obligations hereunder or thereunder. No Agent-Related Person shall be under any obligation to any Lender to ascertain or to inquire as to the observance or performance of any of the agreements contained in, or conditions of, this Agreement or any other Loan Document, or to inspect the Books or properties of Loan Parties or the books or records or properties of any of Loan Parties' Subsidiaries or Affiliates.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Reliance by Agent</w:t>
      </w:r>
    </w:p>
    <w:p>
      <w:pPr>
        <w:spacing w:after="0" w:line="212" w:lineRule="exact"/>
        <w:rPr>
          <w:sz w:val="20"/>
          <w:szCs w:val="20"/>
          <w:color w:val="auto"/>
        </w:rPr>
      </w:pPr>
    </w:p>
    <w:p>
      <w:pPr>
        <w:jc w:val="both"/>
        <w:ind w:firstLine="8"/>
        <w:spacing w:after="0" w:line="273" w:lineRule="auto"/>
        <w:tabs>
          <w:tab w:leader="none" w:pos="169"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Agent shall be entitled to rely, and shall be fully protected in relying, upon any writing, resolution, notice, consent, certificate, affidavit, letter, telegram, facsimile, telex or telephone message, statement or other document or conversation believed by it to be genuine and correct and to have been signed, sent, or made by the proper Person or Persons, and upon advice and statements of legal counsel (including counsel to Loan Parties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Lenders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Lenders and such request and any action taken or failure to act pursuant thereto shall be binding upon all of the Lenders.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Notice of Default or Event of Default</w:t>
      </w:r>
    </w:p>
    <w:p>
      <w:pPr>
        <w:spacing w:after="0" w:line="212" w:lineRule="exact"/>
        <w:rPr>
          <w:sz w:val="20"/>
          <w:szCs w:val="20"/>
          <w:color w:val="auto"/>
        </w:rPr>
      </w:pPr>
    </w:p>
    <w:p>
      <w:pPr>
        <w:jc w:val="both"/>
        <w:ind w:firstLine="8"/>
        <w:spacing w:after="0" w:line="249" w:lineRule="auto"/>
        <w:tabs>
          <w:tab w:leader="none" w:pos="201" w:val="left"/>
        </w:tabs>
        <w:numPr>
          <w:ilvl w:val="0"/>
          <w:numId w:val="142"/>
        </w:numPr>
        <w:rPr>
          <w:rFonts w:ascii="Arial" w:cs="Arial" w:eastAsia="Arial" w:hAnsi="Arial"/>
          <w:sz w:val="21"/>
          <w:szCs w:val="21"/>
          <w:color w:val="auto"/>
        </w:rPr>
      </w:pPr>
      <w:r>
        <w:rPr>
          <w:rFonts w:ascii="Arial" w:cs="Arial" w:eastAsia="Arial" w:hAnsi="Arial"/>
          <w:sz w:val="21"/>
          <w:szCs w:val="21"/>
          <w:color w:val="auto"/>
        </w:rPr>
        <w:t>Agent shall not be deemed to have knowledge or notice of the occurrence of any Default or Event of Default, except with respect to defaults in the payment of principal, interest, fees, and expenses required to be paid to Agent for the account of the Lenders, except with respect to Events of Default of which Agent has actual knowledge, unless Agent shall have received written notice from a Lender or Administrative Borrower referring to this Agreement, describing such Default or Event of Default, and stating that such notice is a "notice of default." Agent promptly will notify the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2" w:name="page173"/>
    <w:bookmarkEnd w:id="172"/>
    <w:p>
      <w:pPr>
        <w:jc w:val="both"/>
        <w:spacing w:after="0" w:line="234" w:lineRule="auto"/>
        <w:rPr>
          <w:sz w:val="20"/>
          <w:szCs w:val="20"/>
          <w:color w:val="auto"/>
        </w:rPr>
      </w:pPr>
      <w:r>
        <w:rPr>
          <w:rFonts w:ascii="Arial" w:cs="Arial" w:eastAsia="Arial" w:hAnsi="Arial"/>
          <w:sz w:val="22"/>
          <w:szCs w:val="22"/>
          <w:color w:val="auto"/>
        </w:rPr>
        <w:t xml:space="preserve">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Agent shall take such action with respect to such Default or Event of Default as may be requested by the Required Lenders in accordance with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unless and until Agent has received any such request, Agent may (but shall not be obligated to) take such action, or refrain from taking such action, with respect to such Default or Event of Default as it shall deem advisable.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Credit Decision</w:t>
      </w:r>
    </w:p>
    <w:p>
      <w:pPr>
        <w:spacing w:after="0" w:line="212" w:lineRule="exact"/>
        <w:rPr>
          <w:sz w:val="20"/>
          <w:szCs w:val="20"/>
          <w:color w:val="auto"/>
        </w:rPr>
      </w:pPr>
    </w:p>
    <w:p>
      <w:pPr>
        <w:jc w:val="both"/>
        <w:ind w:firstLine="8"/>
        <w:spacing w:after="0" w:line="270" w:lineRule="auto"/>
        <w:tabs>
          <w:tab w:leader="none" w:pos="185"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Lender acknowledges that none of the Agent-Related Persons has made any representation or warranty to it, and that no act by Agent hereinafter taken, including any review of the affairs of Loan Parties and their Subsidiaries or Affiliates, shall be deemed to constitute any representation or warranty by any Agent-Related Person to any Lender. Each Lender represents to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Loan Parties and any other Person (other than the Lender Group) party to a Loan Document, and all applicable bank regulatory laws relating to the transactions contemplated hereby, and made its own decision to enter into this Agreement and to extend credit to Loan Parties.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Borrowers and any other Person (other than the Lender Group) party to a Loan Document. Except for notices, reports, and other documents expressly herein required to be furnished to the Lenders by Agent, Agent shall not have any duty or responsibility to provide any Lender with any credit or other information concerning the business, prospects, operations, property, financial and other condition or creditworthiness of Loan Parties and any other Person party to a Loan Document that may come into the possession of any of the Agent-Related Persons.</w:t>
      </w:r>
    </w:p>
    <w:p>
      <w:pPr>
        <w:spacing w:after="0" w:line="200" w:lineRule="exact"/>
        <w:rPr>
          <w:sz w:val="20"/>
          <w:szCs w:val="20"/>
          <w:color w:val="auto"/>
        </w:rPr>
      </w:pPr>
    </w:p>
    <w:p>
      <w:pPr>
        <w:spacing w:after="0" w:line="20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Costs and Expenses; Indemnification</w:t>
      </w:r>
    </w:p>
    <w:p>
      <w:pPr>
        <w:spacing w:after="0" w:line="212" w:lineRule="exact"/>
        <w:rPr>
          <w:sz w:val="20"/>
          <w:szCs w:val="20"/>
          <w:color w:val="auto"/>
        </w:rPr>
      </w:pPr>
    </w:p>
    <w:p>
      <w:pPr>
        <w:jc w:val="both"/>
        <w:ind w:firstLine="8"/>
        <w:spacing w:after="0" w:line="245" w:lineRule="auto"/>
        <w:tabs>
          <w:tab w:leader="none" w:pos="218" w:val="left"/>
        </w:tabs>
        <w:numPr>
          <w:ilvl w:val="0"/>
          <w:numId w:val="144"/>
        </w:numPr>
        <w:rPr>
          <w:rFonts w:ascii="Arial" w:cs="Arial" w:eastAsia="Arial" w:hAnsi="Arial"/>
          <w:sz w:val="21"/>
          <w:szCs w:val="21"/>
          <w:color w:val="auto"/>
        </w:rPr>
      </w:pPr>
      <w:r>
        <w:rPr>
          <w:rFonts w:ascii="Arial" w:cs="Arial" w:eastAsia="Arial" w:hAnsi="Arial"/>
          <w:sz w:val="21"/>
          <w:szCs w:val="21"/>
          <w:color w:val="auto"/>
        </w:rPr>
        <w:t>Agent may incur and pay Lender Group Expenses to the extent Agent reasonably deems necessary or appropriate for the performance and fulfillment of its functions, powers, and obligations pursuant to the Loan Documents, including court costs, reasonable attorneys' fees and expenses, costs of collection by outside collection agencies and auctioneer fees and costs of security guards or insurance premiums paid to maintain the Collateral, whether or not Loan Parties are obligated to reimburse Agent or Lenders for such expenses pursuant to the Loan Agreement or otherwise. Agent is authorized and directed to deduct and retain sufficient amounts from Collections received by Agent to reimburse Agent for such out-of-pocket costs and expenses prior to the distribution of any amounts to Lenders. In the event Agent is not reimbursed for such costs and expenses from Collections received by Agent, each Lender hereby agrees that it is and shall be obligated to pay to or reimburse Agent for the amount of such Lender's Pro Rata Share thereof.</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3" w:name="page174"/>
    <w:bookmarkEnd w:id="173"/>
    <w:p>
      <w:pPr>
        <w:jc w:val="both"/>
        <w:spacing w:after="0" w:line="272" w:lineRule="auto"/>
        <w:rPr>
          <w:sz w:val="20"/>
          <w:szCs w:val="20"/>
          <w:color w:val="auto"/>
        </w:rPr>
      </w:pPr>
      <w:r>
        <w:rPr>
          <w:rFonts w:ascii="Arial" w:cs="Arial" w:eastAsia="Arial" w:hAnsi="Arial"/>
          <w:sz w:val="19"/>
          <w:szCs w:val="19"/>
          <w:color w:val="auto"/>
        </w:rPr>
        <w:t xml:space="preserve">Whether or not the transactions contemplated hereby are consummated, the Lenders shall indemnify upon demand the Agent-Related Persons (to the extent not reimbursed by or on behalf of Loan Parties and without limiting the obligation of Loan Parties to do so), according to their Pro Rata Shares, from and against any and all Indemnified Liabilities;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an Advance or other extension of credit hereunder. Without limitation of the foregoing, each Lender shall reimburse Agent upon demand for such Lender's ratable share of any costs or out-of-pocket expenses (including attorneys'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Agent is not reimbursed for such expenses by or on behalf of Loan Parties. The undertaking in this Section shall survive the payment of all Obligations hereunder and the resignation or replacement of Agent.</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Agent in Individual Capacity</w:t>
      </w:r>
    </w:p>
    <w:p>
      <w:pPr>
        <w:spacing w:after="0" w:line="212" w:lineRule="exact"/>
        <w:rPr>
          <w:sz w:val="20"/>
          <w:szCs w:val="20"/>
          <w:color w:val="auto"/>
        </w:rPr>
      </w:pPr>
    </w:p>
    <w:p>
      <w:pPr>
        <w:jc w:val="both"/>
        <w:ind w:firstLine="8"/>
        <w:spacing w:after="0" w:line="244" w:lineRule="auto"/>
        <w:tabs>
          <w:tab w:leader="none" w:pos="212" w:val="left"/>
        </w:tabs>
        <w:numPr>
          <w:ilvl w:val="0"/>
          <w:numId w:val="145"/>
        </w:numPr>
        <w:rPr>
          <w:rFonts w:ascii="Arial" w:cs="Arial" w:eastAsia="Arial" w:hAnsi="Arial"/>
          <w:sz w:val="21"/>
          <w:szCs w:val="21"/>
          <w:color w:val="auto"/>
        </w:rPr>
      </w:pPr>
      <w:r>
        <w:rPr>
          <w:rFonts w:ascii="Arial" w:cs="Arial" w:eastAsia="Arial" w:hAnsi="Arial"/>
          <w:sz w:val="21"/>
          <w:szCs w:val="21"/>
          <w:color w:val="auto"/>
        </w:rPr>
        <w:t>Agent and its Affiliates may make loans to, issue letters of credit for the account of, accept deposits from, acquire equity interests in, and generally engage in any kind of banking, trust, financial advisory, underwriting, or other business with Loan Parties and their Subsidiaries and Affiliates and any other Person (other than the Lender Group) party to any Loan Documents as though Agent were not Agent hereunder, and, in each case, without notice to or consent of the other members of the Lender Group. The other members of the Lender Group acknowledge that, pursuant to such activities, Agent or its Affiliates may receive information regarding Loan Parties or their Affiliates and any other Person (other than the Lender Group) party to any Loan Documents that is subject to confidentiality obligations in favor of Loan Parties or such other Person and that prohibit the disclosure of such information to the Lenders, and the Lenders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Agent in its individual capacity.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Successor Agent</w:t>
      </w:r>
    </w:p>
    <w:p>
      <w:pPr>
        <w:spacing w:after="0" w:line="212" w:lineRule="exact"/>
        <w:rPr>
          <w:sz w:val="20"/>
          <w:szCs w:val="20"/>
          <w:color w:val="auto"/>
        </w:rPr>
      </w:pPr>
    </w:p>
    <w:p>
      <w:pPr>
        <w:jc w:val="both"/>
        <w:ind w:firstLine="8"/>
        <w:spacing w:after="0" w:line="274" w:lineRule="auto"/>
        <w:tabs>
          <w:tab w:leader="none" w:pos="16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Agent may resign as Agent upon 45 days' notice to the Lenders. If Agent resigns under this Agreement, the Required Lenders shall appoint a successor Agent for the Lenders. If no successor Agent is appointed prior to the effective date of the resignation of Agent, Agent may appoint, after consulting with the Lenders, a successor Agent. If Agent has materially breached or failed to perform any material provision of this Agreement or of applicable law, the Required Lenders may agree in writing to remove and replace Agent with a successor Agent from among the Lenders.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shall inure to its benefit as to any actions taken or omitted to be taken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4" w:name="page175"/>
    <w:bookmarkEnd w:id="174"/>
    <w:p>
      <w:pPr>
        <w:jc w:val="both"/>
        <w:spacing w:after="0" w:line="238" w:lineRule="auto"/>
        <w:rPr>
          <w:sz w:val="20"/>
          <w:szCs w:val="20"/>
          <w:color w:val="auto"/>
        </w:rPr>
      </w:pPr>
      <w:r>
        <w:rPr>
          <w:rFonts w:ascii="Arial" w:cs="Arial" w:eastAsia="Arial" w:hAnsi="Arial"/>
          <w:sz w:val="22"/>
          <w:szCs w:val="22"/>
          <w:color w:val="auto"/>
        </w:rPr>
        <w:t>by it while it was Agent under this Agreement. If no successor Agent has accepted appointment as Agent by the date which is 45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Lender in Individual Capacity</w:t>
      </w:r>
    </w:p>
    <w:p>
      <w:pPr>
        <w:spacing w:after="0" w:line="212" w:lineRule="exact"/>
        <w:rPr>
          <w:sz w:val="20"/>
          <w:szCs w:val="20"/>
          <w:color w:val="auto"/>
        </w:rPr>
      </w:pPr>
    </w:p>
    <w:p>
      <w:pPr>
        <w:jc w:val="both"/>
        <w:ind w:firstLine="8"/>
        <w:spacing w:after="0" w:line="272" w:lineRule="auto"/>
        <w:tabs>
          <w:tab w:leader="none" w:pos="19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Any Lender and its respective Affiliates may make loans to, issue letters of credit for the account of, accept deposits from, acquire equity interests in and generally engage in any kind of banking, trust, financial advisory, underwriting or other business with Loan Parties and their Subsidiaries and Affiliates and any other Person (other than the Lender Group) party to any Loan Documents as though such Lender were not a Lender hereunder without notice to or consent of the other members of the Lender Group. The other members of the Lender Group acknowledge that, pursuant to such activities, such Lender and its respective Affiliates may receive information regarding Loan Parties or their Affiliates and any other Person (other than the Lender Group) party to any Loan Documents that is subject to confidentiality obligations in favor of Loan Parties or such other Person and that prohibit the disclosure of such information to the Lenders, and the Lenders acknowledge that, in such circumstances (and in the absence of a waiver of such confidentiality obligations, which waiver such Lender will use its reasonable best efforts to obtain), such Lender not shall be under any obligation to provide such information to them. With respect to the Swing Loans and Agent Advances, Swing Lender shall have the same rights and powers under this Agreement as any other Lender and may exercise the same as though it were not the sub-agent of the Agent.</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Withholding Taxes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77" w:lineRule="auto"/>
        <w:tabs>
          <w:tab w:leader="none" w:pos="185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Agent and Administrative Borrower on or prior to the date on which such Lender becomes a Lender under this Agreement (and from time to time thereafter upon the reasonable request of the Agent or Administrative Borrower) executed copies of IRS Form W-9 certifying that such Lender is exempt for U.S. federal backup withholding Tax; (B) Any Lender that is a Foreign Lender shall, to the extent it is legally entitled to do so, deliver to the Agent and the Administrative Borrower (in such number of copies as shall be reasonably requested by the recipient) on or prior to the date on which such Foreign Lender becomes a Lender under this Agreement and from time to time thereafter upon the reasonable request of the Agent or the Administrative Borrower, whichever of the following is applicable:</w:t>
      </w:r>
    </w:p>
    <w:p>
      <w:pPr>
        <w:spacing w:after="0" w:line="152" w:lineRule="exact"/>
        <w:rPr>
          <w:sz w:val="20"/>
          <w:szCs w:val="20"/>
          <w:color w:val="auto"/>
        </w:rPr>
      </w:pPr>
    </w:p>
    <w:p>
      <w:pPr>
        <w:jc w:val="both"/>
        <w:ind w:firstLine="2246"/>
        <w:spacing w:after="0" w:line="273" w:lineRule="auto"/>
        <w:rPr>
          <w:sz w:val="20"/>
          <w:szCs w:val="20"/>
          <w:color w:val="auto"/>
        </w:rPr>
      </w:pPr>
      <w:r>
        <w:rPr>
          <w:rFonts w:ascii="Arial" w:cs="Arial" w:eastAsia="Arial" w:hAnsi="Arial"/>
          <w:sz w:val="19"/>
          <w:szCs w:val="19"/>
          <w:color w:val="auto"/>
        </w:rPr>
        <w:t>if such Foreign Lender claims an exemption from withholding tax pursuant to the portfolio interest exemption, (a) a statement of the Lender, signed under penalty of perjury, that it is not a (I) a "bank" as described in Section 881(c)(3)(A) of the IRC, (II) a 10% shareholder (within the meaning of Section 881(c)(3)(B) of the IRC) of any Borrower, or</w:t>
      </w:r>
    </w:p>
    <w:p>
      <w:pPr>
        <w:spacing w:after="0" w:line="1" w:lineRule="exact"/>
        <w:rPr>
          <w:sz w:val="20"/>
          <w:szCs w:val="20"/>
          <w:color w:val="auto"/>
        </w:rPr>
      </w:pPr>
    </w:p>
    <w:p>
      <w:pPr>
        <w:ind w:firstLine="8"/>
        <w:spacing w:after="0" w:line="236" w:lineRule="auto"/>
        <w:tabs>
          <w:tab w:leader="none" w:pos="433"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 controlled foreign corporation described in Section 881(c)(3)(C) of the IRC, and (B) executed copies of IRS Form W8-BEN or W-8BEN-E;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5" w:name="page176"/>
    <w:bookmarkEnd w:id="175"/>
    <w:p>
      <w:pPr>
        <w:jc w:val="both"/>
        <w:ind w:firstLine="2246"/>
        <w:spacing w:after="0" w:line="250" w:lineRule="auto"/>
        <w:rPr>
          <w:sz w:val="20"/>
          <w:szCs w:val="20"/>
          <w:color w:val="auto"/>
        </w:rPr>
      </w:pPr>
      <w:r>
        <w:rPr>
          <w:rFonts w:ascii="Arial" w:cs="Arial" w:eastAsia="Arial" w:hAnsi="Arial"/>
          <w:sz w:val="22"/>
          <w:szCs w:val="22"/>
          <w:color w:val="auto"/>
        </w:rPr>
        <w:t>if such Foreign Lender claims an exemption from, or a reduction of, withholding tax under a United States tax treaty, executed copies of IRS Form W-8BEN or W-8BEN-E;</w:t>
      </w:r>
    </w:p>
    <w:p>
      <w:pPr>
        <w:spacing w:after="0" w:line="175"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if such Foreign Lender claims that interest paid under this Agreement is exempt from United States withholding tax because it is effectively connected with a United States trade or business of such Lender, executed copies of IRS Form W-8ECI;</w:t>
      </w:r>
    </w:p>
    <w:p>
      <w:pPr>
        <w:spacing w:after="0" w:line="18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if such Foreign Lender is not the beneficial owner, executed copies of IRS Form W-8IMY, accompanied by IRS Form W- 8ECI, IRS Form W-8BEN, IRS Form W-9, and/or other certification documents from each beneficial owner, as applicable;</w:t>
      </w:r>
    </w:p>
    <w:p>
      <w:pPr>
        <w:spacing w:after="0" w:line="186"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such other form or forms as may be required under the IRC or other laws of the United States as a condition to exemption from, or reduction of, United States withholding tax.</w:t>
      </w:r>
    </w:p>
    <w:p>
      <w:pPr>
        <w:spacing w:after="0" w:line="175" w:lineRule="exact"/>
        <w:rPr>
          <w:sz w:val="20"/>
          <w:szCs w:val="20"/>
          <w:color w:val="auto"/>
        </w:rPr>
      </w:pPr>
    </w:p>
    <w:p>
      <w:pPr>
        <w:jc w:val="both"/>
        <w:ind w:firstLine="8"/>
        <w:spacing w:after="0" w:line="274" w:lineRule="auto"/>
        <w:tabs>
          <w:tab w:leader="none" w:pos="367"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the Administrative Borrower and the Agent at the time or times prescribed by law and at such time or times reasonably requested by the Administrative Borrower or the Agent such documentation prescribed by applicable law (including as prescribed by Section 1471(b)(3)(C)(i) of the IRC) and such additional documentation reasonably requested by the Administrative Borrower or the Agent as may be necessary for the Administrative Borrower and the Agent to comply with their obligations under FATCA and to determine that such Lender has complied with such Lender's obligations under FATCA or to determine the amount to deduct and withhold from such payment. Solely for purposes of this clause (C), "FATCA" shall include any amendments made to FATCA after the date of this Agreement.</w:t>
      </w:r>
    </w:p>
    <w:p>
      <w:pPr>
        <w:spacing w:after="0" w:line="15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The Lenders agree that if any form or certification it previously delivered becomes obsolete or inaccurate in any respect, it shall update such form or certification or promptly notify the Agent and Administrative Borrower in writing of its legal inability to do so.</w:t>
      </w:r>
    </w:p>
    <w:p>
      <w:pPr>
        <w:spacing w:after="0" w:line="186"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 xml:space="preserve">Each Lender shall severally indemnify the </w:t>
      </w:r>
      <w:r>
        <w:rPr>
          <w:rFonts w:ascii="Arial" w:cs="Arial" w:eastAsia="Arial" w:hAnsi="Arial"/>
          <w:sz w:val="19"/>
          <w:szCs w:val="19"/>
          <w:color w:val="FF0000"/>
          <w:strike w:val="1"/>
        </w:rPr>
        <w:t>Administrative</w:t>
      </w:r>
      <w:r>
        <w:rPr>
          <w:rFonts w:ascii="Arial" w:cs="Arial" w:eastAsia="Arial" w:hAnsi="Arial"/>
          <w:sz w:val="19"/>
          <w:szCs w:val="19"/>
          <w:color w:val="auto"/>
        </w:rPr>
        <w:t xml:space="preserve"> Agent, within 10 days after demand therefor, for (i) any Indemnified Taxes attributable to such Lender (but only to the extent that any Loan Party has not already indemnified the </w:t>
      </w:r>
      <w:r>
        <w:rPr>
          <w:rFonts w:ascii="Arial" w:cs="Arial" w:eastAsia="Arial" w:hAnsi="Arial"/>
          <w:sz w:val="19"/>
          <w:szCs w:val="19"/>
          <w:color w:val="FF0000"/>
          <w:strike w:val="1"/>
        </w:rPr>
        <w:t>Administrative</w:t>
      </w:r>
      <w:r>
        <w:rPr>
          <w:rFonts w:ascii="Arial" w:cs="Arial" w:eastAsia="Arial" w:hAnsi="Arial"/>
          <w:sz w:val="19"/>
          <w:szCs w:val="19"/>
          <w:color w:val="FF0000"/>
        </w:rPr>
        <w:t xml:space="preserve"> </w:t>
      </w:r>
      <w:r>
        <w:rPr>
          <w:rFonts w:ascii="Arial" w:cs="Arial" w:eastAsia="Arial" w:hAnsi="Arial"/>
          <w:sz w:val="19"/>
          <w:szCs w:val="19"/>
          <w:color w:val="000000"/>
        </w:rPr>
        <w:t>Agent for such Indemnified Taxes and without limiting the obligation of the Loan Parties to do so), (ii) any Taxes</w:t>
      </w:r>
      <w:r>
        <w:rPr>
          <w:rFonts w:ascii="Arial" w:cs="Arial" w:eastAsia="Arial" w:hAnsi="Arial"/>
          <w:sz w:val="19"/>
          <w:szCs w:val="19"/>
          <w:color w:val="FF0000"/>
        </w:rPr>
        <w:t xml:space="preserve"> </w:t>
      </w:r>
      <w:r>
        <w:rPr>
          <w:rFonts w:ascii="Arial" w:cs="Arial" w:eastAsia="Arial" w:hAnsi="Arial"/>
          <w:sz w:val="19"/>
          <w:szCs w:val="19"/>
          <w:color w:val="000000"/>
        </w:rPr>
        <w:t xml:space="preserve">attributable to such Lender's failure to comply with the provisions of </w:t>
      </w:r>
      <w:r>
        <w:rPr>
          <w:rFonts w:ascii="Arial" w:cs="Arial" w:eastAsia="Arial" w:hAnsi="Arial"/>
          <w:sz w:val="19"/>
          <w:szCs w:val="19"/>
          <w:u w:val="single" w:color="auto"/>
          <w:color w:val="000000"/>
        </w:rPr>
        <w:t>Section 14.11(e)</w:t>
      </w:r>
      <w:r>
        <w:rPr>
          <w:rFonts w:ascii="Arial" w:cs="Arial" w:eastAsia="Arial" w:hAnsi="Arial"/>
          <w:sz w:val="19"/>
          <w:szCs w:val="19"/>
          <w:color w:val="000000"/>
        </w:rPr>
        <w:t xml:space="preserve"> relating to the maintenance of a Participant Register, and (iii) any Excluded Taxes attributable to such Lender, in each case, that are payable or paid by the </w:t>
      </w:r>
      <w:r>
        <w:rPr>
          <w:rFonts w:ascii="Arial" w:cs="Arial" w:eastAsia="Arial" w:hAnsi="Arial"/>
          <w:sz w:val="19"/>
          <w:szCs w:val="19"/>
          <w:color w:val="FF0000"/>
          <w:strike w:val="1"/>
        </w:rPr>
        <w:t>Administrative</w:t>
      </w:r>
      <w:r>
        <w:rPr>
          <w:rFonts w:ascii="Arial" w:cs="Arial" w:eastAsia="Arial" w:hAnsi="Arial"/>
          <w:sz w:val="19"/>
          <w:szCs w:val="19"/>
          <w:color w:val="000000"/>
        </w:rPr>
        <w:t xml:space="preser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w:t>
      </w:r>
      <w:r>
        <w:rPr>
          <w:rFonts w:ascii="Arial" w:cs="Arial" w:eastAsia="Arial" w:hAnsi="Arial"/>
          <w:sz w:val="19"/>
          <w:szCs w:val="19"/>
          <w:color w:val="FF0000"/>
          <w:strike w:val="1"/>
        </w:rPr>
        <w:t>Administrative</w:t>
      </w:r>
      <w:r>
        <w:rPr>
          <w:rFonts w:ascii="Arial" w:cs="Arial" w:eastAsia="Arial" w:hAnsi="Arial"/>
          <w:sz w:val="19"/>
          <w:szCs w:val="19"/>
          <w:color w:val="000000"/>
        </w:rPr>
        <w:t xml:space="preserve"> Agent shall be conclusive absent manifest error. Each Lender hereby authorizes the </w:t>
      </w:r>
      <w:r>
        <w:rPr>
          <w:rFonts w:ascii="Arial" w:cs="Arial" w:eastAsia="Arial" w:hAnsi="Arial"/>
          <w:sz w:val="19"/>
          <w:szCs w:val="19"/>
          <w:color w:val="FF0000"/>
          <w:strike w:val="1"/>
        </w:rPr>
        <w:t>Administrative</w:t>
      </w:r>
      <w:r>
        <w:rPr>
          <w:rFonts w:ascii="Arial" w:cs="Arial" w:eastAsia="Arial" w:hAnsi="Arial"/>
          <w:sz w:val="19"/>
          <w:szCs w:val="19"/>
          <w:color w:val="000000"/>
        </w:rPr>
        <w:t xml:space="preserve"> Agent to set off and apply any and all amounts at any time owing to such Lender under any Loan Document or otherwise payable by the </w:t>
      </w:r>
      <w:r>
        <w:rPr>
          <w:rFonts w:ascii="Arial" w:cs="Arial" w:eastAsia="Arial" w:hAnsi="Arial"/>
          <w:sz w:val="19"/>
          <w:szCs w:val="19"/>
          <w:color w:val="FF0000"/>
          <w:strike w:val="1"/>
        </w:rPr>
        <w:t>Administrative</w:t>
      </w:r>
      <w:r>
        <w:rPr>
          <w:rFonts w:ascii="Arial" w:cs="Arial" w:eastAsia="Arial" w:hAnsi="Arial"/>
          <w:sz w:val="19"/>
          <w:szCs w:val="19"/>
          <w:color w:val="000000"/>
        </w:rPr>
        <w:t xml:space="preserve"> Agent to the Lender from any other source against any amount due to the </w:t>
      </w:r>
      <w:r>
        <w:rPr>
          <w:rFonts w:ascii="Arial" w:cs="Arial" w:eastAsia="Arial" w:hAnsi="Arial"/>
          <w:sz w:val="19"/>
          <w:szCs w:val="19"/>
          <w:color w:val="FF0000"/>
          <w:strike w:val="1"/>
        </w:rPr>
        <w:t>Administrative</w:t>
      </w:r>
      <w:r>
        <w:rPr>
          <w:rFonts w:ascii="Arial" w:cs="Arial" w:eastAsia="Arial" w:hAnsi="Arial"/>
          <w:sz w:val="19"/>
          <w:szCs w:val="19"/>
          <w:color w:val="000000"/>
        </w:rPr>
        <w:t xml:space="preserve"> Agent under this subsection (b).</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6" w:name="page177"/>
    <w:bookmarkEnd w:id="176"/>
    <w:p>
      <w:pPr>
        <w:jc w:val="both"/>
        <w:ind w:firstLine="1497"/>
        <w:spacing w:after="0" w:line="272" w:lineRule="auto"/>
        <w:rPr>
          <w:sz w:val="20"/>
          <w:szCs w:val="20"/>
          <w:color w:val="auto"/>
        </w:rPr>
      </w:pPr>
      <w:r>
        <w:rPr>
          <w:rFonts w:ascii="Arial" w:cs="Arial" w:eastAsia="Arial" w:hAnsi="Arial"/>
          <w:sz w:val="19"/>
          <w:szCs w:val="19"/>
          <w:color w:val="auto"/>
        </w:rPr>
        <w:t>All payments made by the Loan Parties hereunder or under any note or other Loan Document will be made without setoff, counterclaim, or other defense, except as required by applicable law other than for Taxes. All such payments will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subsection) the applicable Lender or Agent receives an amount equal to the sum it would have received had no such deduction or withholding been made. The Loan Parties will furnish to Agent as promptly as possible after the date the payment of any Taxes is due pursuant to applicable law certified copies of tax receipts evidencing such payment by the Loan Parties.</w:t>
      </w:r>
    </w:p>
    <w:p>
      <w:pPr>
        <w:spacing w:after="0" w:line="200" w:lineRule="exact"/>
        <w:rPr>
          <w:sz w:val="20"/>
          <w:szCs w:val="20"/>
          <w:color w:val="auto"/>
        </w:rPr>
      </w:pPr>
    </w:p>
    <w:p>
      <w:pPr>
        <w:spacing w:after="0" w:line="208"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 xml:space="preserve">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16.11</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16.11</w:t>
      </w:r>
      <w:r>
        <w:rPr>
          <w:rFonts w:ascii="Arial" w:cs="Arial" w:eastAsia="Arial" w:hAnsi="Arial"/>
          <w:sz w:val="19"/>
          <w:szCs w:val="19"/>
          <w:color w:val="auto"/>
        </w:rPr>
        <w:t xml:space="preserve">), it shall pay to the indemnifying party an amount equal to such refund (but only to the extent of indemnity payments made under this </w:t>
      </w:r>
      <w:r>
        <w:rPr>
          <w:rFonts w:ascii="Arial" w:cs="Arial" w:eastAsia="Arial" w:hAnsi="Arial"/>
          <w:sz w:val="19"/>
          <w:szCs w:val="19"/>
          <w:u w:val="single" w:color="auto"/>
          <w:color w:val="auto"/>
        </w:rPr>
        <w:t>Section 16.11</w:t>
      </w:r>
      <w:r>
        <w:rPr>
          <w:rFonts w:ascii="Arial" w:cs="Arial" w:eastAsia="Arial" w:hAnsi="Arial"/>
          <w:sz w:val="19"/>
          <w:szCs w:val="19"/>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(d) (plus any penalties, interest or other charges imposed by the relevant Governmental Authority) in the event that such indemnified party is required to repay such refund to such Governmental Authority. Notwithstanding anything to the contrary in this subsection (d),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16.11</w:t>
      </w:r>
      <w:r>
        <w:rPr>
          <w:rFonts w:ascii="Arial" w:cs="Arial" w:eastAsia="Arial" w:hAnsi="Arial"/>
          <w:sz w:val="22"/>
          <w:szCs w:val="22"/>
          <w:color w:val="auto"/>
        </w:rPr>
        <w:t>, the term "applicable law" includes FATCA.</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Collateral Matters</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 xml:space="preserve">The Lenders hereby irrevocably authorize Agent, at its option and in its sole discretion, to release any Lien on any Collateral (i) upon the termination of the Commitments and payment and satisfaction in full by the Loan Parties of all Obligations, (ii) constituting property being sold or disposed of if a release is required or desirable in connection therewith and if Administrative Borrower certifies to Agent that the sale or disposition is permitted under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of this Agreement or the other Loan Documents (and Agent may rely conclusively on any such</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7" w:name="page178"/>
    <w:bookmarkEnd w:id="177"/>
    <w:p>
      <w:pPr>
        <w:jc w:val="both"/>
        <w:spacing w:after="0" w:line="272" w:lineRule="auto"/>
        <w:rPr>
          <w:sz w:val="20"/>
          <w:szCs w:val="20"/>
          <w:color w:val="auto"/>
        </w:rPr>
      </w:pPr>
      <w:r>
        <w:rPr>
          <w:rFonts w:ascii="Arial" w:cs="Arial" w:eastAsia="Arial" w:hAnsi="Arial"/>
          <w:sz w:val="19"/>
          <w:szCs w:val="19"/>
          <w:color w:val="auto"/>
        </w:rPr>
        <w:t xml:space="preserve">certificate, without further inquiry), (iii) constituting property in which no Loan Party owned any interest at the time the security interest was granted or at any time thereafter, or (iv) constituting property leased to a Loan Party under a lease that has expired or is terminated in a transaction permitted under this Agreement. Except as provided above, Agent will not execute and deliver a release of any Lien on any Collateral without the prior written authorization of (y) if the release is of all or any substantial portion of the Collateral, all of the Lenders, or (z) otherwise, the Required Lenders. Upon request by Agent or Administrative Borrower at any time, the Lenders will confirm in writing Agent's authority to release any such Liens on particular types or items of Collateral pursuant to this </w:t>
      </w:r>
      <w:r>
        <w:rPr>
          <w:rFonts w:ascii="Arial" w:cs="Arial" w:eastAsia="Arial" w:hAnsi="Arial"/>
          <w:sz w:val="19"/>
          <w:szCs w:val="19"/>
          <w:u w:val="single" w:color="auto"/>
          <w:color w:val="auto"/>
        </w:rPr>
        <w:t>Section 16.12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(1) Agent shall not be required to execute any document necessary to evidence such release on terms that, in Agent's opinion, would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being released) upon (or obligations of Loan Parties in respect of) all interests retained by the Loan Parties, including, the proceeds of any sale, all of which shall continue to constitute part of the Collateral.</w:t>
      </w:r>
    </w:p>
    <w:p>
      <w:pPr>
        <w:spacing w:after="0" w:line="200" w:lineRule="exact"/>
        <w:rPr>
          <w:sz w:val="20"/>
          <w:szCs w:val="20"/>
          <w:color w:val="auto"/>
        </w:rPr>
      </w:pPr>
    </w:p>
    <w:p>
      <w:pPr>
        <w:spacing w:after="0" w:line="208"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Agent shall have no obligation whatsoever to any of the Lenders to assure that the Collateral exists or is owned by the Loan Parties or is cared for, protected, or insured or has been encumbered, or that the Agent's Liens have been properly or sufficiently or lawfully created, perfected, protected, or enforced or are entitled to any particular priority, or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as to any of the foregoing, except as otherwise provided herein.</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Restrictions on Actions by Lenders; Sharing of Payments</w:t>
      </w:r>
      <w:r>
        <w:rPr>
          <w:rFonts w:ascii="Arial" w:cs="Arial" w:eastAsia="Arial" w:hAnsi="Arial"/>
          <w:sz w:val="22"/>
          <w:szCs w:val="22"/>
          <w:color w:val="auto"/>
        </w:rPr>
        <w:t>.</w:t>
      </w:r>
    </w:p>
    <w:p>
      <w:pPr>
        <w:spacing w:after="0" w:line="212"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Each of the Lenders agrees that it shall not, without the express consent of Agent, and that it shall, to the extent it is lawfully entitled to do so, upon the request of Agent, set off against the Obligations, any amounts owing by such Lender to Loan Parties or any deposit accounts of Loan Parties now or hereafter maintained with such Lender. Each of the Lenders further agrees that it shall not, unless specifically requested to do so by Agent, take or cause to be taken any action, including, the commencement of any legal or equitable proceedings, to foreclose any Lien on, or otherwise enforce any security interest in, any of the Collateral the purpose of which is, or could be, to give such Lender any preference or priority against the other Lenders with respect to the Collateral.</w:t>
      </w:r>
    </w:p>
    <w:p>
      <w:pPr>
        <w:spacing w:after="0" w:line="191"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If, at any time or times any Lender shall receive (i) by payment, foreclosure, setoff, or otherwise, any proceeds of Collateral or any payments with respect to the Obligations arising under, or relating to, this Agreement or the other Loan Documents, except for any such proceeds or payments received by such Lender from Agent pursuant to the terms of this Agreement, or (ii) payments from Agent in excess of such Lender's ratable portion of all such distributions by Agent, such Lender promptly shall (1) turn the same over to Agent, in kind, and with such endorsements as may be required to negotiate the same to Agent, or in immediately available funds,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8" w:name="page179"/>
    <w:bookmarkEnd w:id="178"/>
    <w:p>
      <w:pPr>
        <w:jc w:val="both"/>
        <w:spacing w:after="0" w:line="277" w:lineRule="auto"/>
        <w:rPr>
          <w:sz w:val="20"/>
          <w:szCs w:val="20"/>
          <w:color w:val="auto"/>
        </w:rPr>
      </w:pPr>
      <w:r>
        <w:rPr>
          <w:rFonts w:ascii="Arial" w:cs="Arial" w:eastAsia="Arial" w:hAnsi="Arial"/>
          <w:sz w:val="19"/>
          <w:szCs w:val="19"/>
          <w:color w:val="auto"/>
        </w:rPr>
        <w:t xml:space="preserve">for the account of all of the Lenders and for application to the Obligations in accordance with the applicable provisions of this Agreement, or (2) purchase, without recourse or warranty, an undivided interest and participation in the Obligations owed to the other Lenders so that such excess payment received shall be applied ratably as among the Lenders in accordance with their Pro Rata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all or part of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Agency for Perfection</w:t>
      </w:r>
    </w:p>
    <w:p>
      <w:pPr>
        <w:spacing w:after="0" w:line="212" w:lineRule="exact"/>
        <w:rPr>
          <w:sz w:val="20"/>
          <w:szCs w:val="20"/>
          <w:color w:val="auto"/>
        </w:rPr>
      </w:pPr>
    </w:p>
    <w:p>
      <w:pPr>
        <w:jc w:val="both"/>
        <w:ind w:firstLine="8"/>
        <w:spacing w:after="0" w:line="287" w:lineRule="auto"/>
        <w:tabs>
          <w:tab w:leader="none" w:pos="185"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Agent hereby appoints each other Lender as its agent (and each Lender hereby accepts such appointment) for the purpose of perfecting the Agent's Liens in assets which, in accordance with Article 9 of the UCC can be perfected only by possession or control. Should any Lender obtain possession of any such Collateral, such Lender shall notify Agent thereof, and, promptly upon Agent's request therefor shall deliver such Collateral to Agent or in accordance with Agent's instructions.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Payments by Agent to the Lenders</w:t>
      </w:r>
    </w:p>
    <w:p>
      <w:pPr>
        <w:spacing w:after="0" w:line="212" w:lineRule="exact"/>
        <w:rPr>
          <w:sz w:val="20"/>
          <w:szCs w:val="20"/>
          <w:color w:val="auto"/>
        </w:rPr>
      </w:pPr>
    </w:p>
    <w:p>
      <w:pPr>
        <w:jc w:val="both"/>
        <w:ind w:firstLine="8"/>
        <w:spacing w:after="0" w:line="238" w:lineRule="auto"/>
        <w:tabs>
          <w:tab w:leader="none" w:pos="205"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All payments to be made by Agent to the Lenders shall be made by bank wire transfer or internal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or interest of the Obligations.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Concerning the Collateral and Related Loan Documents</w:t>
      </w:r>
    </w:p>
    <w:p>
      <w:pPr>
        <w:spacing w:after="0" w:line="212" w:lineRule="exact"/>
        <w:rPr>
          <w:sz w:val="20"/>
          <w:szCs w:val="20"/>
          <w:color w:val="auto"/>
        </w:rPr>
      </w:pPr>
    </w:p>
    <w:p>
      <w:pPr>
        <w:jc w:val="both"/>
        <w:ind w:firstLine="8"/>
        <w:spacing w:after="0" w:line="236" w:lineRule="auto"/>
        <w:tabs>
          <w:tab w:leader="none" w:pos="19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Each member of the Lender Group authorizes and directs Agent to enter into this Agreement and the other Loan Documents relating to the Collateral, for the benefit of the Lender Group. Each member of the Lender Group agrees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w:t>
      </w:r>
    </w:p>
    <w:p>
      <w:pPr>
        <w:spacing w:after="0" w:line="181" w:lineRule="exact"/>
        <w:rPr>
          <w:sz w:val="20"/>
          <w:szCs w:val="20"/>
          <w:color w:val="auto"/>
        </w:rPr>
      </w:pPr>
    </w:p>
    <w:p>
      <w:pPr>
        <w:ind w:right="80" w:firstLine="749"/>
        <w:spacing w:after="0" w:line="438" w:lineRule="auto"/>
        <w:rPr>
          <w:sz w:val="20"/>
          <w:szCs w:val="20"/>
          <w:color w:val="auto"/>
        </w:rPr>
      </w:pPr>
      <w:r>
        <w:rPr>
          <w:rFonts w:ascii="Arial" w:cs="Arial" w:eastAsia="Arial" w:hAnsi="Arial"/>
          <w:sz w:val="22"/>
          <w:szCs w:val="22"/>
          <w:b w:val="1"/>
          <w:bCs w:val="1"/>
          <w:u w:val="single" w:color="auto"/>
          <w:color w:val="auto"/>
        </w:rPr>
        <w:t xml:space="preserve">Field Audits and Examination Reports; Confidentiality; Disclaimers by Lenders; Other Reports and Information </w:t>
      </w:r>
      <w:r>
        <w:rPr>
          <w:rFonts w:ascii="Arial" w:cs="Arial" w:eastAsia="Arial" w:hAnsi="Arial"/>
          <w:sz w:val="22"/>
          <w:szCs w:val="22"/>
          <w:color w:val="auto"/>
        </w:rPr>
        <w:t>. By becoming a party to this Agreement, each Lender:</w:t>
      </w:r>
    </w:p>
    <w:p>
      <w:pPr>
        <w:spacing w:after="0" w:line="1"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is deemed to have requested that Agent furnish such Lender, promptly after it becomes available, a copy of each field audit or examination report (each a "</w:t>
      </w:r>
      <w:r>
        <w:rPr>
          <w:rFonts w:ascii="Arial" w:cs="Arial" w:eastAsia="Arial" w:hAnsi="Arial"/>
          <w:sz w:val="22"/>
          <w:szCs w:val="22"/>
          <w:u w:val="single" w:color="auto"/>
          <w:color w:val="auto"/>
        </w:rPr>
        <w:t>Report</w:t>
      </w:r>
      <w:r>
        <w:rPr>
          <w:rFonts w:ascii="Arial" w:cs="Arial" w:eastAsia="Arial" w:hAnsi="Arial"/>
          <w:sz w:val="22"/>
          <w:szCs w:val="22"/>
          <w:color w:val="auto"/>
        </w:rPr>
        <w:t>" and collectively, "</w:t>
      </w:r>
      <w:r>
        <w:rPr>
          <w:rFonts w:ascii="Arial" w:cs="Arial" w:eastAsia="Arial" w:hAnsi="Arial"/>
          <w:sz w:val="22"/>
          <w:szCs w:val="22"/>
          <w:u w:val="single" w:color="auto"/>
          <w:color w:val="auto"/>
        </w:rPr>
        <w:t>Reports</w:t>
      </w:r>
      <w:r>
        <w:rPr>
          <w:rFonts w:ascii="Arial" w:cs="Arial" w:eastAsia="Arial" w:hAnsi="Arial"/>
          <w:sz w:val="22"/>
          <w:szCs w:val="22"/>
          <w:color w:val="auto"/>
        </w:rPr>
        <w:t>") prepared by Agent, and Agent shall so furnish each Lender with such Reports,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9" w:name="page180"/>
    <w:bookmarkEnd w:id="179"/>
    <w:p>
      <w:pPr>
        <w:jc w:val="both"/>
        <w:ind w:firstLine="1497"/>
        <w:spacing w:after="0" w:line="250" w:lineRule="auto"/>
        <w:rPr>
          <w:sz w:val="20"/>
          <w:szCs w:val="20"/>
          <w:color w:val="auto"/>
        </w:rPr>
      </w:pPr>
      <w:r>
        <w:rPr>
          <w:rFonts w:ascii="Arial" w:cs="Arial" w:eastAsia="Arial" w:hAnsi="Arial"/>
          <w:sz w:val="22"/>
          <w:szCs w:val="22"/>
          <w:color w:val="auto"/>
        </w:rPr>
        <w:t>expressly agrees and acknowledges that Agent does not (i) make any representation or warranty as to the accuracy of any Report, and (ii) shall not be liable for any information contained in any Report,</w:t>
      </w:r>
    </w:p>
    <w:p>
      <w:pPr>
        <w:spacing w:after="0" w:line="175"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expressly agrees and acknowledges that the Reports are not comprehensive audits or examinations, that Agent or other party performing any audit or examination will inspect only specific information regarding Loan Parties and will rely significantly upon the Books, as well as on representations of Loan Parties' personnel,</w:t>
      </w:r>
    </w:p>
    <w:p>
      <w:pPr>
        <w:spacing w:after="0" w:line="169"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agrees to keep all Reports and other material, non-public information regarding the Loan Parties and their Subsidiaries and their operations, assets, and existing and contemplated business plans in a confidential manner in accordance with </w:t>
      </w:r>
      <w:r>
        <w:rPr>
          <w:rFonts w:ascii="Arial" w:cs="Arial" w:eastAsia="Arial" w:hAnsi="Arial"/>
          <w:sz w:val="22"/>
          <w:szCs w:val="22"/>
          <w:u w:val="single" w:color="auto"/>
          <w:color w:val="auto"/>
        </w:rPr>
        <w:t>Section 17.13</w:t>
      </w:r>
      <w:r>
        <w:rPr>
          <w:rFonts w:ascii="Arial" w:cs="Arial" w:eastAsia="Arial" w:hAnsi="Arial"/>
          <w:sz w:val="22"/>
          <w:szCs w:val="22"/>
          <w:color w:val="auto"/>
        </w:rPr>
        <w:t>, and</w:t>
      </w:r>
    </w:p>
    <w:p>
      <w:pPr>
        <w:spacing w:after="0" w:line="186"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without limiting the generality of any other indemnification provision contained in this Agreement, agrees: (i) to hold Agent and any such other Lender preparing a Report harmless from any action the indemnifying Lender may take or conclusion the indemnifying Lender may reach or draw from any Report in connection with any loans or other credit accommodations that the indemnifying Lender has made or may make to Loan Parties, or the indemnifying Lender's participation in, or the indemnifying Lender's purchase of, a loan or loans of Loan Parties; and (ii) to pay and protect, and indemnify, defend and hold</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spacing w:after="0" w:line="185"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9"/>
          <w:szCs w:val="19"/>
          <w:color w:val="auto"/>
        </w:rPr>
        <w:t>In addition to the foregoing: (x) any Lender may from time to time request of Agent in writing that Agent provide to such Lender a copy of any report or document provided by the Loan Parties to Agent that has not been contemporaneously provided by the Loan Parties to such Lender, and, upon receipt of such request, Agent shall provide a copy of same to such Lender, (y) to the extent that Agent is entitled, under any provision of the Loan Documents, to request additional reports or information from the Loan Parties, any Lender may, from time to time, reasonably request Agent to exercise such right as specified in such Lender's notice to Agent, whereupon Agent promptly shall request of Administrative Borrower the additional reports or information reasonably specified by such Lender, and, upon receipt thereof from Administrative Borrower, Agent promptly shall provide a copy of same to such Lender, and (z) any time that Agent renders to Administrative Borrower a statement regarding the Loan Account, Agent shall send a copy of such statement to each Lender.</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Several Obligations; No Liability</w:t>
      </w:r>
    </w:p>
    <w:p>
      <w:pPr>
        <w:spacing w:after="0" w:line="212" w:lineRule="exact"/>
        <w:rPr>
          <w:sz w:val="20"/>
          <w:szCs w:val="20"/>
          <w:color w:val="auto"/>
        </w:rPr>
      </w:pPr>
    </w:p>
    <w:p>
      <w:pPr>
        <w:jc w:val="both"/>
        <w:ind w:firstLine="8"/>
        <w:spacing w:after="0" w:line="287" w:lineRule="auto"/>
        <w:tabs>
          <w:tab w:leader="none" w:pos="169" w:val="left"/>
        </w:tabs>
        <w:numPr>
          <w:ilvl w:val="0"/>
          <w:numId w:val="154"/>
        </w:numPr>
        <w:rPr>
          <w:rFonts w:ascii="Arial" w:cs="Arial" w:eastAsia="Arial" w:hAnsi="Arial"/>
          <w:sz w:val="19"/>
          <w:szCs w:val="19"/>
          <w:color w:val="auto"/>
        </w:rPr>
      </w:pPr>
      <w:r>
        <w:rPr>
          <w:rFonts w:ascii="Arial" w:cs="Arial" w:eastAsia="Arial" w:hAnsi="Arial"/>
          <w:sz w:val="19"/>
          <w:szCs w:val="19"/>
          <w:color w:val="auto"/>
        </w:rPr>
        <w:t>Notwithstanding that certain of the Loan Documents now or hereafter may have been or will be 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0" w:name="page181"/>
    <w:bookmarkEnd w:id="180"/>
    <w:p>
      <w:pPr>
        <w:jc w:val="both"/>
        <w:spacing w:after="0" w:line="245" w:lineRule="auto"/>
        <w:rPr>
          <w:sz w:val="20"/>
          <w:szCs w:val="20"/>
          <w:color w:val="auto"/>
        </w:rPr>
      </w:pPr>
      <w:r>
        <w:rPr>
          <w:rFonts w:ascii="Arial" w:cs="Arial" w:eastAsia="Arial" w:hAnsi="Arial"/>
          <w:sz w:val="21"/>
          <w:szCs w:val="21"/>
          <w:color w:val="auto"/>
        </w:rPr>
        <w:t xml:space="preserve">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w:t>
      </w:r>
      <w:r>
        <w:rPr>
          <w:rFonts w:ascii="Arial" w:cs="Arial" w:eastAsia="Arial" w:hAnsi="Arial"/>
          <w:sz w:val="21"/>
          <w:szCs w:val="21"/>
          <w:u w:val="single" w:color="auto"/>
          <w:color w:val="auto"/>
        </w:rPr>
        <w:t>Section 16.7</w:t>
      </w:r>
      <w:r>
        <w:rPr>
          <w:rFonts w:ascii="Arial" w:cs="Arial" w:eastAsia="Arial" w:hAnsi="Arial"/>
          <w:sz w:val="21"/>
          <w:szCs w:val="21"/>
          <w:color w:val="auto"/>
        </w:rPr>
        <w:t>, no member of the Lender Group shall have any liability for the acts or any other member of the Lender Group. No Lender shall be responsible to any Loan Party or any other Person for any failure by any other Lender to fulfill its obligations to make credit available hereunder, nor to advance for it or on its behalf in connection with its Commitment, nor to take any other action on its behalf hereunder or in connection with the financing contemplated herein.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PROVISIONS.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Effectiveness</w:t>
      </w:r>
    </w:p>
    <w:p>
      <w:pPr>
        <w:spacing w:after="0" w:line="212" w:lineRule="exact"/>
        <w:rPr>
          <w:sz w:val="20"/>
          <w:szCs w:val="20"/>
          <w:color w:val="auto"/>
        </w:rPr>
      </w:pPr>
    </w:p>
    <w:p>
      <w:pPr>
        <w:ind w:firstLine="8"/>
        <w:spacing w:after="0" w:line="250" w:lineRule="auto"/>
        <w:tabs>
          <w:tab w:leader="none" w:pos="21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This Agreement shall be binding and deemed effective when executed by the Loan Parties, Agent, and each Lender whose signature is provided for on the signature pages hereof.</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Section Headings</w:t>
      </w:r>
    </w:p>
    <w:p>
      <w:pPr>
        <w:spacing w:after="0" w:line="212" w:lineRule="exact"/>
        <w:rPr>
          <w:sz w:val="20"/>
          <w:szCs w:val="20"/>
          <w:color w:val="auto"/>
        </w:rPr>
      </w:pPr>
    </w:p>
    <w:p>
      <w:pPr>
        <w:ind w:firstLine="8"/>
        <w:spacing w:after="0" w:line="250" w:lineRule="auto"/>
        <w:tabs>
          <w:tab w:leader="none" w:pos="221" w:val="left"/>
        </w:tabs>
        <w:numPr>
          <w:ilvl w:val="0"/>
          <w:numId w:val="156"/>
        </w:numPr>
        <w:rPr>
          <w:rFonts w:ascii="Arial" w:cs="Arial" w:eastAsia="Arial" w:hAnsi="Arial"/>
          <w:sz w:val="22"/>
          <w:szCs w:val="22"/>
          <w:color w:val="auto"/>
        </w:rPr>
      </w:pPr>
      <w:r>
        <w:rPr>
          <w:rFonts w:ascii="Arial" w:cs="Arial" w:eastAsia="Arial" w:hAnsi="Arial"/>
          <w:sz w:val="22"/>
          <w:szCs w:val="22"/>
          <w:color w:val="auto"/>
        </w:rPr>
        <w:t>Headings and numbers have been set forth herein for convenience only. Unless the contrary is compelled by the context, everything contained in each Section applies equally to this entire Agreement.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Interpretation</w:t>
      </w:r>
    </w:p>
    <w:p>
      <w:pPr>
        <w:spacing w:after="0" w:line="212" w:lineRule="exact"/>
        <w:rPr>
          <w:sz w:val="20"/>
          <w:szCs w:val="20"/>
          <w:color w:val="auto"/>
        </w:rPr>
      </w:pPr>
    </w:p>
    <w:p>
      <w:pPr>
        <w:jc w:val="both"/>
        <w:ind w:firstLine="8"/>
        <w:spacing w:after="0" w:line="238" w:lineRule="auto"/>
        <w:tabs>
          <w:tab w:leader="none" w:pos="20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Neither this Agreement nor any uncertainty or ambiguity herein shall be construed or resolved against the Lender Group or Loan Parties,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Severability of Provisions</w:t>
      </w:r>
    </w:p>
    <w:p>
      <w:pPr>
        <w:spacing w:after="0" w:line="212" w:lineRule="exact"/>
        <w:rPr>
          <w:sz w:val="20"/>
          <w:szCs w:val="20"/>
          <w:color w:val="auto"/>
        </w:rPr>
      </w:pPr>
    </w:p>
    <w:p>
      <w:pPr>
        <w:ind w:firstLine="8"/>
        <w:spacing w:after="0" w:line="250" w:lineRule="auto"/>
        <w:tabs>
          <w:tab w:leader="none" w:pos="262" w:val="left"/>
        </w:tabs>
        <w:numPr>
          <w:ilvl w:val="0"/>
          <w:numId w:val="158"/>
        </w:numPr>
        <w:rPr>
          <w:rFonts w:ascii="Arial" w:cs="Arial" w:eastAsia="Arial" w:hAnsi="Arial"/>
          <w:sz w:val="22"/>
          <w:szCs w:val="22"/>
          <w:color w:val="auto"/>
        </w:rPr>
      </w:pPr>
      <w:r>
        <w:rPr>
          <w:rFonts w:ascii="Arial" w:cs="Arial" w:eastAsia="Arial" w:hAnsi="Arial"/>
          <w:sz w:val="22"/>
          <w:szCs w:val="22"/>
          <w:color w:val="auto"/>
        </w:rPr>
        <w:t>Each provision of this Agreement shall be severable from every other provision of this Agreement for the purpose of determining the legal enforceability of any specific provision.</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Amendments in Writing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This Agreement only can be amended by a writing in accordance with </w:t>
      </w:r>
      <w:r>
        <w:rPr>
          <w:rFonts w:ascii="Arial" w:cs="Arial" w:eastAsia="Arial" w:hAnsi="Arial"/>
          <w:sz w:val="22"/>
          <w:szCs w:val="22"/>
          <w:u w:val="single" w:color="auto"/>
          <w:color w:val="auto"/>
        </w:rPr>
        <w:t>Section 15.1</w:t>
      </w:r>
      <w:r>
        <w:rPr>
          <w:rFonts w:ascii="Arial" w:cs="Arial" w:eastAsia="Arial" w:hAnsi="Arial"/>
          <w:sz w:val="22"/>
          <w:szCs w:val="22"/>
          <w:color w:val="auto"/>
        </w:rPr>
        <w:t>.</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Counterparts; Telefacsimile Execution</w:t>
      </w:r>
    </w:p>
    <w:p>
      <w:pPr>
        <w:spacing w:after="0" w:line="212" w:lineRule="exact"/>
        <w:rPr>
          <w:sz w:val="20"/>
          <w:szCs w:val="20"/>
          <w:color w:val="auto"/>
        </w:rPr>
      </w:pPr>
    </w:p>
    <w:p>
      <w:pPr>
        <w:jc w:val="both"/>
        <w:ind w:firstLine="8"/>
        <w:spacing w:after="0" w:line="238" w:lineRule="auto"/>
        <w:tabs>
          <w:tab w:leader="none" w:pos="21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This Agreement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this Agreement by telefacsimile shall be equally as effective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1" w:name="page182"/>
    <w:bookmarkEnd w:id="181"/>
    <w:p>
      <w:pPr>
        <w:jc w:val="both"/>
        <w:spacing w:after="0" w:line="238" w:lineRule="auto"/>
        <w:rPr>
          <w:sz w:val="20"/>
          <w:szCs w:val="20"/>
          <w:color w:val="auto"/>
        </w:rPr>
      </w:pPr>
      <w:r>
        <w:rPr>
          <w:rFonts w:ascii="Arial" w:cs="Arial" w:eastAsia="Arial" w:hAnsi="Arial"/>
          <w:sz w:val="22"/>
          <w:szCs w:val="22"/>
          <w:color w:val="auto"/>
        </w:rPr>
        <w:t>as delivery of an original executed counterpart of this Agreement. Any party delivering an executed counterpart of this Agreement by telefacsimile also shall deliver an original executed counterpart of this Agreement but the failure to deliver an original executed counterpart shall not affect the validity, enforceability, and binding effect of this Agreement. The foregoing shall apply to each other Loan Document mutatis mutandis.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Revival and Reinstatement of Obligations</w:t>
      </w:r>
    </w:p>
    <w:p>
      <w:pPr>
        <w:spacing w:after="0" w:line="212" w:lineRule="exact"/>
        <w:rPr>
          <w:sz w:val="20"/>
          <w:szCs w:val="20"/>
          <w:color w:val="auto"/>
        </w:rPr>
      </w:pPr>
    </w:p>
    <w:p>
      <w:pPr>
        <w:jc w:val="both"/>
        <w:ind w:firstLine="8"/>
        <w:spacing w:after="0" w:line="275" w:lineRule="auto"/>
        <w:tabs>
          <w:tab w:leader="none" w:pos="173"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If the incurrence or payment of the Obligations by any Loan Parties or the transfer to the Lender Group of any property should for any reason subsequently be declared to be void or voidable under any state or federal law relating to creditors' rights, including provisions of the Bankruptcy Code relating to fraudulent conveyances, preferences, or other voidable or recoverable payments of money or transfers of property (collectively, a "</w:t>
      </w:r>
      <w:r>
        <w:rPr>
          <w:rFonts w:ascii="Arial" w:cs="Arial" w:eastAsia="Arial" w:hAnsi="Arial"/>
          <w:sz w:val="19"/>
          <w:szCs w:val="19"/>
          <w:u w:val="single" w:color="auto"/>
          <w:color w:val="auto"/>
        </w:rPr>
        <w:t>Voidable Transfer</w:t>
      </w:r>
      <w:r>
        <w:rPr>
          <w:rFonts w:ascii="Arial" w:cs="Arial" w:eastAsia="Arial" w:hAnsi="Arial"/>
          <w:sz w:val="19"/>
          <w:szCs w:val="19"/>
          <w:color w:val="auto"/>
        </w:rPr>
        <w:t>"), and if the Lender Group is required to repay or restore, in whole or in part, any such Voidable Transfer, or elects to do so upon the reasonable advice of its counsel, then, as to any such Voidable Transfer, or the amount thereof that the Lender Group is required or elects to repay or restore, and as to all reasonable costs, expenses, and attorneys' fees of the Lender Group related thereto, the liability of Loan Parties automatically shall be revived, reinstated, and restored and shall exist as though such Voidable Transfer had never been made.</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Integration</w:t>
      </w:r>
    </w:p>
    <w:p>
      <w:pPr>
        <w:spacing w:after="0" w:line="212" w:lineRule="exact"/>
        <w:rPr>
          <w:sz w:val="20"/>
          <w:szCs w:val="20"/>
          <w:color w:val="auto"/>
        </w:rPr>
      </w:pPr>
    </w:p>
    <w:p>
      <w:pPr>
        <w:jc w:val="both"/>
        <w:ind w:firstLine="8"/>
        <w:spacing w:after="0"/>
        <w:tabs>
          <w:tab w:leader="none" w:pos="195"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This Agreement, together with the other Loan Documents, reflects the entire understanding of the parties with respect to the transactions contemplated hereby and shall not be contradicted or qualified by any other agreement, oral or written, before the date hereof.</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Parent as Agent for Loan Parties</w:t>
      </w:r>
    </w:p>
    <w:p>
      <w:pPr>
        <w:spacing w:after="0" w:line="212" w:lineRule="exact"/>
        <w:rPr>
          <w:sz w:val="20"/>
          <w:szCs w:val="20"/>
          <w:color w:val="auto"/>
        </w:rPr>
      </w:pPr>
    </w:p>
    <w:p>
      <w:pPr>
        <w:jc w:val="both"/>
        <w:ind w:firstLine="8"/>
        <w:spacing w:after="0" w:line="271" w:lineRule="auto"/>
        <w:tabs>
          <w:tab w:leader="none" w:pos="197" w:val="left"/>
        </w:tabs>
        <w:numPr>
          <w:ilvl w:val="0"/>
          <w:numId w:val="162"/>
        </w:numPr>
        <w:rPr>
          <w:rFonts w:ascii="Arial" w:cs="Arial" w:eastAsia="Arial" w:hAnsi="Arial"/>
          <w:sz w:val="19"/>
          <w:szCs w:val="19"/>
          <w:color w:val="auto"/>
        </w:rPr>
      </w:pPr>
      <w:r>
        <w:rPr>
          <w:rFonts w:ascii="Arial" w:cs="Arial" w:eastAsia="Arial" w:hAnsi="Arial"/>
          <w:sz w:val="19"/>
          <w:szCs w:val="19"/>
          <w:color w:val="auto"/>
        </w:rPr>
        <w:t>Each Loan Party hereby irrevocably appoints the Parent as the borrowing agent and attorney-in-fact for all Loan Parties (the "</w:t>
      </w:r>
      <w:r>
        <w:rPr>
          <w:rFonts w:ascii="Arial" w:cs="Arial" w:eastAsia="Arial" w:hAnsi="Arial"/>
          <w:sz w:val="19"/>
          <w:szCs w:val="19"/>
          <w:u w:val="single" w:color="auto"/>
          <w:color w:val="auto"/>
        </w:rPr>
        <w:t>Administrative Borrower</w:t>
      </w:r>
      <w:r>
        <w:rPr>
          <w:rFonts w:ascii="Arial" w:cs="Arial" w:eastAsia="Arial" w:hAnsi="Arial"/>
          <w:sz w:val="19"/>
          <w:szCs w:val="19"/>
          <w:color w:val="auto"/>
        </w:rPr>
        <w:t>"), which appointment shall remain in full force and effect unless and until Agent shall have received prior written notice signed by each Loan Party that such appointment has been revoked and that another Borrower has been appointed Administrative Borrower. Each Loan Party hereby irrevocably appoints and authorizes the Administrative Borrower (i) to provide Agent with all notices with respect to Advances and Letters of Credit obtained for the benefit of any Loan Party and all other notices and instructions under this Agreement and (ii) except as provided in the clause (i) above, to take such action as the Administrative Borrower deems appropriate on its behalf to obtain Advances and Letters of Credit and to exercise such other powers as are reasonably incidental thereto to carry out the purposes of this Agreement. It is understood that the handling of the Loan Account and Collateral of Loan Parties in a combined fashion, as more fully set forth herein, is done solely as an accommodation to Loan Parties in order to utilize the collective borrowing powers of Borrowers in the most efficient and economical manner and at their request, and that Lender Group shall not incur liability to any Loan Party as a result hereof. Each Loan Party expects to derive benefit, directly or indirectly, from the handling of the Loan Account and the Collateral in a combined fashion since the successful operation of each Loan Party is dependent on the continued successful performance of the integrated group. To induce the Lender Group to do so, and in consideration thereof, each Loan Party hereby jointly and severally agrees to indemnify each member of the Lender Group</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2" w:name="page183"/>
    <w:bookmarkEnd w:id="182"/>
    <w:p>
      <w:pPr>
        <w:jc w:val="both"/>
        <w:spacing w:after="0" w:line="234" w:lineRule="auto"/>
        <w:rPr>
          <w:sz w:val="20"/>
          <w:szCs w:val="20"/>
          <w:color w:val="auto"/>
        </w:rPr>
      </w:pPr>
      <w:r>
        <w:rPr>
          <w:rFonts w:ascii="Arial" w:cs="Arial" w:eastAsia="Arial" w:hAnsi="Arial"/>
          <w:sz w:val="22"/>
          <w:szCs w:val="22"/>
          <w:color w:val="auto"/>
        </w:rPr>
        <w:t xml:space="preserve">and hold each member of the Lender Group harmless against any and all liability, expense, loss or claim of damage or injury, made against the Lender Group by any Loan Parties or by any third party whosoever, arising from or incurred by reason of (a) the handling of the Loan Account and Collateral of Loan Parties as herein provided, (b) the Lender Group's relying on any instructions of the Administrative Borrower, or (c) any other action taken by the Lender Group hereunder or under the other Loan Documents, except that Loan Parties will have no liability to the relevant Agent-Related Person or Lender-Related Person under this </w:t>
      </w:r>
      <w:r>
        <w:rPr>
          <w:rFonts w:ascii="Arial" w:cs="Arial" w:eastAsia="Arial" w:hAnsi="Arial"/>
          <w:sz w:val="22"/>
          <w:szCs w:val="22"/>
          <w:u w:val="single" w:color="auto"/>
          <w:color w:val="auto"/>
        </w:rPr>
        <w:t>Section 17.9</w:t>
      </w:r>
      <w:r>
        <w:rPr>
          <w:rFonts w:ascii="Arial" w:cs="Arial" w:eastAsia="Arial" w:hAnsi="Arial"/>
          <w:sz w:val="22"/>
          <w:szCs w:val="22"/>
          <w:color w:val="auto"/>
        </w:rPr>
        <w:t xml:space="preserve"> with respect to any liability that has been finally determined by a court of competent jurisdiction to have resulted solely from the gross negligence or willful misconduct of such Agent-Related Person or Lender-Related Person, as the case may be.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No Novation</w:t>
      </w:r>
    </w:p>
    <w:p>
      <w:pPr>
        <w:spacing w:after="0" w:line="212" w:lineRule="exact"/>
        <w:rPr>
          <w:sz w:val="20"/>
          <w:szCs w:val="20"/>
          <w:color w:val="auto"/>
        </w:rPr>
      </w:pPr>
    </w:p>
    <w:p>
      <w:pPr>
        <w:jc w:val="both"/>
        <w:ind w:firstLine="8"/>
        <w:spacing w:after="0" w:line="270" w:lineRule="auto"/>
        <w:tabs>
          <w:tab w:leader="none" w:pos="25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This Agreement constitutes an amendment and restatement of and supersedes the Second Amended and Restated Loan Agreement and does not extinguish the obligations for the payment of money outstanding under the Second Amended and Restated Loan Agreement or discharge or release the Obligations (including the Obligations of any predecessor corporations) under, and as defined in, the Second Amended and Restated Loan Agreement except as provided herein or the Lien or priority of any mortgage, pledge, security agreement or any other security therefor except as provided herein. Nothing herein contained shall be construed as a substitution or novation of the Obligations outstanding under, and as defined in, the Second Amended and Restated Loan Agreement or instruments securing the same, which shall remain in full force and effect, except as modified hereby or by instruments or documents executed concurrently herewith. Nothing expressed or implied in this Agreement shall be construed as a release or other discharge of any Loan Party under the Second Amended and Restated Loan Agreement from any of its obligations and liabilities as a "Borrower" or "Guarantor" thereunder except as provided herein. Each Loan Party hereby (i) confirms and agrees that each Loan Document to which it is a party is, and shall continue to be, in full force and effect, as modified by this Agreement and instruments or documents executed concurrently herewith, and is hereby ratified and confirmed in all respects except that on and after the Restatement Effective Date all references in any such Loan Document to "the Loan Agreement," "thereto," "thereof," "thereunder" or words of like import referring to the Original Loan Agreement or the Second Amended and Restated Loan Agreement shall mean the Original Loan Agreement or the Second Amended and Restated Loan Agreement, as applicable, as amended and restated and superseded by this Agreement and (ii) confirms and agrees that to the extent that any such Loan Document purports to assign or pledge to the Agent a security interest in or Lien on, any collateral as security for the obligations of the Loan Parties from time to time existing in respect of the Original Loan Agreement, the Second Amended and Restated Loan Agreement and the Loan Documents, such pledge, assignment and/or grant of the security interest or lien is hereby ratified and confirmed in all respects, as amended hereby or thereby.</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Patriot Act; Due Diligence</w:t>
      </w:r>
    </w:p>
    <w:p>
      <w:pPr>
        <w:spacing w:after="0" w:line="212" w:lineRule="exact"/>
        <w:rPr>
          <w:sz w:val="20"/>
          <w:szCs w:val="20"/>
          <w:color w:val="auto"/>
        </w:rPr>
      </w:pPr>
    </w:p>
    <w:p>
      <w:pPr>
        <w:jc w:val="both"/>
        <w:ind w:firstLine="8"/>
        <w:spacing w:after="0" w:line="252" w:lineRule="auto"/>
        <w:tabs>
          <w:tab w:leader="none" w:pos="249" w:val="left"/>
        </w:tabs>
        <w:numPr>
          <w:ilvl w:val="0"/>
          <w:numId w:val="164"/>
        </w:numPr>
        <w:rPr>
          <w:rFonts w:ascii="Arial" w:cs="Arial" w:eastAsia="Arial" w:hAnsi="Arial"/>
          <w:sz w:val="21"/>
          <w:szCs w:val="21"/>
          <w:color w:val="auto"/>
        </w:rPr>
      </w:pPr>
      <w:r>
        <w:rPr>
          <w:rFonts w:ascii="Arial" w:cs="Arial" w:eastAsia="Arial" w:hAnsi="Arial"/>
          <w:sz w:val="21"/>
          <w:szCs w:val="21"/>
          <w:color w:val="auto"/>
        </w:rPr>
        <w:t>Each Lender that is subject to the requirements of the Patriot Act hereby notifies the Loan Parties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addition, Agent and each Lender shall have the right to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3" w:name="page184"/>
    <w:bookmarkEnd w:id="183"/>
    <w:p>
      <w:pPr>
        <w:jc w:val="both"/>
        <w:spacing w:after="0" w:line="238" w:lineRule="auto"/>
        <w:rPr>
          <w:sz w:val="20"/>
          <w:szCs w:val="20"/>
          <w:color w:val="auto"/>
        </w:rPr>
      </w:pPr>
      <w:r>
        <w:rPr>
          <w:rFonts w:ascii="Arial" w:cs="Arial" w:eastAsia="Arial" w:hAnsi="Arial"/>
          <w:sz w:val="22"/>
          <w:szCs w:val="22"/>
          <w:color w:val="auto"/>
        </w:rPr>
        <w:t>periodically conduct due diligence on all Loan Parties, their senior management and key principals and legal and beneficial owners. Each Loan Party agrees to cooperate in respect of the conduct of such due diligence and further agrees that the reasonable costs and charges for any such due diligence by Agent shall constitute Lender Group Expenses hereunder and be for the account of Borrowers.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Bank Product Providers</w:t>
      </w:r>
    </w:p>
    <w:p>
      <w:pPr>
        <w:spacing w:after="0" w:line="212" w:lineRule="exact"/>
        <w:rPr>
          <w:sz w:val="20"/>
          <w:szCs w:val="20"/>
          <w:color w:val="auto"/>
        </w:rPr>
      </w:pPr>
    </w:p>
    <w:p>
      <w:pPr>
        <w:jc w:val="both"/>
        <w:ind w:firstLine="8"/>
        <w:spacing w:after="0" w:line="269" w:lineRule="auto"/>
        <w:tabs>
          <w:tab w:leader="none" w:pos="167" w:val="left"/>
        </w:tabs>
        <w:numPr>
          <w:ilvl w:val="0"/>
          <w:numId w:val="165"/>
        </w:numPr>
        <w:rPr>
          <w:rFonts w:ascii="Arial" w:cs="Arial" w:eastAsia="Arial" w:hAnsi="Arial"/>
          <w:sz w:val="19"/>
          <w:szCs w:val="19"/>
          <w:color w:val="auto"/>
        </w:rPr>
      </w:pPr>
      <w:r>
        <w:rPr>
          <w:rFonts w:ascii="Arial" w:cs="Arial" w:eastAsia="Arial" w:hAnsi="Arial"/>
          <w:sz w:val="19"/>
          <w:szCs w:val="19"/>
          <w:color w:val="auto"/>
        </w:rPr>
        <w:t>Each Bank Product Provider in its capacity as such shall be deemed a third party beneficiary hereof and of 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 the Loan Documents. It is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addition, each Bank Product Provider, by virtue of entering into a Bank Product Agreement, shall be automatically deemed to have agreed that Agent shall have the right, but shall have no obligation, to establish, maintain, relax, or release reserves in respect of the Bank Product Obligations as otherwise permitted hereunder and that if reserves are established there is no obligation on the part of Agent to determine or insure whether the amount of any such reserve is appropriate or not. In 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 In the absence of an updated certification, Agent shall be entitled to assume that the amount due and payable to the applicable Bank Product Provider is the amount last certified to Agent by such Bank Product Provider as being due and payable (</w:t>
      </w:r>
      <w:r>
        <w:rPr>
          <w:rFonts w:ascii="Arial" w:cs="Arial" w:eastAsia="Arial" w:hAnsi="Arial"/>
          <w:sz w:val="19"/>
          <w:szCs w:val="19"/>
          <w:i w:val="1"/>
          <w:iCs w:val="1"/>
          <w:u w:val="single" w:color="auto"/>
          <w:color w:val="auto"/>
        </w:rPr>
        <w:t>less</w:t>
      </w:r>
      <w:r>
        <w:rPr>
          <w:rFonts w:ascii="Arial" w:cs="Arial" w:eastAsia="Arial" w:hAnsi="Arial"/>
          <w:sz w:val="19"/>
          <w:szCs w:val="19"/>
          <w:color w:val="auto"/>
        </w:rPr>
        <w:t xml:space="preserve"> any distributions made to such Bank Product Provider on account thereof). Borrowers may obtain Bank Products from any Bank Product Provider, although Borrowers are not required to do so. Each Borrower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0000FF"/>
        </w:rPr>
        <w:t>Acknowledgement and Consent to Bail-In of Affected Financial Institutions</w:t>
      </w:r>
      <w:r>
        <w:rPr>
          <w:rFonts w:ascii="Arial" w:cs="Arial" w:eastAsia="Arial" w:hAnsi="Arial"/>
          <w:sz w:val="22"/>
          <w:szCs w:val="22"/>
          <w:u w:val="single" w:color="auto"/>
          <w:color w:val="0000FF"/>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4" w:name="page185"/>
    <w:bookmarkEnd w:id="184"/>
    <w:p>
      <w:pPr>
        <w:jc w:val="both"/>
        <w:ind w:firstLine="169"/>
        <w:spacing w:after="0" w:line="287" w:lineRule="auto"/>
        <w:rPr>
          <w:sz w:val="20"/>
          <w:szCs w:val="20"/>
          <w:color w:val="auto"/>
        </w:rPr>
      </w:pPr>
      <w:r>
        <w:rPr>
          <w:rFonts w:ascii="Arial" w:cs="Arial" w:eastAsia="Arial" w:hAnsi="Arial"/>
          <w:sz w:val="19"/>
          <w:szCs w:val="19"/>
          <w:u w:val="single" w:color="auto"/>
          <w:color w:val="0000FF"/>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43" w:lineRule="exact"/>
        <w:rPr>
          <w:sz w:val="20"/>
          <w:szCs w:val="20"/>
          <w:color w:val="auto"/>
        </w:rPr>
      </w:pPr>
    </w:p>
    <w:p>
      <w:pPr>
        <w:ind w:firstLine="1505"/>
        <w:spacing w:after="0" w:line="328" w:lineRule="auto"/>
        <w:tabs>
          <w:tab w:leader="none" w:pos="2036" w:val="left"/>
        </w:tabs>
        <w:numPr>
          <w:ilvl w:val="0"/>
          <w:numId w:val="166"/>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application of any Write-Down and Conversion Powers by the applicable Resolution Authority to any such liabilities arising hereunder which may be payable to it by any party hereto that is an Affected Financial Institution; and</w:t>
      </w:r>
    </w:p>
    <w:p>
      <w:pPr>
        <w:spacing w:after="0" w:line="104" w:lineRule="exact"/>
        <w:rPr>
          <w:rFonts w:ascii="Arial" w:cs="Arial" w:eastAsia="Arial" w:hAnsi="Arial"/>
          <w:sz w:val="19"/>
          <w:szCs w:val="19"/>
          <w:u w:val="single" w:color="auto"/>
          <w:color w:val="0000FF"/>
        </w:rPr>
      </w:pPr>
    </w:p>
    <w:p>
      <w:pPr>
        <w:ind w:left="2040" w:hanging="535"/>
        <w:spacing w:after="0"/>
        <w:tabs>
          <w:tab w:leader="none" w:pos="2040" w:val="left"/>
        </w:tabs>
        <w:numPr>
          <w:ilvl w:val="0"/>
          <w:numId w:val="166"/>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the effects of any Bail-in Action on any such liability, including, if applicable:</w:t>
      </w:r>
    </w:p>
    <w:p>
      <w:pPr>
        <w:spacing w:after="0" w:line="206" w:lineRule="exact"/>
        <w:rPr>
          <w:rFonts w:ascii="Arial" w:cs="Arial" w:eastAsia="Arial" w:hAnsi="Arial"/>
          <w:sz w:val="22"/>
          <w:szCs w:val="22"/>
          <w:u w:val="single" w:color="auto"/>
          <w:color w:val="0000FF"/>
        </w:rPr>
      </w:pPr>
    </w:p>
    <w:p>
      <w:pPr>
        <w:ind w:left="2560" w:hanging="306"/>
        <w:spacing w:after="0"/>
        <w:tabs>
          <w:tab w:leader="none" w:pos="2560" w:val="left"/>
        </w:tabs>
        <w:numPr>
          <w:ilvl w:val="1"/>
          <w:numId w:val="166"/>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a reduction in full or in part or cancellation of any such liability;</w:t>
      </w:r>
    </w:p>
    <w:p>
      <w:pPr>
        <w:spacing w:after="0" w:line="206" w:lineRule="exact"/>
        <w:rPr>
          <w:rFonts w:ascii="Arial" w:cs="Arial" w:eastAsia="Arial" w:hAnsi="Arial"/>
          <w:sz w:val="22"/>
          <w:szCs w:val="22"/>
          <w:u w:val="single" w:color="auto"/>
          <w:color w:val="0000FF"/>
        </w:rPr>
      </w:pPr>
    </w:p>
    <w:p>
      <w:pPr>
        <w:jc w:val="both"/>
        <w:ind w:firstLine="2254"/>
        <w:spacing w:after="0" w:line="238" w:lineRule="auto"/>
        <w:tabs>
          <w:tab w:leader="none" w:pos="2546" w:val="left"/>
        </w:tabs>
        <w:numPr>
          <w:ilvl w:val="1"/>
          <w:numId w:val="166"/>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u w:val="single" w:color="auto"/>
          <w:color w:val="0000FF"/>
        </w:rPr>
        <w:t>(iii)the variation of the terms of such liability in connection with the exercise of the Write-Down and Conversion Powers of the applicable Resolution Authority.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0000FF"/>
        </w:rPr>
        <w:t>Acknowledgement Regarding Any Supported QFCs</w:t>
      </w:r>
      <w:r>
        <w:rPr>
          <w:rFonts w:ascii="Arial" w:cs="Arial" w:eastAsia="Arial" w:hAnsi="Arial"/>
          <w:sz w:val="22"/>
          <w:szCs w:val="22"/>
          <w:u w:val="single" w:color="auto"/>
          <w:color w:val="0000FF"/>
        </w:rPr>
        <w:t>.</w:t>
      </w:r>
    </w:p>
    <w:p>
      <w:pPr>
        <w:spacing w:after="0" w:line="212" w:lineRule="exact"/>
        <w:rPr>
          <w:sz w:val="20"/>
          <w:szCs w:val="20"/>
          <w:color w:val="auto"/>
        </w:rPr>
      </w:pPr>
    </w:p>
    <w:p>
      <w:pPr>
        <w:jc w:val="both"/>
        <w:ind w:firstLine="131"/>
        <w:spacing w:after="0" w:line="270" w:lineRule="auto"/>
        <w:rPr>
          <w:sz w:val="20"/>
          <w:szCs w:val="20"/>
          <w:color w:val="auto"/>
        </w:rPr>
      </w:pPr>
      <w:r>
        <w:rPr>
          <w:rFonts w:ascii="Arial" w:cs="Arial" w:eastAsia="Arial" w:hAnsi="Arial"/>
          <w:sz w:val="19"/>
          <w:szCs w:val="19"/>
          <w:u w:val="single" w:color="auto"/>
          <w:color w:val="0000FF"/>
        </w:rPr>
        <w:t>To the extent that the Loan Documents provide support, through a guarantee or otherwise, for Hedge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5" w:name="page186"/>
    <w:bookmarkEnd w:id="185"/>
    <w:p>
      <w:pPr>
        <w:jc w:val="both"/>
        <w:spacing w:after="0" w:line="257" w:lineRule="auto"/>
        <w:rPr>
          <w:sz w:val="20"/>
          <w:szCs w:val="20"/>
          <w:color w:val="auto"/>
        </w:rPr>
      </w:pPr>
      <w:r>
        <w:rPr>
          <w:rFonts w:ascii="Arial" w:cs="Arial" w:eastAsia="Arial" w:hAnsi="Arial"/>
          <w:sz w:val="21"/>
          <w:szCs w:val="21"/>
          <w:u w:val="single" w:color="auto"/>
          <w:color w:val="0000FF"/>
        </w:rPr>
        <w:t>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0000FF"/>
        </w:rPr>
        <w:t>Erroneous Payments</w:t>
      </w:r>
      <w:r>
        <w:rPr>
          <w:rFonts w:ascii="Arial" w:cs="Arial" w:eastAsia="Arial" w:hAnsi="Arial"/>
          <w:sz w:val="22"/>
          <w:szCs w:val="22"/>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1505"/>
        <w:spacing w:after="0" w:line="270" w:lineRule="auto"/>
        <w:tabs>
          <w:tab w:leader="none" w:pos="2036" w:val="left"/>
        </w:tabs>
        <w:numPr>
          <w:ilvl w:val="0"/>
          <w:numId w:val="167"/>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If (i) Agent notifies (which such notice shall be conclusive absent manifest error) any Lender or Issuing Bank or any Bank Product Provider (or the Lender which is an Affiliate of a Lender, Issuing Bank or Bank Product Provider) or any other Person that has received funds from Agent or any of its Affiliates on behalf of a Lender, Issuing Bank or Bank Product Provider (each such recipient, a "Payment Recipient") that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Agent (or any of its Affiliates) (x) that is in a different amount than, or on a different date from, that specified in a notice of payment, prepayment or repayment sent by Agent (or any of its Affiliates) with respect to such payment, prepayment or repayment, as applicable, (y) that was not preceded or accompanied by a notice of payment, prepayment or repayment sent by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Section 17.15(a), whether received as a payment, prepayment or repayment of principal, interest, fees, distribution or otherwise; individually and collectively, an "Erroneous Payment"), then, in each case, such Payment Recipient is deemed to have knowledge of such error at the time of its receipt of such Erroneous Payment; provided that nothing in this Section shall require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Agent for the return of any Erroneous Payments, including without limitation waiver of any defense based on "discharge for value" or any similar doctrine.</w:t>
      </w:r>
    </w:p>
    <w:p>
      <w:pPr>
        <w:spacing w:after="0" w:line="200" w:lineRule="exact"/>
        <w:rPr>
          <w:rFonts w:ascii="Arial" w:cs="Arial" w:eastAsia="Arial" w:hAnsi="Arial"/>
          <w:sz w:val="19"/>
          <w:szCs w:val="19"/>
          <w:u w:val="single" w:color="auto"/>
          <w:color w:val="0000FF"/>
        </w:rPr>
      </w:pPr>
    </w:p>
    <w:p>
      <w:pPr>
        <w:spacing w:after="0" w:line="208" w:lineRule="exact"/>
        <w:rPr>
          <w:rFonts w:ascii="Arial" w:cs="Arial" w:eastAsia="Arial" w:hAnsi="Arial"/>
          <w:sz w:val="19"/>
          <w:szCs w:val="19"/>
          <w:u w:val="single" w:color="auto"/>
          <w:color w:val="0000FF"/>
        </w:rPr>
      </w:pPr>
    </w:p>
    <w:p>
      <w:pPr>
        <w:ind w:firstLine="1505"/>
        <w:spacing w:after="0" w:line="250" w:lineRule="auto"/>
        <w:tabs>
          <w:tab w:leader="none" w:pos="2036" w:val="left"/>
        </w:tabs>
        <w:numPr>
          <w:ilvl w:val="0"/>
          <w:numId w:val="167"/>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Without limiting the immediately preceding clause (a), each Payment Recipient agrees that, in the case of clause (a)(ii) above, it shall promptly notify Agent in writing of such occurrence.</w:t>
      </w:r>
    </w:p>
    <w:p>
      <w:pPr>
        <w:spacing w:after="0" w:line="174" w:lineRule="exact"/>
        <w:rPr>
          <w:rFonts w:ascii="Arial" w:cs="Arial" w:eastAsia="Arial" w:hAnsi="Arial"/>
          <w:sz w:val="22"/>
          <w:szCs w:val="22"/>
          <w:u w:val="single" w:color="auto"/>
          <w:color w:val="0000FF"/>
        </w:rPr>
      </w:pPr>
    </w:p>
    <w:p>
      <w:pPr>
        <w:jc w:val="both"/>
        <w:ind w:firstLine="1505"/>
        <w:spacing w:after="0" w:line="234" w:lineRule="auto"/>
        <w:tabs>
          <w:tab w:leader="none" w:pos="2036" w:val="left"/>
        </w:tabs>
        <w:numPr>
          <w:ilvl w:val="0"/>
          <w:numId w:val="167"/>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In the case of either clause (a)(i) or (a)(ii) above, such Erroneous Payment shall at all times remain the property of Agent and shall be segregated by the Payment Recipient and held in trust for the benefit of Agent, and upon demand from Agent such Payment Recipient shall (or, shall cause any Person who received any portion of an Erroneous Payment on its behalf to), promptly, but in all events no later than one Business Day thereafter, return to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6" w:name="page187"/>
    <w:bookmarkEnd w:id="186"/>
    <w:p>
      <w:pPr>
        <w:spacing w:after="0" w:line="274" w:lineRule="auto"/>
        <w:rPr>
          <w:sz w:val="20"/>
          <w:szCs w:val="20"/>
          <w:color w:val="auto"/>
        </w:rPr>
      </w:pPr>
      <w:r>
        <w:rPr>
          <w:rFonts w:ascii="Arial" w:cs="Arial" w:eastAsia="Arial" w:hAnsi="Arial"/>
          <w:sz w:val="21"/>
          <w:szCs w:val="21"/>
          <w:u w:val="single" w:color="auto"/>
          <w:color w:val="0000FF"/>
        </w:rPr>
        <w:t>Payment Recipient to the date such amount is repaid to Agent at the greater of the Federal Funds Rate and a rate determined by Agent in accordance with banking industry rules on interbank compensation from time to time in effect.</w:t>
      </w:r>
    </w:p>
    <w:p>
      <w:pPr>
        <w:spacing w:after="0" w:line="151" w:lineRule="exact"/>
        <w:rPr>
          <w:sz w:val="20"/>
          <w:szCs w:val="20"/>
          <w:color w:val="auto"/>
        </w:rPr>
      </w:pPr>
    </w:p>
    <w:p>
      <w:pPr>
        <w:jc w:val="both"/>
        <w:ind w:firstLine="1505"/>
        <w:spacing w:after="0" w:line="270" w:lineRule="auto"/>
        <w:tabs>
          <w:tab w:leader="none" w:pos="2036" w:val="left"/>
        </w:tabs>
        <w:numPr>
          <w:ilvl w:val="0"/>
          <w:numId w:val="168"/>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In the event that an Erroneous Payment (or portion thereof) is not recovered by Agent for any reason, after demand therefor by Agent in accordance with immediately preceding clause (c), from any Lender that is a Payment Recipient or an Affiliate of a Payment Recipient (such unrecovered amount as to such Lender, an "Erroneous Payment Return Deficiency"), then at the sole discretion of Agent and upon Agent's written notice to such Lender (i) such Lender shall be deemed to have made a cashless assignment of the full face amount of the portion of its Loans (but not its Commitments) with respect to which such Erroneous Payment was made (the "Erroneous Payment Impacted Loans") to Agent or, at the option of Agent, Agent's applicable lending affiliate (such assignee, the "Agent Assignee") in an amount that is equal to the Erroneous Payment Return Deficiency (or such lesser amount as Agent may specify) (such assignment of the Loans (but not Commitments) of the Erroneous Payment Impacted Loans, the "Erroneous Payment Deficiency Assignment") plus any accrued and unpaid interest on such assigned amount, without further consent or approval of any party hereto and without any payment by Agent Assignee as the assignee of such Erroneous Payment Deficiency Assignment. Without limitation of its rights hereunder, following the effectiveness of the Erroneous Payment Deficiency Assignment, Agent may make a cashless reassignment to the applicable assigning Lender of any Erroneous Payment Deficiency Assignment at any time by written notice to the applicable assigning Lender and upon such reassignment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14 and (3) Agent may reflect such assignments in the Register without further consent or action by any other Person.</w:t>
      </w:r>
    </w:p>
    <w:p>
      <w:pPr>
        <w:spacing w:after="0" w:line="200" w:lineRule="exact"/>
        <w:rPr>
          <w:rFonts w:ascii="Arial" w:cs="Arial" w:eastAsia="Arial" w:hAnsi="Arial"/>
          <w:sz w:val="19"/>
          <w:szCs w:val="19"/>
          <w:u w:val="single" w:color="auto"/>
          <w:color w:val="0000FF"/>
        </w:rPr>
      </w:pPr>
    </w:p>
    <w:p>
      <w:pPr>
        <w:spacing w:after="0" w:line="208" w:lineRule="exact"/>
        <w:rPr>
          <w:rFonts w:ascii="Arial" w:cs="Arial" w:eastAsia="Arial" w:hAnsi="Arial"/>
          <w:sz w:val="19"/>
          <w:szCs w:val="19"/>
          <w:u w:val="single" w:color="auto"/>
          <w:color w:val="0000FF"/>
        </w:rPr>
      </w:pPr>
    </w:p>
    <w:p>
      <w:pPr>
        <w:jc w:val="both"/>
        <w:ind w:firstLine="1505"/>
        <w:spacing w:after="0" w:line="244" w:lineRule="auto"/>
        <w:tabs>
          <w:tab w:leader="none" w:pos="2036" w:val="left"/>
        </w:tabs>
        <w:numPr>
          <w:ilvl w:val="0"/>
          <w:numId w:val="168"/>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Each party hereto hereby agrees that (x) in the event an Erroneous Payment (or portion thereof) is not recovered from any Payment Recipient that has received such Erroneous Payment (or portion thereof) for any reason, Agent (1) shall be subrogated to all the rights of such Payment Recipient and (2) is authorized to set off, net and apply any and all amounts at any time owing to such Payment Recipient under any Loan Document, or otherwise payable or distributable by Agent to such Payment Recipient from any source, against any amount due to Agent under this Section 17.15 or under the indemnification provisions of this Agreement and (y) an Erroneous Payment shall not pay, prepay, repay, discharge or otherwise satisfy any Obligations owed by the Borrowers or any other Loan Party; provided that this Section 17.15 shall not be interpreted to increase (or accelerate the due date for), or have the effect of increasing (or accelerating the due date for), the Obligations of the Borrowers relative to the amount (and/or timing for payment) of the Obligations that would have been payable had such Erroneous Payment not been made by the Agent; provided, further, that for the avoidance of doubt, immediately preceding clauses (x) and (y) shall not apply to the extent any such Erroneous Payment is, and solely with respect to the amount of such Erroneous Payment that is, comprised of funds received by the Agent from the Borrowers for the purpose of making such Erroneous Payment.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7" w:name="page188"/>
    <w:bookmarkEnd w:id="187"/>
    <w:p>
      <w:pPr>
        <w:jc w:val="both"/>
        <w:ind w:firstLine="1505"/>
        <w:spacing w:after="0" w:line="257" w:lineRule="auto"/>
        <w:tabs>
          <w:tab w:leader="none" w:pos="2036" w:val="left"/>
        </w:tabs>
        <w:numPr>
          <w:ilvl w:val="0"/>
          <w:numId w:val="169"/>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Each party's obligations under this Section 17.15 shall survive the resignation or replacement of Agent or any transfer of right or obligations by, or the replacement of, a Lender, the termination of the Commitments or the repayment, satisfaction or discharge of all Obligations (or any portion thereof) under any Loan Document.</w:t>
      </w:r>
    </w:p>
    <w:p>
      <w:pPr>
        <w:spacing w:after="0" w:line="169" w:lineRule="exact"/>
        <w:rPr>
          <w:rFonts w:ascii="Arial" w:cs="Arial" w:eastAsia="Arial" w:hAnsi="Arial"/>
          <w:sz w:val="21"/>
          <w:szCs w:val="21"/>
          <w:u w:val="single" w:color="auto"/>
          <w:color w:val="0000FF"/>
        </w:rPr>
      </w:pPr>
    </w:p>
    <w:p>
      <w:pPr>
        <w:jc w:val="both"/>
        <w:ind w:firstLine="1505"/>
        <w:spacing w:after="0" w:line="273" w:lineRule="auto"/>
        <w:tabs>
          <w:tab w:leader="none" w:pos="2036" w:val="left"/>
        </w:tabs>
        <w:numPr>
          <w:ilvl w:val="0"/>
          <w:numId w:val="169"/>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provisions of this Section 17.15 to the contrary notwithstanding, (i) nothing in this Section 17.15 will constitute a waiver or release of any claim of any party hereunder arising from any Payment Recipient's receipt of an Erroneous Payment, and (ii) there will only be deemed to be a recovery of the Erroneous Payment to the extent that Agent has received payment from the Payment Recipient in immediately available funds the Erroneous Payment Return, whether directly from the Payment Recipient, as a result of the exercise by Agent of its rights of subrogation or set off as set forth above in clause (e) or as a result of the receipt by Agent Assignee of a payment of the outstanding principal balance of the Loans assigned to Agent Assignee pursuant to an Erroneous Payment Deficiency Assignment, but excluding any other amounts in respect thereof (it being agreed that any payments of interest, fees, expenses or other amounts (other than principal) received by Agent Assignee in respect of the Loans assigned to Agent Assignee pursuant to an Erroneous Payment Deficiency Assignment shall be the sole property of Agent Assignee and shall not constitute a recovery of the Erroneous Payment).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Guaranty; Limitation of Liability</w:t>
      </w:r>
    </w:p>
    <w:p>
      <w:pPr>
        <w:spacing w:after="0" w:line="212" w:lineRule="exact"/>
        <w:rPr>
          <w:sz w:val="20"/>
          <w:szCs w:val="20"/>
          <w:color w:val="auto"/>
        </w:rPr>
      </w:pPr>
    </w:p>
    <w:p>
      <w:pPr>
        <w:jc w:val="both"/>
        <w:ind w:firstLine="8"/>
        <w:spacing w:after="0" w:line="273" w:lineRule="auto"/>
        <w:tabs>
          <w:tab w:leader="none" w:pos="183" w:val="left"/>
        </w:tabs>
        <w:numPr>
          <w:ilvl w:val="0"/>
          <w:numId w:val="170"/>
        </w:numPr>
        <w:rPr>
          <w:rFonts w:ascii="Arial" w:cs="Arial" w:eastAsia="Arial" w:hAnsi="Arial"/>
          <w:sz w:val="19"/>
          <w:szCs w:val="19"/>
          <w:color w:val="auto"/>
        </w:rPr>
      </w:pPr>
      <w:r>
        <w:rPr>
          <w:rFonts w:ascii="Arial" w:cs="Arial" w:eastAsia="Arial" w:hAnsi="Arial"/>
          <w:sz w:val="19"/>
          <w:szCs w:val="19"/>
          <w:color w:val="auto"/>
        </w:rPr>
        <w:t>Each of the Guarantors hereby, unconditionally and irrevocably, guarantees the punctual payment when due, whether at stated maturity, by acceleration or otherwise, of all Obligations of the Borrowers now or hereafter existing under any Loan Document, whether for principal, interest (including, without limitation, all interest that accrues after the commencement of any case, proceeding or other action relating to bankruptcy, insolvency or reorganization of any Borrower), fees, expenses or otherwise (such obligations, to the extent not paid by the Borrowers, being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xml:space="preserve">"), and agrees to pay any and all expenses (including reasonable counsel fees and expenses) incurred by the Agent and the Lenders in enforcing any rights under the guaranty set forth in this </w:t>
      </w:r>
      <w:r>
        <w:rPr>
          <w:rFonts w:ascii="Arial" w:cs="Arial" w:eastAsia="Arial" w:hAnsi="Arial"/>
          <w:sz w:val="19"/>
          <w:szCs w:val="19"/>
          <w:u w:val="single" w:color="auto"/>
          <w:color w:val="auto"/>
        </w:rPr>
        <w:t>Section 18</w:t>
      </w:r>
      <w:r>
        <w:rPr>
          <w:rFonts w:ascii="Arial" w:cs="Arial" w:eastAsia="Arial" w:hAnsi="Arial"/>
          <w:sz w:val="19"/>
          <w:szCs w:val="19"/>
          <w:color w:val="auto"/>
        </w:rPr>
        <w:t>. Without limiting the generality of the foregoing, the Guarantors' liability shall extend to all amounts that constitute part of the Guaranteed Obligations and would be owed by the Borrowers to the Agent and the Lenders under any Loan Document but for the fact that they are unenforceable or not allowable due to the existence of a bankruptcy, reorganization or similar proceeding involving any Borrower.</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Guaranty Absolute</w:t>
      </w:r>
    </w:p>
    <w:p>
      <w:pPr>
        <w:spacing w:after="0" w:line="212" w:lineRule="exact"/>
        <w:rPr>
          <w:sz w:val="20"/>
          <w:szCs w:val="20"/>
          <w:color w:val="auto"/>
        </w:rPr>
      </w:pPr>
    </w:p>
    <w:p>
      <w:pPr>
        <w:jc w:val="both"/>
        <w:ind w:firstLine="8"/>
        <w:spacing w:after="0" w:line="234" w:lineRule="auto"/>
        <w:tabs>
          <w:tab w:leader="none" w:pos="207" w:val="left"/>
        </w:tabs>
        <w:numPr>
          <w:ilvl w:val="0"/>
          <w:numId w:val="171"/>
        </w:numPr>
        <w:rPr>
          <w:rFonts w:ascii="Arial" w:cs="Arial" w:eastAsia="Arial" w:hAnsi="Arial"/>
          <w:sz w:val="22"/>
          <w:szCs w:val="22"/>
          <w:color w:val="auto"/>
        </w:rPr>
      </w:pPr>
      <w:r>
        <w:rPr>
          <w:rFonts w:ascii="Arial" w:cs="Arial" w:eastAsia="Arial" w:hAnsi="Arial"/>
          <w:sz w:val="22"/>
          <w:szCs w:val="22"/>
          <w:color w:val="auto"/>
        </w:rPr>
        <w:t xml:space="preserve">Each of the Guarantors guarantees that the Guaranteed Obligations will be paid strictly in accordance with the terms of the Loan Documents, regardless of any law, regulation or order now or hereafter in effect in any jurisdiction affecting any of such terms or the rights of the Agent or the Lenders with respect thereto. The obligations of the Guarantors under this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are independent of the Guaranteed Obligations, and a separate action or actions may be brought and prosecuted against any Guarantor to enforce such obligations, irrespective of whether any action is brought against the Borrowers or whether the Borrowers are joined in any such action or actions. The liability of the Guarantors under this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shall be irrevocable, absolute and</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8" w:name="page189"/>
    <w:bookmarkEnd w:id="188"/>
    <w:p>
      <w:pPr>
        <w:jc w:val="both"/>
        <w:spacing w:after="0" w:line="250" w:lineRule="auto"/>
        <w:rPr>
          <w:sz w:val="20"/>
          <w:szCs w:val="20"/>
          <w:color w:val="auto"/>
        </w:rPr>
      </w:pPr>
      <w:r>
        <w:rPr>
          <w:rFonts w:ascii="Arial" w:cs="Arial" w:eastAsia="Arial" w:hAnsi="Arial"/>
          <w:sz w:val="22"/>
          <w:szCs w:val="22"/>
          <w:color w:val="auto"/>
        </w:rPr>
        <w:t>unconditional irrespective of, and each Guarantor hereby irrevocably waives any defenses it may now or hereafter have in any way relating to, any or all of the following:</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any lack of validity or enforceability of any Loan Document or any agreement or instrument relating thereto;</w:t>
      </w:r>
    </w:p>
    <w:p>
      <w:pPr>
        <w:spacing w:after="0" w:line="241"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any change in the time, manner or place of payment of, or in any other term of, all or any of the Guaranteed Obligations, or any other amendment or waiver of or any consent to departure from any Loan Document, including, without limitation, any increase in the Guaranteed Obligations resulting from the extension of additional credit to the Borrowers or otherwise;</w:t>
      </w:r>
    </w:p>
    <w:p>
      <w:pPr>
        <w:spacing w:after="0" w:line="185"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any taking, exchange, release or non-perfection of any Collateral, or any taking, release or amendment or waiver of or consent to departure from any other guaranty, for all or any of the Guaranteed Obligations;</w:t>
      </w:r>
    </w:p>
    <w:p>
      <w:pPr>
        <w:spacing w:after="0" w:line="15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any change, restructuring or termination of the corporate, limited liability company or partnership structure or existence of any Borrower; or</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any other circumstance (including, without limitation, any statute of limitations) or any existence of or reliance on any representation by the Agent or the Lenders that might otherwise constitute a defense available to, or a discharge of, any Guarantor, any Borrower or any other guarantor or surety.</w:t>
      </w:r>
    </w:p>
    <w:p>
      <w:pPr>
        <w:spacing w:after="0" w:line="186"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shall continue to be effective or be reinstated, as the case may be, if at any time any payment of any of the Guaranteed Obligations is rescinded or must otherwise be returned by a Lender or any other Person upon the insolvency, bankruptcy or reorganization of any Borrower or otherwise, all as though such payment had not been made.</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Waiver</w:t>
      </w:r>
    </w:p>
    <w:p>
      <w:pPr>
        <w:spacing w:after="0" w:line="212" w:lineRule="exact"/>
        <w:rPr>
          <w:sz w:val="20"/>
          <w:szCs w:val="20"/>
          <w:color w:val="auto"/>
        </w:rPr>
      </w:pPr>
    </w:p>
    <w:p>
      <w:pPr>
        <w:jc w:val="both"/>
        <w:ind w:firstLine="8"/>
        <w:spacing w:after="0" w:line="234" w:lineRule="auto"/>
        <w:tabs>
          <w:tab w:leader="none" w:pos="21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Each Guarantor hereby waives promptness, diligence, notice of acceptance and any other notice with respect to any of the Guaranteed Obligations and this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and any requirement that the Agent or the Lenders exhaust any right or take any action against the Borrowers or any other Person or any collateral. Each Guarantor acknowledges that it will receive direct and indirect benefits from the financing arrangements contemplated herein and that the waiver set forth in this </w:t>
      </w:r>
      <w:r>
        <w:rPr>
          <w:rFonts w:ascii="Arial" w:cs="Arial" w:eastAsia="Arial" w:hAnsi="Arial"/>
          <w:sz w:val="22"/>
          <w:szCs w:val="22"/>
          <w:u w:val="single" w:color="auto"/>
          <w:color w:val="auto"/>
        </w:rPr>
        <w:t>Section 18.3</w:t>
      </w:r>
      <w:r>
        <w:rPr>
          <w:rFonts w:ascii="Arial" w:cs="Arial" w:eastAsia="Arial" w:hAnsi="Arial"/>
          <w:sz w:val="22"/>
          <w:szCs w:val="22"/>
          <w:color w:val="auto"/>
        </w:rPr>
        <w:t xml:space="preserve"> is knowingly made in contemplation of such benefits. Each Guarantor hereby waives any right to revoke this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and acknowledges that this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is continuing in nature and applies to all Guaranteed Obligations, whether existing now or in the future.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Continuing Guaranty; Assignments</w:t>
      </w:r>
    </w:p>
    <w:p>
      <w:pPr>
        <w:spacing w:after="0" w:line="212" w:lineRule="exact"/>
        <w:rPr>
          <w:sz w:val="20"/>
          <w:szCs w:val="20"/>
          <w:color w:val="auto"/>
        </w:rPr>
      </w:pPr>
    </w:p>
    <w:p>
      <w:pPr>
        <w:jc w:val="both"/>
        <w:ind w:firstLine="8"/>
        <w:spacing w:after="0" w:line="248" w:lineRule="auto"/>
        <w:tabs>
          <w:tab w:leader="none" w:pos="185" w:val="left"/>
        </w:tabs>
        <w:numPr>
          <w:ilvl w:val="0"/>
          <w:numId w:val="173"/>
        </w:numPr>
        <w:rPr>
          <w:rFonts w:ascii="Arial" w:cs="Arial" w:eastAsia="Arial" w:hAnsi="Arial"/>
          <w:sz w:val="21"/>
          <w:szCs w:val="21"/>
          <w:color w:val="auto"/>
        </w:rPr>
      </w:pPr>
      <w:r>
        <w:rPr>
          <w:rFonts w:ascii="Arial" w:cs="Arial" w:eastAsia="Arial" w:hAnsi="Arial"/>
          <w:sz w:val="21"/>
          <w:szCs w:val="21"/>
          <w:color w:val="auto"/>
        </w:rPr>
        <w:t xml:space="preserve">This </w:t>
      </w: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is a continuing guaranty and shall (a) remain in full force and effect until the later of (i) the cash payment in full of the Guaranteed Obligations (other than indemnification obligations as to which no claim has been made) and all other amounts payable under this </w:t>
      </w: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and (ii) the Maturity Date, (b) be binding upon the Guarantors, and their successors and assigns and (c) inure to the benefit of and be enforceable by the Agent and the Lenders and their successors, pledgees, transferees and assigns. Without limiting the generality of the foregoing clause (c), any Lender may pledge, assign or otherwise transfer all or any portion of its rights and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9" w:name="page190"/>
    <w:bookmarkEnd w:id="189"/>
    <w:p>
      <w:pPr>
        <w:jc w:val="both"/>
        <w:spacing w:after="0"/>
        <w:rPr>
          <w:sz w:val="20"/>
          <w:szCs w:val="20"/>
          <w:color w:val="auto"/>
        </w:rPr>
      </w:pPr>
      <w:r>
        <w:rPr>
          <w:rFonts w:ascii="Arial" w:cs="Arial" w:eastAsia="Arial" w:hAnsi="Arial"/>
          <w:sz w:val="22"/>
          <w:szCs w:val="22"/>
          <w:color w:val="auto"/>
        </w:rPr>
        <w:t xml:space="preserve">under this Agreement (including, without limitation, all or any portion of its Commitments and the Advances owing to it) to any other Person, and such other Person shall thereupon become vested with all the benefits in respect thereof granted such Lender herein or otherwise, in each case as provided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Subrogation</w:t>
      </w:r>
    </w:p>
    <w:p>
      <w:pPr>
        <w:spacing w:after="0" w:line="212" w:lineRule="exact"/>
        <w:rPr>
          <w:sz w:val="20"/>
          <w:szCs w:val="20"/>
          <w:color w:val="auto"/>
        </w:rPr>
      </w:pPr>
    </w:p>
    <w:p>
      <w:pPr>
        <w:jc w:val="both"/>
        <w:ind w:firstLine="8"/>
        <w:spacing w:after="0" w:line="270" w:lineRule="auto"/>
        <w:tabs>
          <w:tab w:leader="none" w:pos="213"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None of the Guarantors will exercise any rights that they may now or hereafter acquire against any Borrower or any other insider guarantor that arise from the existence, payment, performance or enforcement of the Guarantors' obligations under this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including, without limitation, any right of subrogation, reimbursement, exoneration, contribution or indemnification and any right to participate in any claim or remedy of the Agent and the Lenders against any Loan Party or any collateral, whether or not such claim, remedy or right arises in equity or under contract, statute or common law, including, without limitation, the right to take or receive from any Loan Party, directly or indirectly, in cash or other property or by set-off or in any other manner, payment or security solely on account of such claim, remedy or right, unless and until all of the Guaranteed Obligations and all other amounts payable under this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shall have been paid in full in cash and the Maturity Date shall have occurred. If any amount shall be paid to any Guarantor in violation of the immediately preceding sentence at any time prior to the later of the payment in full in cash of the Guaranteed Obligations and all other amounts payable under this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and the Maturity Date, such amount shall be held in trust for the benefit of the Agent and the Lenders and shall forthwith be paid to the Agent and the Lenders to be credited and applied to the Guaranteed Obligations and all other amounts payable under this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whether matured or unmatured, in accordance with the terms of this Agreement, or to be held as collateral for any Guaranteed Obligations or other amounts payable under this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thereafter arising. If (i) any Guarantor shall make payment to the Agent and the Lenders of all or any part of the Guaranteed Obligations, (ii) all of the Guaranteed Obligations and all other amounts payable under this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shall be paid in full in cash and (iii) the Maturity Date shall have occurred, the Agent and the Lenders will, at the Guarantors' request and expense, execute and deliver to the Guarantors appropriate documents, without recourse and without representation or warranty, necessary to evidence the transfer by subrogation to any Guarantor of an interest in the Guaranteed Obligations resulting from such payment by such Guarantor.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FF0000"/>
          <w:strike w:val="1"/>
        </w:rPr>
        <w:t>[Signature page to follow.]</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0" w:name="page191"/>
    <w:bookmarkEnd w:id="190"/>
    <w:p>
      <w:pPr>
        <w:jc w:val="center"/>
        <w:ind w:right="-1120"/>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Exhibit S-1 to Credit Agreement</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Form of SOFR Notice</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[attach]</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191" w:name="page192"/>
    <w:bookmarkEnd w:id="191"/>
    <w:p>
      <w:pPr>
        <w:jc w:val="center"/>
        <w:spacing w:after="0"/>
        <w:rPr>
          <w:sz w:val="20"/>
          <w:szCs w:val="20"/>
          <w:color w:val="auto"/>
        </w:rPr>
      </w:pPr>
      <w:r>
        <w:rPr>
          <w:rFonts w:ascii="Arial" w:cs="Arial" w:eastAsia="Arial" w:hAnsi="Arial"/>
          <w:sz w:val="22"/>
          <w:szCs w:val="22"/>
          <w:b w:val="1"/>
          <w:bCs w:val="1"/>
          <w:color w:val="auto"/>
        </w:rPr>
        <w:t>EXHIBIT S-1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SOFR NOTICE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Wells Fargo Capital Finance, LLC, as Agent</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under the below referenced Loan Agreement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2450 Colorado Place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Suite 3000 West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Santa Monica, California 90404</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Atenton: Business Finance Division Manager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9"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Reference hereby is made to that certain Third Amended and Restated Loan and Security Agreement, dated as of January 17, 2017 (the "</w:t>
      </w:r>
      <w:r>
        <w:rPr>
          <w:rFonts w:ascii="Arial" w:cs="Arial" w:eastAsia="Arial" w:hAnsi="Arial"/>
          <w:sz w:val="21"/>
          <w:szCs w:val="21"/>
          <w:u w:val="single" w:color="auto"/>
          <w:color w:val="auto"/>
        </w:rPr>
        <w:t>Loan Agreement</w:t>
      </w:r>
      <w:r>
        <w:rPr>
          <w:rFonts w:ascii="Arial" w:cs="Arial" w:eastAsia="Arial" w:hAnsi="Arial"/>
          <w:sz w:val="21"/>
          <w:szCs w:val="21"/>
          <w:color w:val="auto"/>
        </w:rPr>
        <w:t>"), among LSB Industries, Inc., a Delaware corporation ("Administrative Borrower" or "</w:t>
      </w:r>
      <w:r>
        <w:rPr>
          <w:rFonts w:ascii="Arial" w:cs="Arial" w:eastAsia="Arial" w:hAnsi="Arial"/>
          <w:sz w:val="21"/>
          <w:szCs w:val="21"/>
          <w:u w:val="single" w:color="auto"/>
          <w:color w:val="auto"/>
        </w:rPr>
        <w:t>Parent</w:t>
      </w:r>
      <w:r>
        <w:rPr>
          <w:rFonts w:ascii="Arial" w:cs="Arial" w:eastAsia="Arial" w:hAnsi="Arial"/>
          <w:sz w:val="21"/>
          <w:szCs w:val="21"/>
          <w:color w:val="auto"/>
        </w:rPr>
        <w:t>"), certain of Parent's subsidiaries identified on the signature pages thereof as Borrowers (such subsidiaries, together with the Administrative Borrower, are collectively, jointly and severally, the "</w:t>
      </w:r>
      <w:r>
        <w:rPr>
          <w:rFonts w:ascii="Arial" w:cs="Arial" w:eastAsia="Arial" w:hAnsi="Arial"/>
          <w:sz w:val="21"/>
          <w:szCs w:val="21"/>
          <w:u w:val="single" w:color="auto"/>
          <w:color w:val="auto"/>
        </w:rPr>
        <w:t>Borrowers</w:t>
      </w:r>
      <w:r>
        <w:rPr>
          <w:rFonts w:ascii="Arial" w:cs="Arial" w:eastAsia="Arial" w:hAnsi="Arial"/>
          <w:sz w:val="21"/>
          <w:szCs w:val="21"/>
          <w:color w:val="auto"/>
        </w:rPr>
        <w:t>"), the lenders signatory thereto (the "</w:t>
      </w:r>
      <w:r>
        <w:rPr>
          <w:rFonts w:ascii="Arial" w:cs="Arial" w:eastAsia="Arial" w:hAnsi="Arial"/>
          <w:sz w:val="21"/>
          <w:szCs w:val="21"/>
          <w:u w:val="single" w:color="auto"/>
          <w:color w:val="auto"/>
        </w:rPr>
        <w:t>Lenders</w:t>
      </w:r>
      <w:r>
        <w:rPr>
          <w:rFonts w:ascii="Arial" w:cs="Arial" w:eastAsia="Arial" w:hAnsi="Arial"/>
          <w:sz w:val="21"/>
          <w:szCs w:val="21"/>
          <w:color w:val="auto"/>
        </w:rPr>
        <w:t>"), and Wells Fargo Capital Finance, LLC, a California limited liability company, as the arranger and administrative agent for the Lenders ("</w:t>
      </w:r>
      <w:r>
        <w:rPr>
          <w:rFonts w:ascii="Arial" w:cs="Arial" w:eastAsia="Arial" w:hAnsi="Arial"/>
          <w:sz w:val="21"/>
          <w:szCs w:val="21"/>
          <w:u w:val="single" w:color="auto"/>
          <w:color w:val="auto"/>
        </w:rPr>
        <w:t>Agent</w:t>
      </w:r>
      <w:r>
        <w:rPr>
          <w:rFonts w:ascii="Arial" w:cs="Arial" w:eastAsia="Arial" w:hAnsi="Arial"/>
          <w:sz w:val="21"/>
          <w:szCs w:val="21"/>
          <w:color w:val="auto"/>
        </w:rPr>
        <w:t>"). Capitalized terms used herein and not otherwise defined herein shall have the meanings ascribed to them in the Loan Agreement.</w:t>
      </w:r>
    </w:p>
    <w:p>
      <w:pPr>
        <w:spacing w:after="0" w:line="18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This SOFR Notice represents the Borrowers' request to elect the SOFR Option with respect to outstanding Advances in the amount of $__________ (the "</w:t>
      </w:r>
      <w:r>
        <w:rPr>
          <w:rFonts w:ascii="Arial" w:cs="Arial" w:eastAsia="Arial" w:hAnsi="Arial"/>
          <w:sz w:val="22"/>
          <w:szCs w:val="22"/>
          <w:u w:val="single" w:color="auto"/>
          <w:color w:val="auto"/>
        </w:rPr>
        <w:t>SOFR Component</w:t>
      </w:r>
      <w:r>
        <w:rPr>
          <w:rFonts w:ascii="Arial" w:cs="Arial" w:eastAsia="Arial" w:hAnsi="Arial"/>
          <w:sz w:val="22"/>
          <w:szCs w:val="22"/>
          <w:color w:val="auto"/>
        </w:rPr>
        <w:t>") [, and is a written confirmation of the telephonic notice of such election given to Agent].</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Such SOFR Component will have an Interest Period of [</w:t>
      </w:r>
      <w:r>
        <w:rPr>
          <w:rFonts w:ascii="Arial" w:cs="Arial" w:eastAsia="Arial" w:hAnsi="Arial"/>
          <w:sz w:val="21"/>
          <w:szCs w:val="21"/>
          <w:b w:val="1"/>
          <w:bCs w:val="1"/>
          <w:color w:val="auto"/>
        </w:rPr>
        <w:t>1 or 3</w:t>
      </w:r>
      <w:r>
        <w:rPr>
          <w:rFonts w:ascii="Arial" w:cs="Arial" w:eastAsia="Arial" w:hAnsi="Arial"/>
          <w:sz w:val="21"/>
          <w:szCs w:val="21"/>
          <w:color w:val="auto"/>
        </w:rPr>
        <w:t>] month(s) commencing on __________.</w:t>
      </w:r>
    </w:p>
    <w:p>
      <w:pPr>
        <w:spacing w:after="0" w:line="22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This SOFR Notice further confirms the Borrowers' acceptance, for purposes of determining the rate of interest based on the Adjusted Term SOFR under the Loan Agreement, of the Adjusted Term SOFR as determined pursuant to the Loan Agreement.</w:t>
      </w:r>
    </w:p>
    <w:p>
      <w:pPr>
        <w:spacing w:after="0" w:line="18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Administrative Borrower, on behalf of itself and the other Borrowers, represents and warrants that (i) as of the date hereof, each representation or warranty contained in or pursuant to any Loan Document, any agreement, instrument, certificate, document or other writing furnished at any time under or in connection with any Loan Document, and as of the effective date of any advance, continuation or conversion requested above is true and correct in all material respects (except to the extent any representation or warranty expressly related to an earlier date), (ii) each of the covenants and agreements contained in any Loan Document have been performed (to the extent required to be performed on or before the date hereof or each such effective date), and (iii) no Default or Event of Default has occurred and is continuing on the date hereof, nor will any thereof occur after giving effect to the request above.</w:t>
      </w:r>
    </w:p>
    <w:p>
      <w:pPr>
        <w:spacing w:after="0" w:line="220"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Dated: ______________________________</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S-1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2" w:name="page193"/>
    <w:bookmarkEnd w:id="192"/>
    <w:p>
      <w:pPr>
        <w:ind w:left="4120"/>
        <w:spacing w:after="0"/>
        <w:rPr>
          <w:sz w:val="20"/>
          <w:szCs w:val="20"/>
          <w:color w:val="auto"/>
        </w:rPr>
      </w:pPr>
      <w:r>
        <w:rPr>
          <w:rFonts w:ascii="Arial" w:cs="Arial" w:eastAsia="Arial" w:hAnsi="Arial"/>
          <w:sz w:val="19"/>
          <w:szCs w:val="19"/>
          <w:color w:val="auto"/>
        </w:rPr>
        <w:t>LSB INDUSTRIES, INC., a Delaware corporation,</w:t>
      </w:r>
    </w:p>
    <w:p>
      <w:pPr>
        <w:spacing w:after="0" w:line="4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Administrative Borrower</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120"/>
        <w:spacing w:after="0" w:line="238" w:lineRule="auto"/>
        <w:rPr>
          <w:sz w:val="20"/>
          <w:szCs w:val="20"/>
          <w:color w:val="auto"/>
        </w:rPr>
      </w:pPr>
      <w:r>
        <w:rPr>
          <w:rFonts w:ascii="Arial" w:cs="Arial" w:eastAsia="Arial" w:hAnsi="Arial"/>
          <w:sz w:val="22"/>
          <w:szCs w:val="22"/>
          <w:color w:val="auto"/>
        </w:rPr>
        <w:t>Name:</w:t>
      </w:r>
    </w:p>
    <w:p>
      <w:pPr>
        <w:ind w:left="41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Acknowledged by: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WELLS FARGO CAPITAL FINANCE, LLC, as Agent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0"/>
        <w:spacing w:after="0"/>
        <w:rPr>
          <w:sz w:val="20"/>
          <w:szCs w:val="20"/>
          <w:color w:val="auto"/>
        </w:rPr>
      </w:pPr>
      <w:r>
        <w:rPr>
          <w:rFonts w:ascii="Arial" w:cs="Arial" w:eastAsia="Arial" w:hAnsi="Arial"/>
          <w:sz w:val="22"/>
          <w:szCs w:val="22"/>
          <w:color w:val="auto"/>
        </w:rPr>
        <w:t>Exhibit S-1</w:t>
      </w:r>
    </w:p>
    <w:p>
      <w:pPr>
        <w:spacing w:after="0" w:line="8" w:lineRule="exact"/>
        <w:rPr>
          <w:sz w:val="20"/>
          <w:szCs w:val="20"/>
          <w:color w:val="auto"/>
        </w:rPr>
      </w:pPr>
    </w:p>
    <w:p>
      <w:pPr>
        <w:jc w:val="center"/>
        <w:ind w:right="-1000"/>
        <w:spacing w:after="0"/>
        <w:rPr>
          <w:sz w:val="20"/>
          <w:szCs w:val="20"/>
          <w:color w:val="auto"/>
        </w:rPr>
      </w:pPr>
      <w:r>
        <w:rPr>
          <w:rFonts w:ascii="Arial" w:cs="Arial" w:eastAsia="Arial" w:hAnsi="Arial"/>
          <w:sz w:val="22"/>
          <w:szCs w:val="22"/>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402" w:right="1440" w:bottom="1440" w:gutter="0" w:footer="0" w:header="0"/>
        </w:sectPr>
      </w:pPr>
    </w:p>
    <w:bookmarkStart w:id="193" w:name="page194"/>
    <w:bookmarkEnd w:id="1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hanging="512"/>
        <w:spacing w:after="0" w:line="263" w:lineRule="auto"/>
        <w:tabs>
          <w:tab w:leader="none" w:pos="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14"/>
        <w:spacing w:after="0" w:line="342" w:lineRule="auto"/>
        <w:tabs>
          <w:tab w:leader="none" w:pos="154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hanging="514"/>
        <w:spacing w:after="0" w:line="277"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T. Behrman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5" w:name="page196"/>
    <w:bookmarkEnd w:id="1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6" w:name="page197"/>
    <w:bookmarkEnd w:id="196"/>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20" w:hanging="512"/>
        <w:spacing w:after="0"/>
        <w:tabs>
          <w:tab w:leader="none" w:pos="5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hanging="512"/>
        <w:spacing w:after="0" w:line="263" w:lineRule="auto"/>
        <w:tabs>
          <w:tab w:leader="none" w:pos="5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14"/>
        <w:spacing w:after="0" w:line="342" w:lineRule="auto"/>
        <w:tabs>
          <w:tab w:leader="none" w:pos="154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hanging="514"/>
        <w:spacing w:after="0" w:line="277" w:lineRule="auto"/>
        <w:tabs>
          <w:tab w:leader="none" w:pos="15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Cheryl A. Maguire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7" w:name="page198"/>
    <w:bookmarkEnd w:id="1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8" w:name="page199"/>
    <w:bookmarkEnd w:id="198"/>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2023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30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549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July 27, 2023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9" w:name="page200"/>
    <w:bookmarkEnd w:id="19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ind w:left="10320"/>
        <w:spacing w:after="0"/>
        <w:rPr>
          <w:sz w:val="20"/>
          <w:szCs w:val="20"/>
          <w:color w:val="auto"/>
        </w:rPr>
      </w:pPr>
      <w:r>
        <w:rPr>
          <w:rFonts w:ascii="Arial" w:cs="Arial" w:eastAsia="Arial" w:hAnsi="Arial"/>
          <w:sz w:val="16"/>
          <w:szCs w:val="16"/>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2023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30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549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July 27, 2023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1" w:name="page202"/>
    <w:bookmarkEnd w:id="2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1)"/>
      <w:numFmt w:val="upperLetter"/>
      <w:start w:val="1"/>
    </w:lvl>
  </w:abstractNum>
  <w:abstractNum w:abstractNumId="3">
    <w:nsid w:val="46B7D447"/>
    <w:multiLevelType w:val="hybridMultilevel"/>
    <w:lvl w:ilvl="0">
      <w:lvlJc w:val="left"/>
      <w:lvlText w:val="(%1)"/>
      <w:numFmt w:val="upperLetter"/>
      <w:start w:val="4"/>
    </w:lvl>
  </w:abstractNum>
  <w:abstractNum w:abstractNumId="4">
    <w:nsid w:val="4A2AC315"/>
    <w:multiLevelType w:val="hybridMultilevel"/>
    <w:lvl w:ilvl="0">
      <w:lvlJc w:val="left"/>
      <w:lvlText w:val="%1."/>
      <w:numFmt w:val="decimal"/>
      <w:start w:val="1"/>
    </w:lvl>
  </w:abstractNum>
  <w:abstractNum w:abstractNumId="5">
    <w:nsid w:val="39EE015C"/>
    <w:multiLevelType w:val="hybridMultilevel"/>
    <w:lvl w:ilvl="0">
      <w:lvlJc w:val="left"/>
      <w:lvlText w:val="(%1)"/>
      <w:numFmt w:val="decimal"/>
      <w:start w:val="1"/>
    </w:lvl>
  </w:abstractNum>
  <w:abstractNum w:abstractNumId="6">
    <w:nsid w:val="57FC4FBB"/>
    <w:multiLevelType w:val="hybridMultilevel"/>
    <w:lvl w:ilvl="0">
      <w:lvlJc w:val="left"/>
      <w:lvlText w:val="•"/>
      <w:numFmt w:val="bullet"/>
      <w:start w:val="1"/>
    </w:lvl>
    <w:lvl w:ilvl="1">
      <w:lvlJc w:val="left"/>
      <w:lvlText w:val="▪"/>
      <w:numFmt w:val="bullet"/>
      <w:start w:val="1"/>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1."/>
      <w:numFmt w:val="decimal"/>
      <w:start w:val="1"/>
    </w:lvl>
  </w:abstractNum>
  <w:abstractNum w:abstractNumId="9">
    <w:nsid w:val="60EF0119"/>
    <w:multiLevelType w:val="hybridMultilevel"/>
    <w:lvl w:ilvl="0">
      <w:lvlJc w:val="left"/>
      <w:lvlText w:val="(%1)"/>
      <w:numFmt w:val="decimal"/>
      <w:start w:val="1"/>
    </w:lvl>
  </w:abstractNum>
  <w:abstractNum w:abstractNumId="10">
    <w:nsid w:val="26F324BA"/>
    <w:multiLevelType w:val="hybridMultilevel"/>
    <w:lvl w:ilvl="0">
      <w:lvlJc w:val="left"/>
      <w:lvlText w:val="(%1)"/>
      <w:numFmt w:val="decimal"/>
      <w:start w:val="1"/>
    </w:lvl>
  </w:abstractNum>
  <w:abstractNum w:abstractNumId="11">
    <w:nsid w:val="7F01579B"/>
    <w:multiLevelType w:val="hybridMultilevel"/>
    <w:lvl w:ilvl="0">
      <w:lvlJc w:val="left"/>
      <w:lvlText w:val="•"/>
      <w:numFmt w:val="bullet"/>
      <w:start w:val="1"/>
    </w:lvl>
  </w:abstractNum>
  <w:abstractNum w:abstractNumId="12">
    <w:nsid w:val="49DA307D"/>
    <w:multiLevelType w:val="hybridMultilevel"/>
    <w:lvl w:ilvl="0">
      <w:lvlJc w:val="left"/>
      <w:lvlText w:val="•"/>
      <w:numFmt w:val="bullet"/>
      <w:start w:val="1"/>
    </w:lvl>
  </w:abstractNum>
  <w:abstractNum w:abstractNumId="13">
    <w:nsid w:val="7055A5F5"/>
    <w:multiLevelType w:val="hybridMultilevel"/>
    <w:lvl w:ilvl="0">
      <w:lvlJc w:val="left"/>
      <w:lvlText w:val="•"/>
      <w:numFmt w:val="bullet"/>
      <w:start w:val="1"/>
    </w:lvl>
  </w:abstractNum>
  <w:abstractNum w:abstractNumId="14">
    <w:nsid w:val="5FB8370B"/>
    <w:multiLevelType w:val="hybridMultilevel"/>
    <w:lvl w:ilvl="0">
      <w:lvlJc w:val="left"/>
      <w:lvlText w:val="(%1)"/>
      <w:numFmt w:val="decimal"/>
      <w:start w:val="1"/>
    </w:lvl>
  </w:abstractNum>
  <w:abstractNum w:abstractNumId="15">
    <w:nsid w:val="50801EE1"/>
    <w:multiLevelType w:val="hybridMultilevel"/>
    <w:lvl w:ilvl="0">
      <w:lvlJc w:val="left"/>
      <w:lvlText w:val="%1."/>
      <w:numFmt w:val="decimal"/>
      <w:start w:val="1"/>
    </w:lvl>
  </w:abstractNum>
  <w:abstractNum w:abstractNumId="16">
    <w:nsid w:val="488AC1A"/>
    <w:multiLevelType w:val="hybridMultilevel"/>
    <w:lvl w:ilvl="0">
      <w:lvlJc w:val="left"/>
      <w:lvlText w:val="(%1)"/>
      <w:numFmt w:val="lowerLetter"/>
      <w:start w:val="1"/>
    </w:lvl>
  </w:abstractNum>
  <w:abstractNum w:abstractNumId="17">
    <w:nsid w:val="5FB8011C"/>
    <w:multiLevelType w:val="hybridMultilevel"/>
    <w:lvl w:ilvl="0">
      <w:lvlJc w:val="left"/>
      <w:lvlText w:val="%1."/>
      <w:numFmt w:val="decimal"/>
      <w:start w:val="3"/>
    </w:lvl>
  </w:abstractNum>
  <w:abstractNum w:abstractNumId="18">
    <w:nsid w:val="6AA78F7F"/>
    <w:multiLevelType w:val="hybridMultilevel"/>
    <w:lvl w:ilvl="0">
      <w:lvlJc w:val="left"/>
      <w:lvlText w:val="(%1)"/>
      <w:numFmt w:val="lowerLetter"/>
      <w:start w:val="1"/>
    </w:lvl>
  </w:abstractNum>
  <w:abstractNum w:abstractNumId="19">
    <w:nsid w:val="7672BD23"/>
    <w:multiLevelType w:val="hybridMultilevel"/>
    <w:lvl w:ilvl="0">
      <w:lvlJc w:val="left"/>
      <w:lvlText w:val="%1."/>
      <w:numFmt w:val="decimal"/>
      <w:start w:val="7"/>
    </w:lvl>
  </w:abstractNum>
  <w:abstractNum w:abstractNumId="20">
    <w:nsid w:val="6FC75AF8"/>
    <w:multiLevelType w:val="hybridMultilevel"/>
    <w:lvl w:ilvl="0">
      <w:lvlJc w:val="left"/>
      <w:lvlText w:val="(%1)"/>
      <w:numFmt w:val="lowerLetter"/>
      <w:start w:val="1"/>
    </w:lvl>
  </w:abstractNum>
  <w:abstractNum w:abstractNumId="21">
    <w:nsid w:val="6A5F7029"/>
    <w:multiLevelType w:val="hybridMultilevel"/>
    <w:lvl w:ilvl="0">
      <w:lvlJc w:val="left"/>
      <w:lvlText w:val="(%1)"/>
      <w:numFmt w:val="lowerLetter"/>
      <w:start w:val="3"/>
    </w:lvl>
  </w:abstractNum>
  <w:abstractNum w:abstractNumId="22">
    <w:nsid w:val="7D5E18F8"/>
    <w:multiLevelType w:val="hybridMultilevel"/>
    <w:lvl w:ilvl="0">
      <w:lvlJc w:val="left"/>
      <w:lvlText w:val=" "/>
      <w:numFmt w:val="bullet"/>
      <w:start w:val="1"/>
    </w:lvl>
  </w:abstractNum>
  <w:abstractNum w:abstractNumId="23">
    <w:nsid w:val="5F3534A4"/>
    <w:multiLevelType w:val="hybridMultilevel"/>
    <w:lvl w:ilvl="0">
      <w:lvlJc w:val="left"/>
      <w:lvlText w:val="%1."/>
      <w:numFmt w:val="decimal"/>
      <w:start w:val="1"/>
    </w:lvl>
  </w:abstractNum>
  <w:abstractNum w:abstractNumId="24">
    <w:nsid w:val="73A1821B"/>
    <w:multiLevelType w:val="hybridMultilevel"/>
    <w:lvl w:ilvl="0">
      <w:lvlJc w:val="left"/>
      <w:lvlText w:val="%1."/>
      <w:numFmt w:val="decimal"/>
      <w:start w:val="2"/>
    </w:lvl>
  </w:abstractNum>
  <w:abstractNum w:abstractNumId="25">
    <w:nsid w:val="7DE67713"/>
    <w:multiLevelType w:val="hybridMultilevel"/>
    <w:lvl w:ilvl="0">
      <w:lvlJc w:val="left"/>
      <w:lvlText w:val="%1."/>
      <w:numFmt w:val="decimal"/>
      <w:start w:val="3"/>
    </w:lvl>
  </w:abstractNum>
  <w:abstractNum w:abstractNumId="26">
    <w:nsid w:val="555C55B5"/>
    <w:multiLevelType w:val="hybridMultilevel"/>
    <w:lvl w:ilvl="0">
      <w:lvlJc w:val="left"/>
      <w:lvlText w:val="%1."/>
      <w:numFmt w:val="decimal"/>
      <w:start w:val="4"/>
    </w:lvl>
  </w:abstractNum>
  <w:abstractNum w:abstractNumId="27">
    <w:nsid w:val="3FA62ACA"/>
    <w:multiLevelType w:val="hybridMultilevel"/>
    <w:lvl w:ilvl="0">
      <w:lvlJc w:val="left"/>
      <w:lvlText w:val="%1."/>
      <w:numFmt w:val="decimal"/>
      <w:start w:val="6"/>
    </w:lvl>
  </w:abstractNum>
  <w:abstractNum w:abstractNumId="28">
    <w:nsid w:val="14FCE74E"/>
    <w:multiLevelType w:val="hybridMultilevel"/>
    <w:lvl w:ilvl="0">
      <w:lvlJc w:val="left"/>
      <w:lvlText w:val="%1."/>
      <w:numFmt w:val="decimal"/>
      <w:start w:val="7"/>
    </w:lvl>
  </w:abstractNum>
  <w:abstractNum w:abstractNumId="29">
    <w:nsid w:val="6A3DD3E8"/>
    <w:multiLevelType w:val="hybridMultilevel"/>
    <w:lvl w:ilvl="0">
      <w:lvlJc w:val="left"/>
      <w:lvlText w:val="%1."/>
      <w:numFmt w:val="decimal"/>
      <w:start w:val="10"/>
    </w:lvl>
  </w:abstractNum>
  <w:abstractNum w:abstractNumId="30">
    <w:nsid w:val="71C91298"/>
    <w:multiLevelType w:val="hybridMultilevel"/>
    <w:lvl w:ilvl="0">
      <w:lvlJc w:val="left"/>
      <w:lvlText w:val="(%1)"/>
      <w:numFmt w:val="lowerLetter"/>
      <w:start w:val="1"/>
    </w:lvl>
  </w:abstractNum>
  <w:abstractNum w:abstractNumId="31">
    <w:nsid w:val="9DAF632"/>
    <w:multiLevelType w:val="hybridMultilevel"/>
    <w:lvl w:ilvl="0">
      <w:lvlJc w:val="left"/>
      <w:lvlText w:val="(%1)"/>
      <w:numFmt w:val="lowerLetter"/>
      <w:start w:val="3"/>
    </w:lvl>
  </w:abstractNum>
  <w:abstractNum w:abstractNumId="32">
    <w:nsid w:val="53299938"/>
    <w:multiLevelType w:val="hybridMultilevel"/>
    <w:lvl w:ilvl="0">
      <w:lvlJc w:val="left"/>
      <w:lvlText w:val="(%1)"/>
      <w:numFmt w:val="lowerLetter"/>
      <w:start w:val="4"/>
    </w:lvl>
  </w:abstractNum>
  <w:abstractNum w:abstractNumId="33">
    <w:nsid w:val="1FBFE8E0"/>
    <w:multiLevelType w:val="hybridMultilevel"/>
    <w:lvl w:ilvl="0">
      <w:lvlJc w:val="left"/>
      <w:lvlText w:val="(%1)"/>
      <w:numFmt w:val="lowerLetter"/>
      <w:start w:val="6"/>
    </w:lvl>
  </w:abstractNum>
  <w:abstractNum w:abstractNumId="34">
    <w:nsid w:val="5092CA79"/>
    <w:multiLevelType w:val="hybridMultilevel"/>
    <w:lvl w:ilvl="0">
      <w:lvlJc w:val="left"/>
      <w:lvlText w:val="(%1)"/>
      <w:numFmt w:val="lowerRoman"/>
      <w:start w:val="3"/>
    </w:lvl>
  </w:abstractNum>
  <w:abstractNum w:abstractNumId="35">
    <w:nsid w:val="1D545C4D"/>
    <w:multiLevelType w:val="hybridMultilevel"/>
    <w:lvl w:ilvl="0">
      <w:lvlJc w:val="left"/>
      <w:lvlText w:val="(%1)"/>
      <w:numFmt w:val="lowerLetter"/>
      <w:start w:val="6"/>
    </w:lvl>
  </w:abstractNum>
  <w:abstractNum w:abstractNumId="36">
    <w:nsid w:val="59ADEA3D"/>
    <w:multiLevelType w:val="hybridMultilevel"/>
    <w:lvl w:ilvl="0">
      <w:lvlJc w:val="left"/>
      <w:lvlText w:val="(%1)"/>
      <w:numFmt w:val="lowerLetter"/>
      <w:start w:val="2"/>
    </w:lvl>
  </w:abstractNum>
  <w:abstractNum w:abstractNumId="37">
    <w:nsid w:val="288F1A34"/>
    <w:multiLevelType w:val="hybridMultilevel"/>
    <w:lvl w:ilvl="0">
      <w:lvlJc w:val="left"/>
      <w:lvlText w:val="(%1)"/>
      <w:numFmt w:val="lowerLetter"/>
      <w:start w:val="2"/>
    </w:lvl>
  </w:abstractNum>
  <w:abstractNum w:abstractNumId="38">
    <w:nsid w:val="2A155DBC"/>
    <w:multiLevelType w:val="hybridMultilevel"/>
    <w:lvl w:ilvl="0">
      <w:lvlJc w:val="left"/>
      <w:lvlText w:val="(%1)"/>
      <w:numFmt w:val="lowerLetter"/>
      <w:start w:val="3"/>
    </w:lvl>
  </w:abstractNum>
  <w:abstractNum w:abstractNumId="39">
    <w:nsid w:val="1D9F6E5F"/>
    <w:multiLevelType w:val="hybridMultilevel"/>
    <w:lvl w:ilvl="0">
      <w:lvlJc w:val="left"/>
      <w:lvlText w:val="(%1)"/>
      <w:numFmt w:val="lowerRoman"/>
      <w:start w:val="2"/>
    </w:lvl>
  </w:abstractNum>
  <w:abstractNum w:abstractNumId="40">
    <w:nsid w:val="97E1B4E"/>
    <w:multiLevelType w:val="hybridMultilevel"/>
    <w:lvl w:ilvl="0">
      <w:lvlJc w:val="left"/>
      <w:lvlText w:val="(%1)"/>
      <w:numFmt w:val="lowerLetter"/>
      <w:start w:val="2"/>
    </w:lvl>
  </w:abstractNum>
  <w:abstractNum w:abstractNumId="41">
    <w:nsid w:val="51088277"/>
    <w:multiLevelType w:val="hybridMultilevel"/>
    <w:lvl w:ilvl="0">
      <w:lvlJc w:val="left"/>
      <w:lvlText w:val="(%1)"/>
      <w:numFmt w:val="lowerRoman"/>
      <w:start w:val="1"/>
    </w:lvl>
  </w:abstractNum>
  <w:abstractNum w:abstractNumId="42">
    <w:nsid w:val="1CA0C5FA"/>
    <w:multiLevelType w:val="hybridMultilevel"/>
    <w:lvl w:ilvl="0">
      <w:lvlJc w:val="left"/>
      <w:lvlText w:val="(%1)"/>
      <w:numFmt w:val="lowerLetter"/>
      <w:start w:val="10"/>
    </w:lvl>
  </w:abstractNum>
  <w:abstractNum w:abstractNumId="43">
    <w:nsid w:val="53584BCB"/>
    <w:multiLevelType w:val="hybridMultilevel"/>
    <w:lvl w:ilvl="0">
      <w:lvlJc w:val="left"/>
      <w:lvlText w:val="."/>
      <w:numFmt w:val="bullet"/>
      <w:start w:val="1"/>
    </w:lvl>
  </w:abstractNum>
  <w:abstractNum w:abstractNumId="44">
    <w:nsid w:val="415E286C"/>
    <w:multiLevelType w:val="hybridMultilevel"/>
    <w:lvl w:ilvl="0">
      <w:lvlJc w:val="left"/>
      <w:lvlText w:val="."/>
      <w:numFmt w:val="bullet"/>
      <w:start w:val="1"/>
    </w:lvl>
  </w:abstractNum>
  <w:abstractNum w:abstractNumId="45">
    <w:nsid w:val="7C58FD05"/>
    <w:multiLevelType w:val="hybridMultilevel"/>
    <w:lvl w:ilvl="0">
      <w:lvlJc w:val="left"/>
      <w:lvlText w:val="."/>
      <w:numFmt w:val="bullet"/>
      <w:start w:val="1"/>
    </w:lvl>
  </w:abstractNum>
  <w:abstractNum w:abstractNumId="46">
    <w:nsid w:val="23D86AAC"/>
    <w:multiLevelType w:val="hybridMultilevel"/>
    <w:lvl w:ilvl="0">
      <w:lvlJc w:val="left"/>
      <w:lvlText w:val="."/>
      <w:numFmt w:val="bullet"/>
      <w:start w:val="1"/>
    </w:lvl>
  </w:abstractNum>
  <w:abstractNum w:abstractNumId="47">
    <w:nsid w:val="45E6D486"/>
    <w:multiLevelType w:val="hybridMultilevel"/>
    <w:lvl w:ilvl="0">
      <w:lvlJc w:val="left"/>
      <w:lvlText w:val="."/>
      <w:numFmt w:val="bullet"/>
      <w:start w:val="1"/>
    </w:lvl>
  </w:abstractNum>
  <w:abstractNum w:abstractNumId="48">
    <w:nsid w:val="5C10FE21"/>
    <w:multiLevelType w:val="hybridMultilevel"/>
    <w:lvl w:ilvl="0">
      <w:lvlJc w:val="left"/>
      <w:lvlText w:val="."/>
      <w:numFmt w:val="bullet"/>
      <w:start w:val="1"/>
    </w:lvl>
  </w:abstractNum>
  <w:abstractNum w:abstractNumId="49">
    <w:nsid w:val="E7FFA2B"/>
    <w:multiLevelType w:val="hybridMultilevel"/>
    <w:lvl w:ilvl="0">
      <w:lvlJc w:val="left"/>
      <w:lvlText w:val="(%1)"/>
      <w:numFmt w:val="lowerLetter"/>
      <w:start w:val="25"/>
    </w:lvl>
  </w:abstractNum>
  <w:abstractNum w:abstractNumId="50">
    <w:nsid w:val="3C5991AA"/>
    <w:multiLevelType w:val="hybridMultilevel"/>
    <w:lvl w:ilvl="0">
      <w:lvlJc w:val="left"/>
      <w:lvlText w:val="(%1)"/>
      <w:numFmt w:val="lowerRoman"/>
      <w:start w:val="4"/>
    </w:lvl>
  </w:abstractNum>
  <w:abstractNum w:abstractNumId="51">
    <w:nsid w:val="4BD8591A"/>
    <w:multiLevelType w:val="hybridMultilevel"/>
    <w:lvl w:ilvl="0">
      <w:lvlJc w:val="left"/>
      <w:lvlText w:val="(%1)"/>
      <w:numFmt w:val="decimal"/>
      <w:start w:val="1"/>
    </w:lvl>
  </w:abstractNum>
  <w:abstractNum w:abstractNumId="52">
    <w:nsid w:val="78DF6A55"/>
    <w:multiLevelType w:val="hybridMultilevel"/>
    <w:lvl w:ilvl="0">
      <w:lvlJc w:val="left"/>
      <w:lvlText w:val="."/>
      <w:numFmt w:val="bullet"/>
      <w:start w:val="1"/>
    </w:lvl>
  </w:abstractNum>
  <w:abstractNum w:abstractNumId="53">
    <w:nsid w:val="39B7AAA2"/>
    <w:multiLevelType w:val="hybridMultilevel"/>
    <w:lvl w:ilvl="0">
      <w:lvlJc w:val="left"/>
      <w:lvlText w:val="(%1)"/>
      <w:numFmt w:val="lowerLetter"/>
      <w:start w:val="1"/>
    </w:lvl>
  </w:abstractNum>
  <w:abstractNum w:abstractNumId="54">
    <w:nsid w:val="2B0D8DBE"/>
    <w:multiLevelType w:val="hybridMultilevel"/>
    <w:lvl w:ilvl="0">
      <w:lvlJc w:val="left"/>
      <w:lvlText w:val="."/>
      <w:numFmt w:val="bullet"/>
      <w:start w:val="1"/>
    </w:lvl>
  </w:abstractNum>
  <w:abstractNum w:abstractNumId="55">
    <w:nsid w:val="6C80EC70"/>
    <w:multiLevelType w:val="hybridMultilevel"/>
    <w:lvl w:ilvl="0">
      <w:lvlJc w:val="left"/>
      <w:lvlText w:val="."/>
      <w:numFmt w:val="bullet"/>
      <w:start w:val="1"/>
    </w:lvl>
  </w:abstractNum>
  <w:abstractNum w:abstractNumId="56">
    <w:nsid w:val="379E21B5"/>
    <w:multiLevelType w:val="hybridMultilevel"/>
    <w:lvl w:ilvl="0">
      <w:lvlJc w:val="left"/>
      <w:lvlText w:val="."/>
      <w:numFmt w:val="bullet"/>
      <w:start w:val="1"/>
    </w:lvl>
  </w:abstractNum>
  <w:abstractNum w:abstractNumId="57">
    <w:nsid w:val="69E373"/>
    <w:multiLevelType w:val="hybridMultilevel"/>
    <w:lvl w:ilvl="0">
      <w:lvlJc w:val="left"/>
      <w:lvlText w:val="."/>
      <w:numFmt w:val="bullet"/>
      <w:start w:val="1"/>
    </w:lvl>
  </w:abstractNum>
  <w:abstractNum w:abstractNumId="58">
    <w:nsid w:val="2C27173B"/>
    <w:multiLevelType w:val="hybridMultilevel"/>
    <w:lvl w:ilvl="0">
      <w:lvlJc w:val="left"/>
      <w:lvlText w:val="%1."/>
      <w:numFmt w:val="decimal"/>
      <w:start w:val="2"/>
    </w:lvl>
  </w:abstractNum>
  <w:abstractNum w:abstractNumId="59">
    <w:nsid w:val="4C9B0904"/>
    <w:multiLevelType w:val="hybridMultilevel"/>
    <w:lvl w:ilvl="0">
      <w:lvlJc w:val="left"/>
      <w:lvlText w:val="%1."/>
      <w:numFmt w:val="decimal"/>
      <w:start w:val="6"/>
    </w:lvl>
  </w:abstractNum>
  <w:abstractNum w:abstractNumId="60">
    <w:nsid w:val="6AA7B75C"/>
    <w:multiLevelType w:val="hybridMultilevel"/>
    <w:lvl w:ilvl="0">
      <w:lvlJc w:val="left"/>
      <w:lvlText w:val="(%1)"/>
      <w:numFmt w:val="lowerRoman"/>
      <w:start w:val="2"/>
    </w:lvl>
  </w:abstractNum>
  <w:abstractNum w:abstractNumId="61">
    <w:nsid w:val="1DF029D3"/>
    <w:multiLevelType w:val="hybridMultilevel"/>
    <w:lvl w:ilvl="0">
      <w:lvlJc w:val="left"/>
      <w:lvlText w:val="(%1)"/>
      <w:numFmt w:val="upperLetter"/>
      <w:start w:val="3"/>
    </w:lvl>
    <w:lvl w:ilvl="1">
      <w:lvlJc w:val="left"/>
      <w:lvlText w:val="(%2)"/>
      <w:numFmt w:val="lowerRoman"/>
      <w:start w:val="1"/>
    </w:lvl>
  </w:abstractNum>
  <w:abstractNum w:abstractNumId="62">
    <w:nsid w:val="5675FF36"/>
    <w:multiLevelType w:val="hybridMultilevel"/>
    <w:lvl w:ilvl="0">
      <w:lvlJc w:val="left"/>
      <w:lvlText w:val="(%1)"/>
      <w:numFmt w:val="upperLetter"/>
      <w:start w:val="1"/>
    </w:lvl>
  </w:abstractNum>
  <w:abstractNum w:abstractNumId="63">
    <w:nsid w:val="3DD15094"/>
    <w:multiLevelType w:val="hybridMultilevel"/>
    <w:lvl w:ilvl="0">
      <w:lvlJc w:val="left"/>
      <w:lvlText w:val="(%1)"/>
      <w:numFmt w:val="upperLetter"/>
      <w:start w:val="4"/>
    </w:lvl>
  </w:abstractNum>
  <w:abstractNum w:abstractNumId="64">
    <w:nsid w:val="3DB012B3"/>
    <w:multiLevelType w:val="hybridMultilevel"/>
    <w:lvl w:ilvl="0">
      <w:lvlJc w:val="left"/>
      <w:lvlText w:val="(%1)"/>
      <w:numFmt w:val="lowerLetter"/>
      <w:start w:val="2"/>
    </w:lvl>
  </w:abstractNum>
  <w:abstractNum w:abstractNumId="65">
    <w:nsid w:val="2708C9AF"/>
    <w:multiLevelType w:val="hybridMultilevel"/>
    <w:lvl w:ilvl="0">
      <w:lvlJc w:val="left"/>
      <w:lvlText w:val="(%1)"/>
      <w:numFmt w:val="lowerLetter"/>
      <w:start w:val="5"/>
    </w:lvl>
  </w:abstractNum>
  <w:abstractNum w:abstractNumId="66">
    <w:nsid w:val="5B25ACE2"/>
    <w:multiLevelType w:val="hybridMultilevel"/>
    <w:lvl w:ilvl="0">
      <w:lvlJc w:val="left"/>
      <w:lvlText w:val="."/>
      <w:numFmt w:val="bullet"/>
      <w:start w:val="1"/>
    </w:lvl>
  </w:abstractNum>
  <w:abstractNum w:abstractNumId="67">
    <w:nsid w:val="175DFCF0"/>
    <w:multiLevelType w:val="hybridMultilevel"/>
    <w:lvl w:ilvl="0">
      <w:lvlJc w:val="left"/>
      <w:lvlText w:val="."/>
      <w:numFmt w:val="bullet"/>
      <w:start w:val="1"/>
    </w:lvl>
  </w:abstractNum>
  <w:abstractNum w:abstractNumId="68">
    <w:nsid w:val="4F97E3E4"/>
    <w:multiLevelType w:val="hybridMultilevel"/>
    <w:lvl w:ilvl="0">
      <w:lvlJc w:val="left"/>
      <w:lvlText w:val="."/>
      <w:numFmt w:val="bullet"/>
      <w:start w:val="1"/>
    </w:lvl>
  </w:abstractNum>
  <w:abstractNum w:abstractNumId="69">
    <w:nsid w:val="53B0A9E"/>
    <w:multiLevelType w:val="hybridMultilevel"/>
    <w:lvl w:ilvl="0">
      <w:lvlJc w:val="left"/>
      <w:lvlText w:val="."/>
      <w:numFmt w:val="bullet"/>
      <w:start w:val="1"/>
    </w:lvl>
  </w:abstractNum>
  <w:abstractNum w:abstractNumId="70">
    <w:nsid w:val="34FD6B4F"/>
    <w:multiLevelType w:val="hybridMultilevel"/>
    <w:lvl w:ilvl="0">
      <w:lvlJc w:val="left"/>
      <w:lvlText w:val="."/>
      <w:numFmt w:val="bullet"/>
      <w:start w:val="1"/>
    </w:lvl>
  </w:abstractNum>
  <w:abstractNum w:abstractNumId="71">
    <w:nsid w:val="5915FF32"/>
    <w:multiLevelType w:val="hybridMultilevel"/>
    <w:lvl w:ilvl="0">
      <w:lvlJc w:val="left"/>
      <w:lvlText w:val="."/>
      <w:numFmt w:val="bullet"/>
      <w:start w:val="1"/>
    </w:lvl>
  </w:abstractNum>
  <w:abstractNum w:abstractNumId="72">
    <w:nsid w:val="56438D15"/>
    <w:multiLevelType w:val="hybridMultilevel"/>
    <w:lvl w:ilvl="0">
      <w:lvlJc w:val="left"/>
      <w:lvlText w:val="."/>
      <w:numFmt w:val="bullet"/>
      <w:start w:val="1"/>
    </w:lvl>
  </w:abstractNum>
  <w:abstractNum w:abstractNumId="73">
    <w:nsid w:val="519E3149"/>
    <w:multiLevelType w:val="hybridMultilevel"/>
    <w:lvl w:ilvl="0">
      <w:lvlJc w:val="left"/>
      <w:lvlText w:val="."/>
      <w:numFmt w:val="bullet"/>
      <w:start w:val="1"/>
    </w:lvl>
  </w:abstractNum>
  <w:abstractNum w:abstractNumId="74">
    <w:nsid w:val="2C6E4AFD"/>
    <w:multiLevelType w:val="hybridMultilevel"/>
    <w:lvl w:ilvl="0">
      <w:lvlJc w:val="left"/>
      <w:lvlText w:val="."/>
      <w:numFmt w:val="bullet"/>
      <w:start w:val="1"/>
    </w:lvl>
  </w:abstractNum>
  <w:abstractNum w:abstractNumId="75">
    <w:nsid w:val="17A1B582"/>
    <w:multiLevelType w:val="hybridMultilevel"/>
    <w:lvl w:ilvl="0">
      <w:lvlJc w:val="left"/>
      <w:lvlText w:val="."/>
      <w:numFmt w:val="bullet"/>
      <w:start w:val="1"/>
    </w:lvl>
  </w:abstractNum>
  <w:abstractNum w:abstractNumId="76">
    <w:nsid w:val="4DF72E4E"/>
    <w:multiLevelType w:val="hybridMultilevel"/>
    <w:lvl w:ilvl="0">
      <w:lvlJc w:val="left"/>
      <w:lvlText w:val="."/>
      <w:numFmt w:val="bullet"/>
      <w:start w:val="1"/>
    </w:lvl>
  </w:abstractNum>
  <w:abstractNum w:abstractNumId="77">
    <w:nsid w:val="5046B5A9"/>
    <w:multiLevelType w:val="hybridMultilevel"/>
    <w:lvl w:ilvl="0">
      <w:lvlJc w:val="left"/>
      <w:lvlText w:val="."/>
      <w:numFmt w:val="bullet"/>
      <w:start w:val="1"/>
    </w:lvl>
  </w:abstractNum>
  <w:abstractNum w:abstractNumId="78">
    <w:nsid w:val="5D888A08"/>
    <w:multiLevelType w:val="hybridMultilevel"/>
    <w:lvl w:ilvl="0">
      <w:lvlJc w:val="left"/>
      <w:lvlText w:val="."/>
      <w:numFmt w:val="bullet"/>
      <w:start w:val="1"/>
    </w:lvl>
  </w:abstractNum>
  <w:abstractNum w:abstractNumId="79">
    <w:nsid w:val="2A082C70"/>
    <w:multiLevelType w:val="hybridMultilevel"/>
    <w:lvl w:ilvl="0">
      <w:lvlJc w:val="left"/>
      <w:lvlText w:val="."/>
      <w:numFmt w:val="bullet"/>
      <w:start w:val="1"/>
    </w:lvl>
  </w:abstractNum>
  <w:abstractNum w:abstractNumId="80">
    <w:nsid w:val="5EC6AFD4"/>
    <w:multiLevelType w:val="hybridMultilevel"/>
    <w:lvl w:ilvl="0">
      <w:lvlJc w:val="left"/>
      <w:lvlText w:val="."/>
      <w:numFmt w:val="bullet"/>
      <w:start w:val="1"/>
    </w:lvl>
  </w:abstractNum>
  <w:abstractNum w:abstractNumId="81">
    <w:nsid w:val="19E21BB2"/>
    <w:multiLevelType w:val="hybridMultilevel"/>
    <w:lvl w:ilvl="0">
      <w:lvlJc w:val="left"/>
      <w:lvlText w:val="."/>
      <w:numFmt w:val="bullet"/>
      <w:start w:val="1"/>
    </w:lvl>
  </w:abstractNum>
  <w:abstractNum w:abstractNumId="82">
    <w:nsid w:val="75E0858A"/>
    <w:multiLevelType w:val="hybridMultilevel"/>
    <w:lvl w:ilvl="0">
      <w:lvlJc w:val="left"/>
      <w:lvlText w:val="."/>
      <w:numFmt w:val="bullet"/>
      <w:start w:val="1"/>
    </w:lvl>
  </w:abstractNum>
  <w:abstractNum w:abstractNumId="83">
    <w:nsid w:val="57A61A29"/>
    <w:multiLevelType w:val="hybridMultilevel"/>
    <w:lvl w:ilvl="0">
      <w:lvlJc w:val="left"/>
      <w:lvlText w:val="."/>
      <w:numFmt w:val="bullet"/>
      <w:start w:val="1"/>
    </w:lvl>
  </w:abstractNum>
  <w:abstractNum w:abstractNumId="84">
    <w:nsid w:val="5399C654"/>
    <w:multiLevelType w:val="hybridMultilevel"/>
    <w:lvl w:ilvl="0">
      <w:lvlJc w:val="left"/>
      <w:lvlText w:val="."/>
      <w:numFmt w:val="bullet"/>
      <w:start w:val="1"/>
    </w:lvl>
  </w:abstractNum>
  <w:abstractNum w:abstractNumId="85">
    <w:nsid w:val="20EE1348"/>
    <w:multiLevelType w:val="hybridMultilevel"/>
    <w:lvl w:ilvl="0">
      <w:lvlJc w:val="left"/>
      <w:lvlText w:val="."/>
      <w:numFmt w:val="bullet"/>
      <w:start w:val="1"/>
    </w:lvl>
  </w:abstractNum>
  <w:abstractNum w:abstractNumId="86">
    <w:nsid w:val="4427069A"/>
    <w:multiLevelType w:val="hybridMultilevel"/>
    <w:lvl w:ilvl="0">
      <w:lvlJc w:val="left"/>
      <w:lvlText w:val="."/>
      <w:numFmt w:val="bullet"/>
      <w:start w:val="1"/>
    </w:lvl>
  </w:abstractNum>
  <w:abstractNum w:abstractNumId="87">
    <w:nsid w:val="B37E80A"/>
    <w:multiLevelType w:val="hybridMultilevel"/>
    <w:lvl w:ilvl="0">
      <w:lvlJc w:val="left"/>
      <w:lvlText w:val="."/>
      <w:numFmt w:val="bullet"/>
      <w:start w:val="1"/>
    </w:lvl>
  </w:abstractNum>
  <w:abstractNum w:abstractNumId="88">
    <w:nsid w:val="2157F6BC"/>
    <w:multiLevelType w:val="hybridMultilevel"/>
    <w:lvl w:ilvl="0">
      <w:lvlJc w:val="left"/>
      <w:lvlText w:val="."/>
      <w:numFmt w:val="bullet"/>
      <w:start w:val="1"/>
    </w:lvl>
  </w:abstractNum>
  <w:abstractNum w:abstractNumId="89">
    <w:nsid w:val="704E1DD5"/>
    <w:multiLevelType w:val="hybridMultilevel"/>
    <w:lvl w:ilvl="0">
      <w:lvlJc w:val="left"/>
      <w:lvlText w:val="."/>
      <w:numFmt w:val="bullet"/>
      <w:start w:val="1"/>
    </w:lvl>
  </w:abstractNum>
  <w:abstractNum w:abstractNumId="90">
    <w:nsid w:val="57D2F10E"/>
    <w:multiLevelType w:val="hybridMultilevel"/>
    <w:lvl w:ilvl="0">
      <w:lvlJc w:val="left"/>
      <w:lvlText w:val="."/>
      <w:numFmt w:val="bullet"/>
      <w:start w:val="1"/>
    </w:lvl>
  </w:abstractNum>
  <w:abstractNum w:abstractNumId="91">
    <w:nsid w:val="BFFAE18"/>
    <w:multiLevelType w:val="hybridMultilevel"/>
    <w:lvl w:ilvl="0">
      <w:lvlJc w:val="left"/>
      <w:lvlText w:val="."/>
      <w:numFmt w:val="bullet"/>
      <w:start w:val="1"/>
    </w:lvl>
  </w:abstractNum>
  <w:abstractNum w:abstractNumId="92">
    <w:nsid w:val="E3E47A8"/>
    <w:multiLevelType w:val="hybridMultilevel"/>
    <w:lvl w:ilvl="0">
      <w:lvlJc w:val="left"/>
      <w:lvlText w:val="."/>
      <w:numFmt w:val="bullet"/>
      <w:start w:val="1"/>
    </w:lvl>
  </w:abstractNum>
  <w:abstractNum w:abstractNumId="93">
    <w:nsid w:val="2E48F044"/>
    <w:multiLevelType w:val="hybridMultilevel"/>
    <w:lvl w:ilvl="0">
      <w:lvlJc w:val="left"/>
      <w:lvlText w:val="."/>
      <w:numFmt w:val="bullet"/>
      <w:start w:val="1"/>
    </w:lvl>
  </w:abstractNum>
  <w:abstractNum w:abstractNumId="94">
    <w:nsid w:val="49D0FEAC"/>
    <w:multiLevelType w:val="hybridMultilevel"/>
    <w:lvl w:ilvl="0">
      <w:lvlJc w:val="left"/>
      <w:lvlText w:val="."/>
      <w:numFmt w:val="bullet"/>
      <w:start w:val="1"/>
    </w:lvl>
  </w:abstractNum>
  <w:abstractNum w:abstractNumId="95">
    <w:nsid w:val="4BEE5A5B"/>
    <w:multiLevelType w:val="hybridMultilevel"/>
    <w:lvl w:ilvl="0">
      <w:lvlJc w:val="left"/>
      <w:lvlText w:val="."/>
      <w:numFmt w:val="bullet"/>
      <w:start w:val="1"/>
    </w:lvl>
  </w:abstractNum>
  <w:abstractNum w:abstractNumId="96">
    <w:nsid w:val="5551B9F3"/>
    <w:multiLevelType w:val="hybridMultilevel"/>
    <w:lvl w:ilvl="0">
      <w:lvlJc w:val="left"/>
      <w:lvlText w:val="."/>
      <w:numFmt w:val="bullet"/>
      <w:start w:val="1"/>
    </w:lvl>
  </w:abstractNum>
  <w:abstractNum w:abstractNumId="97">
    <w:nsid w:val="24F6AB8E"/>
    <w:multiLevelType w:val="hybridMultilevel"/>
    <w:lvl w:ilvl="0">
      <w:lvlJc w:val="left"/>
      <w:lvlText w:val="."/>
      <w:numFmt w:val="bullet"/>
      <w:start w:val="1"/>
    </w:lvl>
  </w:abstractNum>
  <w:abstractNum w:abstractNumId="98">
    <w:nsid w:val="634C574C"/>
    <w:multiLevelType w:val="hybridMultilevel"/>
    <w:lvl w:ilvl="0">
      <w:lvlJc w:val="left"/>
      <w:lvlText w:val="."/>
      <w:numFmt w:val="bullet"/>
      <w:start w:val="1"/>
    </w:lvl>
  </w:abstractNum>
  <w:abstractNum w:abstractNumId="99">
    <w:nsid w:val="24E99DD7"/>
    <w:multiLevelType w:val="hybridMultilevel"/>
    <w:lvl w:ilvl="0">
      <w:lvlJc w:val="left"/>
      <w:lvlText w:val="."/>
      <w:numFmt w:val="bullet"/>
      <w:start w:val="1"/>
    </w:lvl>
  </w:abstractNum>
  <w:abstractNum w:abstractNumId="100">
    <w:nsid w:val="2A31B62D"/>
    <w:multiLevelType w:val="hybridMultilevel"/>
    <w:lvl w:ilvl="0">
      <w:lvlJc w:val="left"/>
      <w:lvlText w:val="."/>
      <w:numFmt w:val="bullet"/>
      <w:start w:val="1"/>
    </w:lvl>
  </w:abstractNum>
  <w:abstractNum w:abstractNumId="101">
    <w:nsid w:val="1849C29B"/>
    <w:multiLevelType w:val="hybridMultilevel"/>
    <w:lvl w:ilvl="0">
      <w:lvlJc w:val="left"/>
      <w:lvlText w:val="."/>
      <w:numFmt w:val="bullet"/>
      <w:start w:val="1"/>
    </w:lvl>
  </w:abstractNum>
  <w:abstractNum w:abstractNumId="102">
    <w:nsid w:val="7DFF9D09"/>
    <w:multiLevelType w:val="hybridMultilevel"/>
    <w:lvl w:ilvl="0">
      <w:lvlJc w:val="left"/>
      <w:lvlText w:val="."/>
      <w:numFmt w:val="bullet"/>
      <w:start w:val="1"/>
    </w:lvl>
  </w:abstractNum>
  <w:abstractNum w:abstractNumId="103">
    <w:nsid w:val="754342"/>
    <w:multiLevelType w:val="hybridMultilevel"/>
    <w:lvl w:ilvl="0">
      <w:lvlJc w:val="left"/>
      <w:lvlText w:val="."/>
      <w:numFmt w:val="bullet"/>
      <w:start w:val="1"/>
    </w:lvl>
  </w:abstractNum>
  <w:abstractNum w:abstractNumId="104">
    <w:nsid w:val="69E7F3E5"/>
    <w:multiLevelType w:val="hybridMultilevel"/>
    <w:lvl w:ilvl="0">
      <w:lvlJc w:val="left"/>
      <w:lvlText w:val="."/>
      <w:numFmt w:val="bullet"/>
      <w:start w:val="1"/>
    </w:lvl>
  </w:abstractNum>
  <w:abstractNum w:abstractNumId="105">
    <w:nsid w:val="2A6DE806"/>
    <w:multiLevelType w:val="hybridMultilevel"/>
    <w:lvl w:ilvl="0">
      <w:lvlJc w:val="left"/>
      <w:lvlText w:val="."/>
      <w:numFmt w:val="bullet"/>
      <w:start w:val="1"/>
    </w:lvl>
  </w:abstractNum>
  <w:abstractNum w:abstractNumId="106">
    <w:nsid w:val="1816F8C4"/>
    <w:multiLevelType w:val="hybridMultilevel"/>
    <w:lvl w:ilvl="0">
      <w:lvlJc w:val="left"/>
      <w:lvlText w:val="."/>
      <w:numFmt w:val="bullet"/>
      <w:start w:val="1"/>
    </w:lvl>
  </w:abstractNum>
  <w:abstractNum w:abstractNumId="107">
    <w:nsid w:val="37DF2233"/>
    <w:multiLevelType w:val="hybridMultilevel"/>
    <w:lvl w:ilvl="0">
      <w:lvlJc w:val="left"/>
      <w:lvlText w:val="."/>
      <w:numFmt w:val="bullet"/>
      <w:start w:val="1"/>
    </w:lvl>
  </w:abstractNum>
  <w:abstractNum w:abstractNumId="108">
    <w:nsid w:val="7AB49DAF"/>
    <w:multiLevelType w:val="hybridMultilevel"/>
    <w:lvl w:ilvl="0">
      <w:lvlJc w:val="left"/>
      <w:lvlText w:val="."/>
      <w:numFmt w:val="bullet"/>
      <w:start w:val="1"/>
    </w:lvl>
  </w:abstractNum>
  <w:abstractNum w:abstractNumId="109">
    <w:nsid w:val="759F82CD"/>
    <w:multiLevelType w:val="hybridMultilevel"/>
    <w:lvl w:ilvl="0">
      <w:lvlJc w:val="left"/>
      <w:lvlText w:val="."/>
      <w:numFmt w:val="bullet"/>
      <w:start w:val="1"/>
    </w:lvl>
  </w:abstractNum>
  <w:abstractNum w:abstractNumId="110">
    <w:nsid w:val="61E74EA3"/>
    <w:multiLevelType w:val="hybridMultilevel"/>
    <w:lvl w:ilvl="0">
      <w:lvlJc w:val="left"/>
      <w:lvlText w:val="."/>
      <w:numFmt w:val="bullet"/>
      <w:start w:val="1"/>
    </w:lvl>
  </w:abstractNum>
  <w:abstractNum w:abstractNumId="111">
    <w:nsid w:val="597B4D84"/>
    <w:multiLevelType w:val="hybridMultilevel"/>
    <w:lvl w:ilvl="0">
      <w:lvlJc w:val="left"/>
      <w:lvlText w:val="."/>
      <w:numFmt w:val="bullet"/>
      <w:start w:val="1"/>
    </w:lvl>
  </w:abstractNum>
  <w:abstractNum w:abstractNumId="112">
    <w:nsid w:val="F819E7F"/>
    <w:multiLevelType w:val="hybridMultilevel"/>
    <w:lvl w:ilvl="0">
      <w:lvlJc w:val="left"/>
      <w:lvlText w:val="."/>
      <w:numFmt w:val="bullet"/>
      <w:start w:val="1"/>
    </w:lvl>
  </w:abstractNum>
  <w:abstractNum w:abstractNumId="113">
    <w:nsid w:val="57C7D42D"/>
    <w:multiLevelType w:val="hybridMultilevel"/>
    <w:lvl w:ilvl="0">
      <w:lvlJc w:val="left"/>
      <w:lvlText w:val="."/>
      <w:numFmt w:val="bullet"/>
      <w:start w:val="1"/>
    </w:lvl>
  </w:abstractNum>
  <w:abstractNum w:abstractNumId="114">
    <w:nsid w:val="312167AD"/>
    <w:multiLevelType w:val="hybridMultilevel"/>
    <w:lvl w:ilvl="0">
      <w:lvlJc w:val="left"/>
      <w:lvlText w:val="(%1)"/>
      <w:numFmt w:val="lowerRoman"/>
      <w:start w:val="3"/>
    </w:lvl>
  </w:abstractNum>
  <w:abstractNum w:abstractNumId="115">
    <w:nsid w:val="631B64D4"/>
    <w:multiLevelType w:val="hybridMultilevel"/>
    <w:lvl w:ilvl="0">
      <w:lvlJc w:val="left"/>
      <w:lvlText w:val="."/>
      <w:numFmt w:val="bullet"/>
      <w:start w:val="1"/>
    </w:lvl>
  </w:abstractNum>
  <w:abstractNum w:abstractNumId="116">
    <w:nsid w:val="78B5E776"/>
    <w:multiLevelType w:val="hybridMultilevel"/>
    <w:lvl w:ilvl="0">
      <w:lvlJc w:val="left"/>
      <w:lvlText w:val="."/>
      <w:numFmt w:val="bullet"/>
      <w:start w:val="1"/>
    </w:lvl>
  </w:abstractNum>
  <w:abstractNum w:abstractNumId="117">
    <w:nsid w:val="75486E47"/>
    <w:multiLevelType w:val="hybridMultilevel"/>
    <w:lvl w:ilvl="0">
      <w:lvlJc w:val="left"/>
      <w:lvlText w:val="."/>
      <w:numFmt w:val="bullet"/>
      <w:start w:val="1"/>
    </w:lvl>
  </w:abstractNum>
  <w:abstractNum w:abstractNumId="118">
    <w:nsid w:val="6E534CDE"/>
    <w:multiLevelType w:val="hybridMultilevel"/>
    <w:lvl w:ilvl="0">
      <w:lvlJc w:val="left"/>
      <w:lvlText w:val="."/>
      <w:numFmt w:val="bullet"/>
      <w:start w:val="1"/>
    </w:lvl>
  </w:abstractNum>
  <w:abstractNum w:abstractNumId="119">
    <w:nsid w:val="1A0DDE32"/>
    <w:multiLevelType w:val="hybridMultilevel"/>
    <w:lvl w:ilvl="0">
      <w:lvlJc w:val="left"/>
      <w:lvlText w:val="."/>
      <w:numFmt w:val="bullet"/>
      <w:start w:val="1"/>
    </w:lvl>
  </w:abstractNum>
  <w:abstractNum w:abstractNumId="120">
    <w:nsid w:val="65968C1C"/>
    <w:multiLevelType w:val="hybridMultilevel"/>
    <w:lvl w:ilvl="0">
      <w:lvlJc w:val="left"/>
      <w:lvlText w:val="."/>
      <w:numFmt w:val="bullet"/>
      <w:start w:val="1"/>
    </w:lvl>
  </w:abstractNum>
  <w:abstractNum w:abstractNumId="121">
    <w:nsid w:val="46263DEC"/>
    <w:multiLevelType w:val="hybridMultilevel"/>
    <w:lvl w:ilvl="0">
      <w:lvlJc w:val="left"/>
      <w:lvlText w:val="."/>
      <w:numFmt w:val="bullet"/>
      <w:start w:val="1"/>
    </w:lvl>
  </w:abstractNum>
  <w:abstractNum w:abstractNumId="122">
    <w:nsid w:val="260D8C4A"/>
    <w:multiLevelType w:val="hybridMultilevel"/>
    <w:lvl w:ilvl="0">
      <w:lvlJc w:val="left"/>
      <w:lvlText w:val="."/>
      <w:numFmt w:val="bullet"/>
      <w:start w:val="1"/>
    </w:lvl>
  </w:abstractNum>
  <w:abstractNum w:abstractNumId="123">
    <w:nsid w:val="73D4D3C4"/>
    <w:multiLevelType w:val="hybridMultilevel"/>
    <w:lvl w:ilvl="0">
      <w:lvlJc w:val="left"/>
      <w:lvlText w:val="."/>
      <w:numFmt w:val="bullet"/>
      <w:start w:val="1"/>
    </w:lvl>
  </w:abstractNum>
  <w:abstractNum w:abstractNumId="124">
    <w:nsid w:val="746F2E30"/>
    <w:multiLevelType w:val="hybridMultilevel"/>
    <w:lvl w:ilvl="0">
      <w:lvlJc w:val="left"/>
      <w:lvlText w:val="."/>
      <w:numFmt w:val="bullet"/>
      <w:start w:val="1"/>
    </w:lvl>
  </w:abstractNum>
  <w:abstractNum w:abstractNumId="125">
    <w:nsid w:val="6FDE8AF6"/>
    <w:multiLevelType w:val="hybridMultilevel"/>
    <w:lvl w:ilvl="0">
      <w:lvlJc w:val="left"/>
      <w:lvlText w:val="."/>
      <w:numFmt w:val="bullet"/>
      <w:start w:val="1"/>
    </w:lvl>
  </w:abstractNum>
  <w:abstractNum w:abstractNumId="126">
    <w:nsid w:val="3FC32E20"/>
    <w:multiLevelType w:val="hybridMultilevel"/>
    <w:lvl w:ilvl="0">
      <w:lvlJc w:val="left"/>
      <w:lvlText w:val="(%1)"/>
      <w:numFmt w:val="lowerLetter"/>
      <w:start w:val="1"/>
    </w:lvl>
  </w:abstractNum>
  <w:abstractNum w:abstractNumId="127">
    <w:nsid w:val="49C0E823"/>
    <w:multiLevelType w:val="hybridMultilevel"/>
    <w:lvl w:ilvl="0">
      <w:lvlJc w:val="left"/>
      <w:lvlText w:val="(%1)"/>
      <w:numFmt w:val="lowerLetter"/>
      <w:start w:val="2"/>
    </w:lvl>
  </w:abstractNum>
  <w:abstractNum w:abstractNumId="128">
    <w:nsid w:val="14D53685"/>
    <w:multiLevelType w:val="hybridMultilevel"/>
    <w:lvl w:ilvl="0">
      <w:lvlJc w:val="left"/>
      <w:lvlText w:val="."/>
      <w:numFmt w:val="bullet"/>
      <w:start w:val="1"/>
    </w:lvl>
  </w:abstractNum>
  <w:abstractNum w:abstractNumId="129">
    <w:nsid w:val="230F856C"/>
    <w:multiLevelType w:val="hybridMultilevel"/>
    <w:lvl w:ilvl="0">
      <w:lvlJc w:val="left"/>
      <w:lvlText w:val="."/>
      <w:numFmt w:val="bullet"/>
      <w:start w:val="1"/>
    </w:lvl>
  </w:abstractNum>
  <w:abstractNum w:abstractNumId="130">
    <w:nsid w:val="6EAA85FB"/>
    <w:multiLevelType w:val="hybridMultilevel"/>
    <w:lvl w:ilvl="0">
      <w:lvlJc w:val="left"/>
      <w:lvlText w:val="."/>
      <w:numFmt w:val="bullet"/>
      <w:start w:val="1"/>
    </w:lvl>
  </w:abstractNum>
  <w:abstractNum w:abstractNumId="131">
    <w:nsid w:val="3F06ECB2"/>
    <w:multiLevelType w:val="hybridMultilevel"/>
    <w:lvl w:ilvl="0">
      <w:lvlJc w:val="left"/>
      <w:lvlText w:val="."/>
      <w:numFmt w:val="bullet"/>
      <w:start w:val="1"/>
    </w:lvl>
  </w:abstractNum>
  <w:abstractNum w:abstractNumId="132">
    <w:nsid w:val="3B594807"/>
    <w:multiLevelType w:val="hybridMultilevel"/>
    <w:lvl w:ilvl="0">
      <w:lvlJc w:val="left"/>
      <w:lvlText w:val="."/>
      <w:numFmt w:val="bullet"/>
      <w:start w:val="1"/>
    </w:lvl>
  </w:abstractNum>
  <w:abstractNum w:abstractNumId="133">
    <w:nsid w:val="6CAA2304"/>
    <w:multiLevelType w:val="hybridMultilevel"/>
    <w:lvl w:ilvl="0">
      <w:lvlJc w:val="left"/>
      <w:lvlText w:val="."/>
      <w:numFmt w:val="bullet"/>
      <w:start w:val="1"/>
    </w:lvl>
  </w:abstractNum>
  <w:abstractNum w:abstractNumId="134">
    <w:nsid w:val="3F7C2FF4"/>
    <w:multiLevelType w:val="hybridMultilevel"/>
    <w:lvl w:ilvl="0">
      <w:lvlJc w:val="left"/>
      <w:lvlText w:val="."/>
      <w:numFmt w:val="bullet"/>
      <w:start w:val="1"/>
    </w:lvl>
  </w:abstractNum>
  <w:abstractNum w:abstractNumId="135">
    <w:nsid w:val="25413BEC"/>
    <w:multiLevelType w:val="hybridMultilevel"/>
    <w:lvl w:ilvl="0">
      <w:lvlJc w:val="left"/>
      <w:lvlText w:val="."/>
      <w:numFmt w:val="bullet"/>
      <w:start w:val="1"/>
    </w:lvl>
  </w:abstractNum>
  <w:abstractNum w:abstractNumId="136">
    <w:nsid w:val="17180B0B"/>
    <w:multiLevelType w:val="hybridMultilevel"/>
    <w:lvl w:ilvl="0">
      <w:lvlJc w:val="left"/>
      <w:lvlText w:val="."/>
      <w:numFmt w:val="bullet"/>
      <w:start w:val="1"/>
    </w:lvl>
  </w:abstractNum>
  <w:abstractNum w:abstractNumId="137">
    <w:nsid w:val="579328B9"/>
    <w:multiLevelType w:val="hybridMultilevel"/>
    <w:lvl w:ilvl="0">
      <w:lvlJc w:val="left"/>
      <w:lvlText w:val="."/>
      <w:numFmt w:val="bullet"/>
      <w:start w:val="1"/>
    </w:lvl>
  </w:abstractNum>
  <w:abstractNum w:abstractNumId="138">
    <w:nsid w:val="5D205E20"/>
    <w:multiLevelType w:val="hybridMultilevel"/>
    <w:lvl w:ilvl="0">
      <w:lvlJc w:val="left"/>
      <w:lvlText w:val="."/>
      <w:numFmt w:val="bullet"/>
      <w:start w:val="1"/>
    </w:lvl>
  </w:abstractNum>
  <w:abstractNum w:abstractNumId="139">
    <w:nsid w:val="11CCA8BA"/>
    <w:multiLevelType w:val="hybridMultilevel"/>
    <w:lvl w:ilvl="0">
      <w:lvlJc w:val="left"/>
      <w:lvlText w:val="."/>
      <w:numFmt w:val="bullet"/>
      <w:start w:val="1"/>
    </w:lvl>
  </w:abstractNum>
  <w:abstractNum w:abstractNumId="140">
    <w:nsid w:val="4D32AB86"/>
    <w:multiLevelType w:val="hybridMultilevel"/>
    <w:lvl w:ilvl="0">
      <w:lvlJc w:val="left"/>
      <w:lvlText w:val="."/>
      <w:numFmt w:val="bullet"/>
      <w:start w:val="1"/>
    </w:lvl>
  </w:abstractNum>
  <w:abstractNum w:abstractNumId="141">
    <w:nsid w:val="3F07ACC3"/>
    <w:multiLevelType w:val="hybridMultilevel"/>
    <w:lvl w:ilvl="0">
      <w:lvlJc w:val="left"/>
      <w:lvlText w:val="."/>
      <w:numFmt w:val="bullet"/>
      <w:start w:val="1"/>
    </w:lvl>
  </w:abstractNum>
  <w:abstractNum w:abstractNumId="142">
    <w:nsid w:val="6B47F63E"/>
    <w:multiLevelType w:val="hybridMultilevel"/>
    <w:lvl w:ilvl="0">
      <w:lvlJc w:val="left"/>
      <w:lvlText w:val="."/>
      <w:numFmt w:val="bullet"/>
      <w:start w:val="1"/>
    </w:lvl>
  </w:abstractNum>
  <w:abstractNum w:abstractNumId="143">
    <w:nsid w:val="5CB44A05"/>
    <w:multiLevelType w:val="hybridMultilevel"/>
    <w:lvl w:ilvl="0">
      <w:lvlJc w:val="left"/>
      <w:lvlText w:val="."/>
      <w:numFmt w:val="bullet"/>
      <w:start w:val="1"/>
    </w:lvl>
  </w:abstractNum>
  <w:abstractNum w:abstractNumId="144">
    <w:nsid w:val="16CF80F1"/>
    <w:multiLevelType w:val="hybridMultilevel"/>
    <w:lvl w:ilvl="0">
      <w:lvlJc w:val="left"/>
      <w:lvlText w:val="."/>
      <w:numFmt w:val="bullet"/>
      <w:start w:val="1"/>
    </w:lvl>
  </w:abstractNum>
  <w:abstractNum w:abstractNumId="145">
    <w:nsid w:val="1C695DEC"/>
    <w:multiLevelType w:val="hybridMultilevel"/>
    <w:lvl w:ilvl="0">
      <w:lvlJc w:val="left"/>
      <w:lvlText w:val="."/>
      <w:numFmt w:val="bullet"/>
      <w:start w:val="1"/>
    </w:lvl>
  </w:abstractNum>
  <w:abstractNum w:abstractNumId="146">
    <w:nsid w:val="3FCFAED9"/>
    <w:multiLevelType w:val="hybridMultilevel"/>
    <w:lvl w:ilvl="0">
      <w:lvlJc w:val="left"/>
      <w:lvlText w:val="."/>
      <w:numFmt w:val="bullet"/>
      <w:start w:val="1"/>
    </w:lvl>
  </w:abstractNum>
  <w:abstractNum w:abstractNumId="147">
    <w:nsid w:val="F856867"/>
    <w:multiLevelType w:val="hybridMultilevel"/>
    <w:lvl w:ilvl="0">
      <w:lvlJc w:val="left"/>
      <w:lvlText w:val="(%1)"/>
      <w:numFmt w:val="upperLetter"/>
      <w:start w:val="1"/>
    </w:lvl>
  </w:abstractNum>
  <w:abstractNum w:abstractNumId="148">
    <w:nsid w:val="11B1CC33"/>
    <w:multiLevelType w:val="hybridMultilevel"/>
    <w:lvl w:ilvl="0">
      <w:lvlJc w:val="left"/>
      <w:lvlText w:val="(%1)"/>
      <w:numFmt w:val="upperLetter"/>
      <w:start w:val="61"/>
    </w:lvl>
  </w:abstractNum>
  <w:abstractNum w:abstractNumId="149">
    <w:nsid w:val="2E22FBB7"/>
    <w:multiLevelType w:val="hybridMultilevel"/>
    <w:lvl w:ilvl="0">
      <w:lvlJc w:val="left"/>
      <w:lvlText w:val="(%1)"/>
      <w:numFmt w:val="upperLetter"/>
      <w:start w:val="3"/>
    </w:lvl>
  </w:abstractNum>
  <w:abstractNum w:abstractNumId="150">
    <w:nsid w:val="29934699"/>
    <w:multiLevelType w:val="hybridMultilevel"/>
    <w:lvl w:ilvl="0">
      <w:lvlJc w:val="left"/>
      <w:lvlText w:val="."/>
      <w:numFmt w:val="bullet"/>
      <w:start w:val="1"/>
    </w:lvl>
  </w:abstractNum>
  <w:abstractNum w:abstractNumId="151">
    <w:nsid w:val="77485850"/>
    <w:multiLevelType w:val="hybridMultilevel"/>
    <w:lvl w:ilvl="0">
      <w:lvlJc w:val="left"/>
      <w:lvlText w:val="."/>
      <w:numFmt w:val="bullet"/>
      <w:start w:val="1"/>
    </w:lvl>
  </w:abstractNum>
  <w:abstractNum w:abstractNumId="152">
    <w:nsid w:val="744939A3"/>
    <w:multiLevelType w:val="hybridMultilevel"/>
    <w:lvl w:ilvl="0">
      <w:lvlJc w:val="left"/>
      <w:lvlText w:val="."/>
      <w:numFmt w:val="bullet"/>
      <w:start w:val="1"/>
    </w:lvl>
  </w:abstractNum>
  <w:abstractNum w:abstractNumId="153">
    <w:nsid w:val="4FA0D2E3"/>
    <w:multiLevelType w:val="hybridMultilevel"/>
    <w:lvl w:ilvl="0">
      <w:lvlJc w:val="left"/>
      <w:lvlText w:val="."/>
      <w:numFmt w:val="bullet"/>
      <w:start w:val="1"/>
    </w:lvl>
  </w:abstractNum>
  <w:abstractNum w:abstractNumId="154">
    <w:nsid w:val="6B1D2C14"/>
    <w:multiLevelType w:val="hybridMultilevel"/>
    <w:lvl w:ilvl="0">
      <w:lvlJc w:val="left"/>
      <w:lvlText w:val="."/>
      <w:numFmt w:val="bullet"/>
      <w:start w:val="1"/>
    </w:lvl>
  </w:abstractNum>
  <w:abstractNum w:abstractNumId="155">
    <w:nsid w:val="68B867D3"/>
    <w:multiLevelType w:val="hybridMultilevel"/>
    <w:lvl w:ilvl="0">
      <w:lvlJc w:val="left"/>
      <w:lvlText w:val="."/>
      <w:numFmt w:val="bullet"/>
      <w:start w:val="1"/>
    </w:lvl>
  </w:abstractNum>
  <w:abstractNum w:abstractNumId="156">
    <w:nsid w:val="3F7F5DD9"/>
    <w:multiLevelType w:val="hybridMultilevel"/>
    <w:lvl w:ilvl="0">
      <w:lvlJc w:val="left"/>
      <w:lvlText w:val="."/>
      <w:numFmt w:val="bullet"/>
      <w:start w:val="1"/>
    </w:lvl>
  </w:abstractNum>
  <w:abstractNum w:abstractNumId="157">
    <w:nsid w:val="2AE05A34"/>
    <w:multiLevelType w:val="hybridMultilevel"/>
    <w:lvl w:ilvl="0">
      <w:lvlJc w:val="left"/>
      <w:lvlText w:val="."/>
      <w:numFmt w:val="bullet"/>
      <w:start w:val="1"/>
    </w:lvl>
  </w:abstractNum>
  <w:abstractNum w:abstractNumId="158">
    <w:nsid w:val="32794FF7"/>
    <w:multiLevelType w:val="hybridMultilevel"/>
    <w:lvl w:ilvl="0">
      <w:lvlJc w:val="left"/>
      <w:lvlText w:val="."/>
      <w:numFmt w:val="bullet"/>
      <w:start w:val="1"/>
    </w:lvl>
  </w:abstractNum>
  <w:abstractNum w:abstractNumId="159">
    <w:nsid w:val="5454945E"/>
    <w:multiLevelType w:val="hybridMultilevel"/>
    <w:lvl w:ilvl="0">
      <w:lvlJc w:val="left"/>
      <w:lvlText w:val="."/>
      <w:numFmt w:val="bullet"/>
      <w:start w:val="1"/>
    </w:lvl>
  </w:abstractNum>
  <w:abstractNum w:abstractNumId="160">
    <w:nsid w:val="4DEFDFA0"/>
    <w:multiLevelType w:val="hybridMultilevel"/>
    <w:lvl w:ilvl="0">
      <w:lvlJc w:val="left"/>
      <w:lvlText w:val="."/>
      <w:numFmt w:val="bullet"/>
      <w:start w:val="1"/>
    </w:lvl>
  </w:abstractNum>
  <w:abstractNum w:abstractNumId="161">
    <w:nsid w:val="2123D5F2"/>
    <w:multiLevelType w:val="hybridMultilevel"/>
    <w:lvl w:ilvl="0">
      <w:lvlJc w:val="left"/>
      <w:lvlText w:val="."/>
      <w:numFmt w:val="bullet"/>
      <w:start w:val="1"/>
    </w:lvl>
  </w:abstractNum>
  <w:abstractNum w:abstractNumId="162">
    <w:nsid w:val="135B8110"/>
    <w:multiLevelType w:val="hybridMultilevel"/>
    <w:lvl w:ilvl="0">
      <w:lvlJc w:val="left"/>
      <w:lvlText w:val="."/>
      <w:numFmt w:val="bullet"/>
      <w:start w:val="1"/>
    </w:lvl>
  </w:abstractNum>
  <w:abstractNum w:abstractNumId="163">
    <w:nsid w:val="94927A8"/>
    <w:multiLevelType w:val="hybridMultilevel"/>
    <w:lvl w:ilvl="0">
      <w:lvlJc w:val="left"/>
      <w:lvlText w:val="."/>
      <w:numFmt w:val="bullet"/>
      <w:start w:val="1"/>
    </w:lvl>
  </w:abstractNum>
  <w:abstractNum w:abstractNumId="164">
    <w:nsid w:val="DCDF8F6"/>
    <w:multiLevelType w:val="hybridMultilevel"/>
    <w:lvl w:ilvl="0">
      <w:lvlJc w:val="left"/>
      <w:lvlText w:val="."/>
      <w:numFmt w:val="bullet"/>
      <w:start w:val="1"/>
    </w:lvl>
  </w:abstractNum>
  <w:abstractNum w:abstractNumId="165">
    <w:nsid w:val="52D7B105"/>
    <w:multiLevelType w:val="hybridMultilevel"/>
    <w:lvl w:ilvl="0">
      <w:lvlJc w:val="left"/>
      <w:lvlText w:val="(%1)"/>
      <w:numFmt w:val="lowerLetter"/>
      <w:start w:val="6"/>
    </w:lvl>
    <w:lvl w:ilvl="1">
      <w:lvlJc w:val="left"/>
      <w:lvlText w:val="(%2)"/>
      <w:numFmt w:val="lowerRoman"/>
      <w:start w:val="1"/>
    </w:lvl>
  </w:abstractNum>
  <w:abstractNum w:abstractNumId="166">
    <w:nsid w:val="2E8A6394"/>
    <w:multiLevelType w:val="hybridMultilevel"/>
    <w:lvl w:ilvl="0">
      <w:lvlJc w:val="left"/>
      <w:lvlText w:val="(%1)"/>
      <w:numFmt w:val="lowerLetter"/>
      <w:start w:val="8"/>
    </w:lvl>
  </w:abstractNum>
  <w:abstractNum w:abstractNumId="167">
    <w:nsid w:val="24E60401"/>
    <w:multiLevelType w:val="hybridMultilevel"/>
    <w:lvl w:ilvl="0">
      <w:lvlJc w:val="left"/>
      <w:lvlText w:val="(%1)"/>
      <w:numFmt w:val="lowerLetter"/>
      <w:start w:val="11"/>
    </w:lvl>
  </w:abstractNum>
  <w:abstractNum w:abstractNumId="168">
    <w:nsid w:val="2A6AD9BE"/>
    <w:multiLevelType w:val="hybridMultilevel"/>
    <w:lvl w:ilvl="0">
      <w:lvlJc w:val="left"/>
      <w:lvlText w:val="(%1)"/>
      <w:numFmt w:val="lowerLetter"/>
      <w:start w:val="13"/>
    </w:lvl>
  </w:abstractNum>
  <w:abstractNum w:abstractNumId="169">
    <w:nsid w:val="BAAC1B4"/>
    <w:multiLevelType w:val="hybridMultilevel"/>
    <w:lvl w:ilvl="0">
      <w:lvlJc w:val="left"/>
      <w:lvlText w:val="."/>
      <w:numFmt w:val="bullet"/>
      <w:start w:val="1"/>
    </w:lvl>
  </w:abstractNum>
  <w:abstractNum w:abstractNumId="170">
    <w:nsid w:val="36B2ACBC"/>
    <w:multiLevelType w:val="hybridMultilevel"/>
    <w:lvl w:ilvl="0">
      <w:lvlJc w:val="left"/>
      <w:lvlText w:val="."/>
      <w:numFmt w:val="bullet"/>
      <w:start w:val="1"/>
    </w:lvl>
  </w:abstractNum>
  <w:abstractNum w:abstractNumId="171">
    <w:nsid w:val="779D8544"/>
    <w:multiLevelType w:val="hybridMultilevel"/>
    <w:lvl w:ilvl="0">
      <w:lvlJc w:val="left"/>
      <w:lvlText w:val="."/>
      <w:numFmt w:val="bullet"/>
      <w:start w:val="1"/>
    </w:lvl>
  </w:abstractNum>
  <w:abstractNum w:abstractNumId="172">
    <w:nsid w:val="4AB26E78"/>
    <w:multiLevelType w:val="hybridMultilevel"/>
    <w:lvl w:ilvl="0">
      <w:lvlJc w:val="left"/>
      <w:lvlText w:val="."/>
      <w:numFmt w:val="bullet"/>
      <w:start w:val="1"/>
    </w:lvl>
  </w:abstractNum>
  <w:abstractNum w:abstractNumId="173">
    <w:nsid w:val="21FAA2FA"/>
    <w:multiLevelType w:val="hybridMultilevel"/>
    <w:lvl w:ilvl="0">
      <w:lvlJc w:val="left"/>
      <w:lvlText w:val="."/>
      <w:numFmt w:val="bullet"/>
      <w:start w:val="1"/>
    </w:lvl>
  </w:abstractNum>
  <w:abstractNum w:abstractNumId="174">
    <w:nsid w:val="5451CF49"/>
    <w:multiLevelType w:val="hybridMultilevel"/>
    <w:lvl w:ilvl="0">
      <w:lvlJc w:val="left"/>
      <w:lvlText w:val="%1."/>
      <w:numFmt w:val="decimal"/>
      <w:start w:val="1"/>
    </w:lvl>
    <w:lvl w:ilvl="1">
      <w:lvlJc w:val="left"/>
      <w:lvlText w:val="%2)"/>
      <w:numFmt w:val="lowerLetter"/>
      <w:start w:val="1"/>
    </w:lvl>
  </w:abstractNum>
  <w:abstractNum w:abstractNumId="175">
    <w:nsid w:val="6181EF69"/>
    <w:multiLevelType w:val="hybridMultilevel"/>
    <w:lvl w:ilvl="0">
      <w:lvlJc w:val="left"/>
      <w:lvlText w:val="%1."/>
      <w:numFmt w:val="decimal"/>
      <w:start w:val="1"/>
    </w:lvl>
    <w:lvl w:ilvl="1">
      <w:lvlJc w:val="left"/>
      <w:lvlText w:val="%2)"/>
      <w:numFmt w:val="lowerLetter"/>
      <w:start w:val="1"/>
    </w:lvl>
  </w:abstractNum>
  <w:abstractNum w:abstractNumId="176">
    <w:nsid w:val="3E6400E6"/>
    <w:multiLevelType w:val="hybridMultilevel"/>
    <w:lvl w:ilvl="0">
      <w:lvlJc w:val="left"/>
      <w:lvlText w:val="(%1)"/>
      <w:numFmt w:val="decimal"/>
      <w:start w:val="1"/>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203" Type="http://schemas.openxmlformats.org/officeDocument/2006/relationships/hyperlink" Target="https://www.sec.gov/Archives/edgar/data/60714/000119312513084410/d447083dex3i1.htm" TargetMode="External"/><Relationship Id="rId204" Type="http://schemas.openxmlformats.org/officeDocument/2006/relationships/hyperlink" Target="https://www.sec.gov/Archives/edgar/data/0000060714/000119312521331386/d173096dex3i2.htm" TargetMode="External"/><Relationship Id="rId205" Type="http://schemas.openxmlformats.org/officeDocument/2006/relationships/hyperlink" Target="https://www.sec.gov/Archives/edgar/data/60714/000119312521219140/d18954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2023-07-27T15:32:08Z</dcterms:created>
  <dcterms:modified xsi:type="dcterms:W3CDTF">2023-07-27T15:32:08Z</dcterms:modified>
</cp:coreProperties>
</file>