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140970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169545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0" w:lineRule="exact"/>
        <w:rPr>
          <w:sz w:val="24"/>
          <w:szCs w:val="24"/>
          <w:color w:val="auto"/>
        </w:rPr>
      </w:pPr>
    </w:p>
    <w:p>
      <w:pPr>
        <w:ind w:left="520" w:right="40" w:hanging="512"/>
        <w:spacing w:after="0" w:line="256" w:lineRule="auto"/>
        <w:tabs>
          <w:tab w:leader="none" w:pos="442"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20" w:right="20" w:hanging="512"/>
        <w:spacing w:after="0" w:line="268" w:lineRule="auto"/>
        <w:tabs>
          <w:tab w:leader="none" w:pos="44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580" w:type="dxa"/>
        <w:tblCellMar>
          <w:top w:w="0" w:type="dxa"/>
          <w:left w:w="0" w:type="dxa"/>
          <w:bottom w:w="0" w:type="dxa"/>
          <w:right w:w="0" w:type="dxa"/>
        </w:tblCellMar>
      </w:tblPr>
      <w:tr>
        <w:trPr>
          <w:trHeight w:val="204"/>
        </w:trPr>
        <w:tc>
          <w:tcPr>
            <w:tcW w:w="2360" w:type="dxa"/>
            <w:vAlign w:val="bottom"/>
          </w:tcPr>
          <w:p>
            <w:pPr>
              <w:spacing w:after="0" w:line="204" w:lineRule="exact"/>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line="204" w:lineRule="exact"/>
              <w:rPr>
                <w:sz w:val="20"/>
                <w:szCs w:val="20"/>
                <w:color w:val="auto"/>
              </w:rPr>
            </w:pPr>
            <w:r>
              <w:rPr>
                <w:rFonts w:ascii="Arial" w:cs="Arial" w:eastAsia="Arial" w:hAnsi="Arial"/>
                <w:sz w:val="18"/>
                <w:szCs w:val="18"/>
                <w:b w:val="1"/>
                <w:bCs w:val="1"/>
                <w:color w:val="auto"/>
                <w:w w:val="70"/>
              </w:rPr>
              <w:t>to</w:t>
            </w:r>
          </w:p>
        </w:tc>
      </w:tr>
      <w:tr>
        <w:trPr>
          <w:trHeight w:val="304"/>
        </w:trPr>
        <w:tc>
          <w:tcPr>
            <w:tcW w:w="3280" w:type="dxa"/>
            <w:vAlign w:val="bottom"/>
            <w:gridSpan w:val="3"/>
          </w:tcPr>
          <w:p>
            <w:pPr>
              <w:ind w:left="820"/>
              <w:spacing w:after="0"/>
              <w:rPr>
                <w:sz w:val="20"/>
                <w:szCs w:val="20"/>
                <w:color w:val="auto"/>
              </w:rPr>
            </w:pPr>
            <w:r>
              <w:rPr>
                <w:rFonts w:ascii="Arial" w:cs="Arial" w:eastAsia="Arial" w:hAnsi="Arial"/>
                <w:sz w:val="18"/>
                <w:szCs w:val="18"/>
                <w:b w:val="1"/>
                <w:bCs w:val="1"/>
                <w:color w:val="auto"/>
                <w:w w:val="89"/>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137160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141605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400" w:lineRule="exact"/>
        <w:rPr>
          <w:sz w:val="24"/>
          <w:szCs w:val="24"/>
          <w:color w:val="auto"/>
        </w:rPr>
      </w:pPr>
    </w:p>
    <w:tbl>
      <w:tblPr>
        <w:tblLayout w:type="fixed"/>
        <w:tblInd w:w="500" w:type="dxa"/>
        <w:tblCellMar>
          <w:top w:w="0" w:type="dxa"/>
          <w:left w:w="0" w:type="dxa"/>
          <w:bottom w:w="0" w:type="dxa"/>
          <w:right w:w="0" w:type="dxa"/>
        </w:tblCellMar>
      </w:tblPr>
      <w:tr>
        <w:trPr>
          <w:trHeight w:val="225"/>
        </w:trPr>
        <w:tc>
          <w:tcPr>
            <w:tcW w:w="5980" w:type="dxa"/>
            <w:vAlign w:val="bottom"/>
          </w:tcPr>
          <w:p>
            <w:pPr>
              <w:jc w:val="center"/>
              <w:ind w:right="1381"/>
              <w:spacing w:after="0"/>
              <w:rPr>
                <w:sz w:val="20"/>
                <w:szCs w:val="20"/>
                <w:color w:val="auto"/>
              </w:rPr>
            </w:pPr>
            <w:r>
              <w:rPr>
                <w:rFonts w:ascii="Arial" w:cs="Arial" w:eastAsia="Arial" w:hAnsi="Arial"/>
                <w:sz w:val="18"/>
                <w:szCs w:val="18"/>
                <w:b w:val="1"/>
                <w:bCs w:val="1"/>
                <w:color w:val="auto"/>
                <w:w w:val="91"/>
              </w:rPr>
              <w:t>Delaware</w:t>
            </w:r>
          </w:p>
        </w:tc>
        <w:tc>
          <w:tcPr>
            <w:tcW w:w="25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8"/>
        </w:trPr>
        <w:tc>
          <w:tcPr>
            <w:tcW w:w="5980" w:type="dxa"/>
            <w:vAlign w:val="bottom"/>
          </w:tcPr>
          <w:p>
            <w:pPr>
              <w:jc w:val="center"/>
              <w:ind w:right="138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580" w:type="dxa"/>
            <w:vAlign w:val="bottom"/>
          </w:tcPr>
          <w:p>
            <w:pPr>
              <w:jc w:val="center"/>
              <w:ind w:left="13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980" w:type="dxa"/>
            <w:vAlign w:val="bottom"/>
          </w:tcPr>
          <w:p>
            <w:pPr>
              <w:jc w:val="center"/>
              <w:ind w:right="1381"/>
              <w:spacing w:after="0"/>
              <w:rPr>
                <w:sz w:val="20"/>
                <w:szCs w:val="20"/>
                <w:color w:val="auto"/>
              </w:rPr>
            </w:pPr>
            <w:r>
              <w:rPr>
                <w:rFonts w:ascii="Arial" w:cs="Arial" w:eastAsia="Arial" w:hAnsi="Arial"/>
                <w:sz w:val="14"/>
                <w:szCs w:val="14"/>
                <w:b w:val="1"/>
                <w:bCs w:val="1"/>
                <w:color w:val="auto"/>
                <w:w w:val="94"/>
              </w:rPr>
              <w:t>incorporation or organization)</w:t>
            </w:r>
          </w:p>
        </w:tc>
        <w:tc>
          <w:tcPr>
            <w:tcW w:w="2580" w:type="dxa"/>
            <w:vAlign w:val="bottom"/>
          </w:tcPr>
          <w:p>
            <w:pPr>
              <w:jc w:val="center"/>
              <w:ind w:left="1361"/>
              <w:spacing w:after="0"/>
              <w:rPr>
                <w:sz w:val="20"/>
                <w:szCs w:val="20"/>
                <w:color w:val="auto"/>
              </w:rPr>
            </w:pPr>
            <w:r>
              <w:rPr>
                <w:rFonts w:ascii="Arial" w:cs="Arial" w:eastAsia="Arial" w:hAnsi="Arial"/>
                <w:sz w:val="14"/>
                <w:szCs w:val="14"/>
                <w:b w:val="1"/>
                <w:bCs w:val="1"/>
                <w:color w:val="auto"/>
                <w:w w:val="96"/>
              </w:rPr>
              <w:t>Identification No.)</w:t>
            </w:r>
          </w:p>
        </w:tc>
      </w:tr>
      <w:tr>
        <w:trPr>
          <w:trHeight w:val="421"/>
        </w:trPr>
        <w:tc>
          <w:tcPr>
            <w:tcW w:w="5980" w:type="dxa"/>
            <w:vAlign w:val="bottom"/>
          </w:tcPr>
          <w:p>
            <w:pPr>
              <w:jc w:val="center"/>
              <w:ind w:right="1381"/>
              <w:spacing w:after="0"/>
              <w:rPr>
                <w:sz w:val="20"/>
                <w:szCs w:val="20"/>
                <w:color w:val="auto"/>
              </w:rPr>
            </w:pPr>
            <w:r>
              <w:rPr>
                <w:rFonts w:ascii="Arial" w:cs="Arial" w:eastAsia="Arial" w:hAnsi="Arial"/>
                <w:sz w:val="18"/>
                <w:szCs w:val="18"/>
                <w:b w:val="1"/>
                <w:bCs w:val="1"/>
                <w:color w:val="auto"/>
                <w:w w:val="91"/>
              </w:rPr>
              <w:t>3503 NW 63</w:t>
            </w:r>
            <w:r>
              <w:rPr>
                <w:rFonts w:ascii="Arial" w:cs="Arial" w:eastAsia="Arial" w:hAnsi="Arial"/>
                <w:sz w:val="24"/>
                <w:szCs w:val="24"/>
                <w:b w:val="1"/>
                <w:bCs w:val="1"/>
                <w:color w:val="auto"/>
                <w:w w:val="91"/>
                <w:vertAlign w:val="superscript"/>
              </w:rPr>
              <w:t>rd</w:t>
            </w:r>
            <w:r>
              <w:rPr>
                <w:rFonts w:ascii="Arial" w:cs="Arial" w:eastAsia="Arial" w:hAnsi="Arial"/>
                <w:sz w:val="18"/>
                <w:szCs w:val="18"/>
                <w:b w:val="1"/>
                <w:bCs w:val="1"/>
                <w:color w:val="auto"/>
                <w:w w:val="91"/>
              </w:rPr>
              <w:t xml:space="preserve"> Street, Suite 500, Oklahoma City, Oklahoma</w:t>
            </w:r>
          </w:p>
        </w:tc>
        <w:tc>
          <w:tcPr>
            <w:tcW w:w="2580" w:type="dxa"/>
            <w:vAlign w:val="bottom"/>
          </w:tcPr>
          <w:p>
            <w:pPr>
              <w:jc w:val="right"/>
              <w:ind w:right="281"/>
              <w:spacing w:after="0"/>
              <w:rPr>
                <w:sz w:val="20"/>
                <w:szCs w:val="20"/>
                <w:color w:val="auto"/>
              </w:rPr>
            </w:pPr>
            <w:r>
              <w:rPr>
                <w:rFonts w:ascii="Arial" w:cs="Arial" w:eastAsia="Arial" w:hAnsi="Arial"/>
                <w:sz w:val="18"/>
                <w:szCs w:val="18"/>
                <w:b w:val="1"/>
                <w:bCs w:val="1"/>
                <w:color w:val="auto"/>
              </w:rPr>
              <w:t>73116</w:t>
            </w:r>
          </w:p>
        </w:tc>
      </w:tr>
      <w:tr>
        <w:trPr>
          <w:trHeight w:val="186"/>
        </w:trPr>
        <w:tc>
          <w:tcPr>
            <w:tcW w:w="5980" w:type="dxa"/>
            <w:vAlign w:val="bottom"/>
          </w:tcPr>
          <w:p>
            <w:pPr>
              <w:jc w:val="center"/>
              <w:ind w:right="13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8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(Zip Code)</w:t>
            </w:r>
          </w:p>
        </w:tc>
      </w:tr>
    </w:tbl>
    <w:p>
      <w:pPr>
        <w:spacing w:after="0" w:line="1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(Registrant's telephone number, including area code) </w:t>
      </w:r>
      <w:r>
        <w:rPr>
          <w:rFonts w:ascii="Arial" w:cs="Arial" w:eastAsia="Arial" w:hAnsi="Arial"/>
          <w:sz w:val="17"/>
          <w:szCs w:val="17"/>
          <w:b w:val="1"/>
          <w:bCs w:val="1"/>
          <w:color w:val="auto"/>
        </w:rPr>
        <w:t>(405) 235-4546</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4"/>
        </w:trPr>
        <w:tc>
          <w:tcPr>
            <w:tcW w:w="428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LXU</w:t>
            </w:r>
          </w:p>
        </w:tc>
        <w:tc>
          <w:tcPr>
            <w:tcW w:w="120" w:type="dxa"/>
            <w:vAlign w:val="bottom"/>
          </w:tcPr>
          <w:p>
            <w:pPr>
              <w:spacing w:after="0"/>
              <w:rPr>
                <w:sz w:val="15"/>
                <w:szCs w:val="15"/>
                <w:color w:val="auto"/>
              </w:rPr>
            </w:pPr>
          </w:p>
        </w:tc>
        <w:tc>
          <w:tcPr>
            <w:tcW w:w="50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9"/>
              </w:rPr>
              <w:t>Preferred Stock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168"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jc w:val="both"/>
        <w:spacing w:after="0" w:line="25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315"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00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840"/>
        <w:spacing w:after="0" w:line="240"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The number of shares outstanding of the Registrant's common stock was 81,996,835 shares as of October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20" w:type="dxa"/>
            <w:vAlign w:val="bottom"/>
            <w:gridSpan w:val="3"/>
          </w:tcPr>
          <w:p>
            <w:pPr>
              <w:jc w:val="center"/>
              <w:ind w:right="2600"/>
              <w:spacing w:after="0"/>
              <w:rPr>
                <w:sz w:val="20"/>
                <w:szCs w:val="20"/>
                <w:color w:val="auto"/>
              </w:rPr>
            </w:pPr>
            <w:r>
              <w:rPr>
                <w:rFonts w:ascii="Arial" w:cs="Arial" w:eastAsia="Arial" w:hAnsi="Arial"/>
                <w:sz w:val="18"/>
                <w:szCs w:val="18"/>
                <w:color w:val="auto"/>
                <w:w w:val="95"/>
              </w:rPr>
              <w:t>FORM 10-Q OF LSB INDUSTRIES, INC.</w:t>
            </w:r>
          </w:p>
        </w:tc>
        <w:tc>
          <w:tcPr>
            <w:tcW w:w="660" w:type="dxa"/>
            <w:vAlign w:val="bottom"/>
          </w:tcPr>
          <w:p>
            <w:pPr>
              <w:spacing w:after="0"/>
              <w:rPr>
                <w:sz w:val="20"/>
                <w:szCs w:val="20"/>
                <w:color w:val="auto"/>
              </w:rPr>
            </w:pPr>
          </w:p>
        </w:tc>
      </w:tr>
      <w:tr>
        <w:trPr>
          <w:trHeight w:val="324"/>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gridSpan w:val="3"/>
          </w:tcPr>
          <w:p>
            <w:pPr>
              <w:jc w:val="center"/>
              <w:ind w:right="2580"/>
              <w:spacing w:after="0"/>
              <w:rPr>
                <w:sz w:val="20"/>
                <w:szCs w:val="20"/>
                <w:color w:val="auto"/>
              </w:rPr>
            </w:pPr>
            <w:r>
              <w:rPr>
                <w:rFonts w:ascii="Arial" w:cs="Arial" w:eastAsia="Arial" w:hAnsi="Arial"/>
                <w:sz w:val="18"/>
                <w:szCs w:val="18"/>
                <w:color w:val="auto"/>
                <w:w w:val="95"/>
              </w:rPr>
              <w:t>TABLE OF CONTENTS</w:t>
            </w:r>
          </w:p>
        </w:tc>
        <w:tc>
          <w:tcPr>
            <w:tcW w:w="660" w:type="dxa"/>
            <w:vAlign w:val="bottom"/>
          </w:tcPr>
          <w:p>
            <w:pPr>
              <w:spacing w:after="0"/>
              <w:rPr>
                <w:sz w:val="24"/>
                <w:szCs w:val="24"/>
                <w:color w:val="auto"/>
              </w:rPr>
            </w:pPr>
          </w:p>
        </w:tc>
      </w:tr>
      <w:tr>
        <w:trPr>
          <w:trHeight w:val="391"/>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gridSpan w:val="3"/>
          </w:tcPr>
          <w:p>
            <w:pPr>
              <w:jc w:val="center"/>
              <w:ind w:right="2440"/>
              <w:spacing w:after="0"/>
              <w:rPr>
                <w:sz w:val="20"/>
                <w:szCs w:val="20"/>
                <w:color w:val="auto"/>
              </w:rPr>
            </w:pPr>
            <w:r>
              <w:rPr>
                <w:rFonts w:ascii="Arial" w:cs="Arial" w:eastAsia="Arial" w:hAnsi="Arial"/>
                <w:sz w:val="18"/>
                <w:szCs w:val="18"/>
                <w:color w:val="auto"/>
                <w:w w:val="93"/>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9620" w:type="dxa"/>
            <w:vAlign w:val="bottom"/>
            <w:gridSpan w:val="9"/>
          </w:tcPr>
          <w:p>
            <w:pPr>
              <w:spacing w:after="0"/>
              <w:rPr>
                <w:sz w:val="20"/>
                <w:szCs w:val="20"/>
                <w:color w:val="auto"/>
              </w:rPr>
            </w:pPr>
            <w:r>
              <w:rPr>
                <w:rFonts w:ascii="Arial" w:cs="Arial" w:eastAsia="Arial" w:hAnsi="Arial"/>
                <w:sz w:val="18"/>
                <w:szCs w:val="18"/>
                <w:color w:val="0000FF"/>
              </w:rPr>
              <w:t>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9620" w:type="dxa"/>
            <w:vAlign w:val="bottom"/>
            <w:gridSpan w:val="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9620" w:type="dxa"/>
            <w:vAlign w:val="bottom"/>
            <w:gridSpan w:val="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30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2"/>
        </w:trPr>
        <w:tc>
          <w:tcPr>
            <w:tcW w:w="9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gridSpan w:val="3"/>
          </w:tcPr>
          <w:p>
            <w:pPr>
              <w:jc w:val="center"/>
              <w:ind w:right="2440"/>
              <w:spacing w:after="0"/>
              <w:rPr>
                <w:sz w:val="20"/>
                <w:szCs w:val="20"/>
                <w:color w:val="auto"/>
              </w:rPr>
            </w:pPr>
            <w:r>
              <w:rPr>
                <w:rFonts w:ascii="Arial" w:cs="Arial" w:eastAsia="Arial" w:hAnsi="Arial"/>
                <w:sz w:val="18"/>
                <w:szCs w:val="18"/>
                <w:color w:val="auto"/>
                <w:w w:val="93"/>
              </w:rPr>
              <w:t>PART II – Other Information</w:t>
            </w:r>
          </w:p>
        </w:tc>
        <w:tc>
          <w:tcPr>
            <w:tcW w:w="660" w:type="dxa"/>
            <w:vAlign w:val="bottom"/>
          </w:tcPr>
          <w:p>
            <w:pPr>
              <w:spacing w:after="0"/>
              <w:rPr>
                <w:sz w:val="24"/>
                <w:szCs w:val="24"/>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962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1A.</w:t>
            </w:r>
          </w:p>
        </w:tc>
        <w:tc>
          <w:tcPr>
            <w:tcW w:w="9620" w:type="dxa"/>
            <w:vAlign w:val="bottom"/>
            <w:gridSpan w:val="9"/>
          </w:tcPr>
          <w:p>
            <w:pPr>
              <w:spacing w:after="0"/>
              <w:rPr>
                <w:sz w:val="20"/>
                <w:szCs w:val="20"/>
                <w:color w:val="auto"/>
              </w:rPr>
            </w:pPr>
            <w:r>
              <w:rPr>
                <w:rFonts w:ascii="Arial" w:cs="Arial" w:eastAsia="Arial" w:hAnsi="Arial"/>
                <w:sz w:val="18"/>
                <w:szCs w:val="18"/>
                <w:color w:val="0000FF"/>
              </w:rPr>
              <w:t>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9620" w:type="dxa"/>
            <w:vAlign w:val="bottom"/>
            <w:gridSpan w:val="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9620" w:type="dxa"/>
            <w:vAlign w:val="bottom"/>
            <w:gridSpan w:val="9"/>
          </w:tcPr>
          <w:p>
            <w:pPr>
              <w:spacing w:after="0"/>
              <w:rPr>
                <w:sz w:val="20"/>
                <w:szCs w:val="20"/>
                <w:color w:val="auto"/>
              </w:rPr>
            </w:pPr>
            <w:r>
              <w:rPr>
                <w:rFonts w:ascii="Arial" w:cs="Arial" w:eastAsia="Arial" w:hAnsi="Arial"/>
                <w:sz w:val="18"/>
                <w:szCs w:val="18"/>
                <w:color w:val="0000FF"/>
              </w:rPr>
              <w:t>Defaults Upon Senior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5.</w:t>
            </w:r>
          </w:p>
        </w:tc>
        <w:tc>
          <w:tcPr>
            <w:tcW w:w="962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1"/>
        </w:trPr>
        <w:tc>
          <w:tcPr>
            <w:tcW w:w="960" w:type="dxa"/>
            <w:vAlign w:val="bottom"/>
          </w:tcPr>
          <w:p>
            <w:pPr>
              <w:ind w:left="20"/>
              <w:spacing w:after="0"/>
              <w:rPr>
                <w:sz w:val="20"/>
                <w:szCs w:val="20"/>
                <w:color w:val="auto"/>
              </w:rPr>
            </w:pPr>
            <w:r>
              <w:rPr>
                <w:rFonts w:ascii="Arial" w:cs="Arial" w:eastAsia="Arial" w:hAnsi="Arial"/>
                <w:sz w:val="18"/>
                <w:szCs w:val="18"/>
                <w:color w:val="auto"/>
              </w:rPr>
              <w:t>Item 6.</w:t>
            </w:r>
          </w:p>
        </w:tc>
        <w:tc>
          <w:tcPr>
            <w:tcW w:w="962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0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52"/>
        </w:trPr>
        <w:tc>
          <w:tcPr>
            <w:tcW w:w="10580" w:type="dxa"/>
            <w:vAlign w:val="bottom"/>
            <w:gridSpan w:val="10"/>
          </w:tcPr>
          <w:p>
            <w:pPr>
              <w:spacing w:after="0"/>
              <w:rPr>
                <w:sz w:val="20"/>
                <w:szCs w:val="20"/>
                <w:color w:val="auto"/>
              </w:rPr>
            </w:pPr>
            <w:r>
              <w:rPr>
                <w:rFonts w:ascii="Arial" w:cs="Arial" w:eastAsia="Arial" w:hAnsi="Arial"/>
                <w:sz w:val="18"/>
                <w:szCs w:val="18"/>
                <w:color w:val="auto"/>
              </w:rPr>
              <w:t>When we refer to "us", "we", "our", "Company" or "LSB" we are describing LSB Industries, Inc. and its subsidiaries.</w:t>
            </w:r>
          </w:p>
        </w:tc>
        <w:tc>
          <w:tcPr>
            <w:tcW w:w="66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6400" w:type="dxa"/>
            <w:vAlign w:val="bottom"/>
            <w:gridSpan w:val="8"/>
          </w:tcPr>
          <w:p>
            <w:pPr>
              <w:jc w:val="center"/>
              <w:ind w:left="2830"/>
              <w:spacing w:after="0"/>
              <w:rPr>
                <w:sz w:val="20"/>
                <w:szCs w:val="20"/>
                <w:color w:val="auto"/>
              </w:rPr>
            </w:pPr>
            <w:r>
              <w:rPr>
                <w:rFonts w:ascii="Arial" w:cs="Arial" w:eastAsia="Arial" w:hAnsi="Arial"/>
                <w:sz w:val="18"/>
                <w:szCs w:val="18"/>
                <w:color w:val="auto"/>
                <w:w w:val="79"/>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07"/>
        </w:trPr>
        <w:tc>
          <w:tcPr>
            <w:tcW w:w="22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4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LSB INDUSTRIES, INC.</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(Information at September 30, 2022 is unaudited)</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0"/>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September 30,</w:t>
            </w:r>
          </w:p>
        </w:tc>
        <w:tc>
          <w:tcPr>
            <w:tcW w:w="18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31,</w:t>
            </w:r>
          </w:p>
        </w:tc>
      </w:tr>
      <w:tr>
        <w:trPr>
          <w:trHeight w:val="230"/>
        </w:trPr>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196"/>
        </w:trPr>
        <w:tc>
          <w:tcPr>
            <w:tcW w:w="2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5"/>
          </w:tcPr>
          <w:p>
            <w:pPr>
              <w:jc w:val="right"/>
              <w:ind w:right="1300"/>
              <w:spacing w:after="0"/>
              <w:rPr>
                <w:sz w:val="20"/>
                <w:szCs w:val="20"/>
                <w:color w:val="auto"/>
              </w:rPr>
            </w:pPr>
            <w:r>
              <w:rPr>
                <w:rFonts w:ascii="Arial" w:cs="Arial" w:eastAsia="Arial" w:hAnsi="Arial"/>
                <w:sz w:val="16"/>
                <w:szCs w:val="16"/>
                <w:color w:val="auto"/>
              </w:rPr>
              <w:t>(In Thousands)</w:t>
            </w:r>
          </w:p>
        </w:tc>
      </w:tr>
      <w:tr>
        <w:trPr>
          <w:trHeight w:val="216"/>
        </w:trPr>
        <w:tc>
          <w:tcPr>
            <w:tcW w:w="32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4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365,573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Accounts receivable</w:t>
            </w: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107,847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86,902</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Allowance for doubtful accounts</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(620 )</w:t>
            </w:r>
          </w:p>
        </w:tc>
        <w:tc>
          <w:tcPr>
            <w:tcW w:w="1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(474 )</w:t>
            </w:r>
          </w:p>
        </w:tc>
      </w:tr>
      <w:tr>
        <w:trPr>
          <w:trHeight w:val="209"/>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44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107,227</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86,428</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Finished goods</w:t>
            </w: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14,688</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Raw materials</w:t>
            </w:r>
          </w:p>
        </w:tc>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r>
      <w:tr>
        <w:trPr>
          <w:trHeight w:val="209"/>
        </w:trPr>
        <w:tc>
          <w:tcPr>
            <w:tcW w:w="32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Total inventories</w:t>
            </w: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16,583</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Supplies, prepaid items and other:</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Prepaid insurance</w:t>
            </w: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14,244</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Precious metals</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14,945</w:t>
            </w: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Supplies</w:t>
            </w: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26,558</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8"/>
                <w:szCs w:val="18"/>
                <w:color w:val="auto"/>
              </w:rPr>
            </w:pPr>
          </w:p>
        </w:tc>
      </w:tr>
      <w:tr>
        <w:trPr>
          <w:trHeight w:val="209"/>
        </w:trPr>
        <w:tc>
          <w:tcPr>
            <w:tcW w:w="328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w w:val="95"/>
              </w:rPr>
              <w:t>Total supplies, prepaid items and other</w:t>
            </w:r>
          </w:p>
        </w:tc>
        <w:tc>
          <w:tcPr>
            <w:tcW w:w="44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48,887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571,052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243,136</w:t>
            </w:r>
          </w:p>
        </w:tc>
        <w:tc>
          <w:tcPr>
            <w:tcW w:w="10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853,939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858,480</w:t>
            </w:r>
          </w:p>
        </w:tc>
        <w:tc>
          <w:tcPr>
            <w:tcW w:w="10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 assets</w:t>
            </w: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27,317</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Intangible and other assets, net</w:t>
            </w:r>
          </w:p>
        </w:tc>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8"/>
                <w:szCs w:val="18"/>
                <w:color w:val="auto"/>
              </w:rPr>
            </w:pPr>
          </w:p>
        </w:tc>
      </w:tr>
      <w:tr>
        <w:trPr>
          <w:trHeight w:val="209"/>
        </w:trPr>
        <w:tc>
          <w:tcPr>
            <w:tcW w:w="2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31,224</w:t>
            </w:r>
          </w:p>
        </w:tc>
        <w:tc>
          <w:tcPr>
            <w:tcW w:w="10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1,452,732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39"/>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8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80" w:type="dxa"/>
            <w:vAlign w:val="bottom"/>
          </w:tcPr>
          <w:p>
            <w:pPr>
              <w:jc w:val="center"/>
              <w:ind w:left="11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4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-2054225</wp:posOffset>
            </wp:positionV>
            <wp:extent cx="685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-2054225</wp:posOffset>
            </wp:positionV>
            <wp:extent cx="6858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-658495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-641350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4660"/>
        <w:spacing w:after="0"/>
        <w:rPr>
          <w:sz w:val="20"/>
          <w:szCs w:val="20"/>
          <w:color w:val="auto"/>
        </w:rPr>
      </w:pPr>
      <w:r>
        <w:rPr>
          <w:rFonts w:ascii="Arial" w:cs="Arial" w:eastAsia="Arial" w:hAnsi="Arial"/>
          <w:sz w:val="18"/>
          <w:szCs w:val="18"/>
          <w:b w:val="1"/>
          <w:bCs w:val="1"/>
          <w:color w:val="auto"/>
        </w:rPr>
        <w:t>LSB INDUSTRIES, INC.</w:t>
      </w:r>
    </w:p>
    <w:p>
      <w:pPr>
        <w:spacing w:after="0" w:line="2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BALANCE SHEETS (continued)</w:t>
      </w:r>
    </w:p>
    <w:p>
      <w:pPr>
        <w:jc w:val="center"/>
        <w:spacing w:after="0"/>
        <w:rPr>
          <w:sz w:val="20"/>
          <w:szCs w:val="20"/>
          <w:color w:val="auto"/>
        </w:rPr>
      </w:pPr>
      <w:r>
        <w:rPr>
          <w:rFonts w:ascii="Arial" w:cs="Arial" w:eastAsia="Arial" w:hAnsi="Arial"/>
          <w:sz w:val="18"/>
          <w:szCs w:val="18"/>
          <w:b w:val="1"/>
          <w:bCs w:val="1"/>
          <w:color w:val="auto"/>
        </w:rPr>
        <w:t>(Information at September 30, 2022 is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11"/>
              <w:spacing w:after="0"/>
              <w:rPr>
                <w:sz w:val="20"/>
                <w:szCs w:val="20"/>
                <w:color w:val="auto"/>
              </w:rPr>
            </w:pPr>
            <w:r>
              <w:rPr>
                <w:rFonts w:ascii="Arial" w:cs="Arial" w:eastAsia="Arial" w:hAnsi="Arial"/>
                <w:sz w:val="18"/>
                <w:szCs w:val="18"/>
                <w:color w:val="auto"/>
                <w:w w:val="94"/>
              </w:rPr>
              <w:t>September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w:t>
            </w:r>
          </w:p>
        </w:tc>
      </w:tr>
      <w:tr>
        <w:trPr>
          <w:trHeight w:val="230"/>
        </w:trPr>
        <w:tc>
          <w:tcPr>
            <w:tcW w:w="7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gridSpan w:val="5"/>
          </w:tcPr>
          <w:p>
            <w:pPr>
              <w:jc w:val="right"/>
              <w:ind w:right="1340"/>
              <w:spacing w:after="0"/>
              <w:rPr>
                <w:sz w:val="20"/>
                <w:szCs w:val="20"/>
                <w:color w:val="auto"/>
              </w:rPr>
            </w:pPr>
            <w:r>
              <w:rPr>
                <w:rFonts w:ascii="Arial" w:cs="Arial" w:eastAsia="Arial" w:hAnsi="Arial"/>
                <w:sz w:val="16"/>
                <w:szCs w:val="16"/>
                <w:color w:val="auto"/>
              </w:rPr>
              <w:t>(In Thousands)</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93,887</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Short-term financing</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and other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147,643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104,929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703,811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518,190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accrued and other liabilities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57,843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5)</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4"/>
        </w:trPr>
        <w:tc>
          <w:tcPr>
            <w:tcW w:w="7660" w:type="dxa"/>
            <w:vAlign w:val="bottom"/>
          </w:tcPr>
          <w:p>
            <w:pPr>
              <w:ind w:left="120"/>
              <w:spacing w:after="0" w:line="175" w:lineRule="exact"/>
              <w:rPr>
                <w:sz w:val="20"/>
                <w:szCs w:val="20"/>
                <w:color w:val="auto"/>
              </w:rPr>
            </w:pPr>
            <w:r>
              <w:rPr>
                <w:rFonts w:ascii="Arial" w:cs="Arial" w:eastAsia="Arial" w:hAnsi="Arial"/>
                <w:sz w:val="18"/>
                <w:szCs w:val="18"/>
                <w:color w:val="auto"/>
              </w:rPr>
              <w:t>Common stock, $.10 par value; 150 million shares authorized, 91.2 million</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660" w:type="dxa"/>
            <w:vAlign w:val="bottom"/>
          </w:tcPr>
          <w:p>
            <w:pPr>
              <w:ind w:left="240"/>
              <w:spacing w:after="0"/>
              <w:rPr>
                <w:sz w:val="20"/>
                <w:szCs w:val="20"/>
                <w:color w:val="auto"/>
              </w:rPr>
            </w:pPr>
            <w:r>
              <w:rPr>
                <w:rFonts w:ascii="Arial" w:cs="Arial" w:eastAsia="Arial" w:hAnsi="Arial"/>
                <w:sz w:val="18"/>
                <w:szCs w:val="18"/>
                <w:color w:val="auto"/>
              </w:rPr>
              <w:t>shares issued</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20"/>
                <w:szCs w:val="20"/>
                <w:color w:val="auto"/>
              </w:rPr>
            </w:pPr>
          </w:p>
        </w:tc>
      </w:tr>
      <w:tr>
        <w:trPr>
          <w:trHeight w:val="216"/>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496,251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493,161</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133,222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(31,255 )</w:t>
            </w:r>
          </w:p>
        </w:tc>
      </w:tr>
      <w:tr>
        <w:trPr>
          <w:trHeight w:val="209"/>
        </w:trPr>
        <w:tc>
          <w:tcPr>
            <w:tcW w:w="76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638,590</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471,023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Less treasury stock, at cost:</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Common stock, 9.2 million shares (1.4 million shares at December 31, 2021)</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112,446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526,144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460,490</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1,452,732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-316230</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 w:name="page5"/>
    <w:bookmarkEnd w:id="4"/>
    <w:p>
      <w:pPr>
        <w:ind w:left="4660"/>
        <w:spacing w:after="0"/>
        <w:rPr>
          <w:sz w:val="20"/>
          <w:szCs w:val="20"/>
          <w:color w:val="auto"/>
        </w:rPr>
      </w:pPr>
      <w:r>
        <w:rPr>
          <w:rFonts w:ascii="Arial" w:cs="Arial" w:eastAsia="Arial" w:hAnsi="Arial"/>
          <w:sz w:val="18"/>
          <w:szCs w:val="18"/>
          <w:b w:val="1"/>
          <w:bCs w:val="1"/>
          <w:color w:val="auto"/>
        </w:rPr>
        <w:t>LSB INDUSTRIES, INC.</w:t>
      </w:r>
    </w:p>
    <w:p>
      <w:pPr>
        <w:spacing w:after="0" w:line="2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69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420" w:type="dxa"/>
            <w:vAlign w:val="bottom"/>
            <w:gridSpan w:val="5"/>
          </w:tcPr>
          <w:p>
            <w:pPr>
              <w:jc w:val="right"/>
              <w:ind w:right="581"/>
              <w:spacing w:after="0"/>
              <w:rPr>
                <w:sz w:val="20"/>
                <w:szCs w:val="20"/>
                <w:color w:val="auto"/>
              </w:rPr>
            </w:pPr>
            <w:r>
              <w:rPr>
                <w:rFonts w:ascii="Arial" w:cs="Arial" w:eastAsia="Arial" w:hAnsi="Arial"/>
                <w:sz w:val="18"/>
                <w:szCs w:val="18"/>
                <w:color w:val="auto"/>
              </w:rPr>
              <w:t>Nine Months Ended</w:t>
            </w:r>
          </w:p>
        </w:tc>
      </w:t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93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2420" w:type="dxa"/>
            <w:vAlign w:val="bottom"/>
            <w:gridSpan w:val="5"/>
          </w:tcPr>
          <w:p>
            <w:pPr>
              <w:jc w:val="right"/>
              <w:ind w:right="781"/>
              <w:spacing w:after="0"/>
              <w:rPr>
                <w:sz w:val="20"/>
                <w:szCs w:val="20"/>
                <w:color w:val="auto"/>
              </w:rPr>
            </w:pPr>
            <w:r>
              <w:rPr>
                <w:rFonts w:ascii="Arial" w:cs="Arial" w:eastAsia="Arial" w:hAnsi="Arial"/>
                <w:sz w:val="18"/>
                <w:szCs w:val="18"/>
                <w:color w:val="auto"/>
              </w:rPr>
              <w:t>September 30,</w:t>
            </w:r>
          </w:p>
        </w:tc>
      </w:tr>
      <w:tr>
        <w:trPr>
          <w:trHeight w:val="230"/>
        </w:trPr>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196"/>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7"/>
          </w:tcPr>
          <w:p>
            <w:pPr>
              <w:jc w:val="right"/>
              <w:ind w:right="60"/>
              <w:spacing w:after="0"/>
              <w:rPr>
                <w:sz w:val="20"/>
                <w:szCs w:val="20"/>
                <w:color w:val="auto"/>
              </w:rPr>
            </w:pPr>
            <w:r>
              <w:rPr>
                <w:rFonts w:ascii="Arial" w:cs="Arial" w:eastAsia="Arial" w:hAnsi="Arial"/>
                <w:sz w:val="16"/>
                <w:szCs w:val="16"/>
                <w:color w:val="auto"/>
                <w:w w:val="91"/>
              </w:rPr>
              <w:t>(In Thousands, Except Per Share Amounts)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184,273</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127,199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668,057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366,011</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412,274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305,496</w:t>
            </w:r>
          </w:p>
        </w:tc>
        <w:tc>
          <w:tcPr>
            <w:tcW w:w="10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255,783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60,515</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28,938</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5,373</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225,695</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31,360</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37,618</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Loss (gain) on extinguishment of debt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(10,000 )</w:t>
            </w: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Non-operating other expense (income), net</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(2,219 )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(5,627 )</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Income before provision (benefit) for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(8,909 )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196,754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(187 )</w:t>
            </w:r>
          </w:p>
        </w:tc>
      </w:tr>
      <w:tr>
        <w:trPr>
          <w:trHeight w:val="20"/>
        </w:trPr>
        <w:tc>
          <w:tcPr>
            <w:tcW w:w="5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(8,928 )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164,477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Dividends on convertible preferred stocks</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on Series E redeemable preferred stock</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29,914</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Accretion of Series E redeemable preferred stock</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r>
      <w:tr>
        <w:trPr>
          <w:trHeight w:val="174"/>
        </w:trPr>
        <w:tc>
          <w:tcPr>
            <w:tcW w:w="57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Deemed dividend on Series E and Series F</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57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redeemable preferred stocks</w:t>
            </w: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231,812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231,812</w:t>
            </w:r>
          </w:p>
        </w:tc>
        <w:tc>
          <w:tcPr>
            <w:tcW w:w="100" w:type="dxa"/>
            <w:vAlign w:val="bottom"/>
            <w:shd w:val="clear" w:color="auto" w:fill="CFF0FC"/>
          </w:tcPr>
          <w:p>
            <w:pPr>
              <w:spacing w:after="0"/>
              <w:rPr>
                <w:sz w:val="20"/>
                <w:szCs w:val="20"/>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(251,504</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164,477</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Income (loss) per common share: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(6.39 )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(6.94 )</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(6.39 )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(6.94 )</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-2414270</wp:posOffset>
            </wp:positionV>
            <wp:extent cx="7683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-2414270</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-2414270</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-2131695</wp:posOffset>
            </wp:positionV>
            <wp:extent cx="7683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-2131695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-2131695</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-2131695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660"/>
        <w:spacing w:after="0"/>
        <w:rPr>
          <w:sz w:val="20"/>
          <w:szCs w:val="20"/>
          <w:color w:val="auto"/>
        </w:rPr>
      </w:pPr>
      <w:r>
        <w:rPr>
          <w:rFonts w:ascii="Arial" w:cs="Arial" w:eastAsia="Arial" w:hAnsi="Arial"/>
          <w:sz w:val="18"/>
          <w:szCs w:val="18"/>
          <w:b w:val="1"/>
          <w:bCs w:val="1"/>
          <w:color w:val="auto"/>
        </w:rPr>
        <w:t>LSB INDUSTRIES, INC.</w:t>
      </w:r>
    </w:p>
    <w:p>
      <w:pPr>
        <w:spacing w:after="0" w:line="2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348"/>
              <w:spacing w:after="0"/>
              <w:rPr>
                <w:sz w:val="20"/>
                <w:szCs w:val="20"/>
                <w:color w:val="auto"/>
              </w:rPr>
            </w:pPr>
            <w:r>
              <w:rPr>
                <w:rFonts w:ascii="Arial" w:cs="Arial" w:eastAsia="Arial" w:hAnsi="Arial"/>
                <w:sz w:val="14"/>
                <w:szCs w:val="14"/>
                <w:color w:val="auto"/>
              </w:rPr>
              <w:t>Treasury</w:t>
            </w:r>
          </w:p>
        </w:tc>
        <w:tc>
          <w:tcPr>
            <w:tcW w:w="14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w w:val="95"/>
              </w:rPr>
              <w:t>Common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Capital in</w:t>
            </w:r>
          </w:p>
        </w:tc>
        <w:tc>
          <w:tcPr>
            <w:tcW w:w="80" w:type="dxa"/>
            <w:vAlign w:val="bottom"/>
          </w:tcPr>
          <w:p>
            <w:pPr>
              <w:spacing w:after="0"/>
              <w:rPr>
                <w:sz w:val="14"/>
                <w:szCs w:val="14"/>
                <w:color w:val="auto"/>
              </w:rPr>
            </w:pPr>
          </w:p>
        </w:tc>
        <w:tc>
          <w:tcPr>
            <w:tcW w:w="1160" w:type="dxa"/>
            <w:vAlign w:val="bottom"/>
            <w:gridSpan w:val="2"/>
          </w:tcPr>
          <w:p>
            <w:pPr>
              <w:jc w:val="center"/>
              <w:ind w:right="268"/>
              <w:spacing w:after="0"/>
              <w:rPr>
                <w:sz w:val="20"/>
                <w:szCs w:val="20"/>
                <w:color w:val="auto"/>
              </w:rPr>
            </w:pPr>
            <w:r>
              <w:rPr>
                <w:rFonts w:ascii="Arial" w:cs="Arial" w:eastAsia="Arial" w:hAnsi="Arial"/>
                <w:sz w:val="14"/>
                <w:szCs w:val="14"/>
                <w:color w:val="auto"/>
                <w:w w:val="89"/>
              </w:rPr>
              <w:t>Retained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240" w:type="dxa"/>
            <w:vAlign w:val="bottom"/>
          </w:tcPr>
          <w:p>
            <w:pPr>
              <w:spacing w:after="0"/>
              <w:rPr>
                <w:sz w:val="12"/>
                <w:szCs w:val="12"/>
                <w:color w:val="auto"/>
              </w:rPr>
            </w:pPr>
          </w:p>
        </w:tc>
        <w:tc>
          <w:tcPr>
            <w:tcW w:w="1100" w:type="dxa"/>
            <w:vAlign w:val="bottom"/>
            <w:gridSpan w:val="2"/>
          </w:tcPr>
          <w:p>
            <w:pPr>
              <w:jc w:val="right"/>
              <w:ind w:right="408"/>
              <w:spacing w:after="0" w:line="149" w:lineRule="exact"/>
              <w:rPr>
                <w:sz w:val="20"/>
                <w:szCs w:val="20"/>
                <w:color w:val="auto"/>
              </w:rPr>
            </w:pPr>
            <w:r>
              <w:rPr>
                <w:rFonts w:ascii="Arial" w:cs="Arial" w:eastAsia="Arial" w:hAnsi="Arial"/>
                <w:sz w:val="14"/>
                <w:szCs w:val="14"/>
                <w:color w:val="auto"/>
              </w:rPr>
              <w:t>Stock-</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Redeemable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2"/>
              </w:rPr>
              <w:t>Excess of</w:t>
            </w:r>
          </w:p>
        </w:tc>
        <w:tc>
          <w:tcPr>
            <w:tcW w:w="80" w:type="dxa"/>
            <w:vAlign w:val="bottom"/>
          </w:tcPr>
          <w:p>
            <w:pPr>
              <w:spacing w:after="0"/>
              <w:rPr>
                <w:sz w:val="12"/>
                <w:szCs w:val="12"/>
                <w:color w:val="auto"/>
              </w:rPr>
            </w:pPr>
          </w:p>
        </w:tc>
        <w:tc>
          <w:tcPr>
            <w:tcW w:w="116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0"/>
              </w:rPr>
              <w:t>Earnings</w:t>
            </w:r>
          </w:p>
        </w:tc>
        <w:tc>
          <w:tcPr>
            <w:tcW w:w="100" w:type="dxa"/>
            <w:vAlign w:val="bottom"/>
          </w:tcPr>
          <w:p>
            <w:pPr>
              <w:spacing w:after="0"/>
              <w:rPr>
                <w:sz w:val="12"/>
                <w:szCs w:val="12"/>
                <w:color w:val="auto"/>
              </w:rPr>
            </w:pPr>
          </w:p>
        </w:tc>
        <w:tc>
          <w:tcPr>
            <w:tcW w:w="900" w:type="dxa"/>
            <w:vAlign w:val="bottom"/>
            <w:gridSpan w:val="2"/>
          </w:tcPr>
          <w:p>
            <w:pPr>
              <w:jc w:val="center"/>
              <w:ind w:right="248"/>
              <w:spacing w:after="0" w:line="149" w:lineRule="exact"/>
              <w:rPr>
                <w:sz w:val="20"/>
                <w:szCs w:val="20"/>
                <w:color w:val="auto"/>
              </w:rPr>
            </w:pPr>
            <w:r>
              <w:rPr>
                <w:rFonts w:ascii="Arial" w:cs="Arial" w:eastAsia="Arial" w:hAnsi="Arial"/>
                <w:sz w:val="14"/>
                <w:szCs w:val="14"/>
                <w:color w:val="auto"/>
                <w:w w:val="90"/>
              </w:rPr>
              <w:t>Treasury</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240" w:type="dxa"/>
            <w:vAlign w:val="bottom"/>
          </w:tcPr>
          <w:p>
            <w:pPr>
              <w:spacing w:after="0"/>
              <w:rPr>
                <w:sz w:val="12"/>
                <w:szCs w:val="12"/>
                <w:color w:val="auto"/>
              </w:rPr>
            </w:pPr>
          </w:p>
        </w:tc>
        <w:tc>
          <w:tcPr>
            <w:tcW w:w="110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5"/>
              </w:rPr>
              <w:t>Preferred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Par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Par</w:t>
            </w:r>
          </w:p>
        </w:tc>
        <w:tc>
          <w:tcPr>
            <w:tcW w:w="80" w:type="dxa"/>
            <w:vAlign w:val="bottom"/>
          </w:tcPr>
          <w:p>
            <w:pPr>
              <w:spacing w:after="0"/>
              <w:rPr>
                <w:sz w:val="12"/>
                <w:szCs w:val="12"/>
                <w:color w:val="auto"/>
              </w:rPr>
            </w:pPr>
          </w:p>
        </w:tc>
        <w:tc>
          <w:tcPr>
            <w:tcW w:w="116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5"/>
              </w:rPr>
              <w:t>(Accumulated</w:t>
            </w:r>
          </w:p>
        </w:tc>
        <w:tc>
          <w:tcPr>
            <w:tcW w:w="100" w:type="dxa"/>
            <w:vAlign w:val="bottom"/>
          </w:tcPr>
          <w:p>
            <w:pPr>
              <w:spacing w:after="0"/>
              <w:rPr>
                <w:sz w:val="12"/>
                <w:szCs w:val="12"/>
                <w:color w:val="auto"/>
              </w:rPr>
            </w:pPr>
          </w:p>
        </w:tc>
        <w:tc>
          <w:tcPr>
            <w:tcW w:w="900" w:type="dxa"/>
            <w:vAlign w:val="bottom"/>
            <w:gridSpan w:val="2"/>
          </w:tcPr>
          <w:p>
            <w:pPr>
              <w:jc w:val="center"/>
              <w:ind w:right="248"/>
              <w:spacing w:after="0" w:line="149" w:lineRule="exact"/>
              <w:rPr>
                <w:sz w:val="20"/>
                <w:szCs w:val="20"/>
                <w:color w:val="auto"/>
              </w:rPr>
            </w:pPr>
            <w:r>
              <w:rPr>
                <w:rFonts w:ascii="Arial" w:cs="Arial" w:eastAsia="Arial" w:hAnsi="Arial"/>
                <w:sz w:val="14"/>
                <w:szCs w:val="14"/>
                <w:color w:val="auto"/>
                <w:w w:val="95"/>
              </w:rPr>
              <w:t>Stock-</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4"/>
        </w:trPr>
        <w:tc>
          <w:tcPr>
            <w:tcW w:w="27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40" w:type="dxa"/>
            <w:vAlign w:val="bottom"/>
          </w:tcPr>
          <w:p>
            <w:pPr>
              <w:spacing w:after="0"/>
              <w:rPr>
                <w:sz w:val="16"/>
                <w:szCs w:val="16"/>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6"/>
              </w:rPr>
              <w:t>Stock</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Deficit)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5"/>
              </w:rPr>
              <w:t>Common</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6"/>
                <w:szCs w:val="16"/>
                <w:color w:val="auto"/>
              </w:rPr>
            </w:pPr>
          </w:p>
        </w:tc>
      </w:tr>
      <w:tr>
        <w:trPr>
          <w:trHeight w:val="196"/>
        </w:trPr>
        <w:tc>
          <w:tcPr>
            <w:tcW w:w="2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6"/>
                <w:szCs w:val="16"/>
                <w:color w:val="auto"/>
              </w:rPr>
              <w:t>(In</w:t>
            </w:r>
          </w:p>
        </w:tc>
        <w:tc>
          <w:tcPr>
            <w:tcW w:w="1000" w:type="dxa"/>
            <w:vAlign w:val="bottom"/>
            <w:gridSpan w:val="3"/>
          </w:tcPr>
          <w:p>
            <w:pPr>
              <w:jc w:val="right"/>
              <w:ind w:right="348"/>
              <w:spacing w:after="0"/>
              <w:rPr>
                <w:sz w:val="20"/>
                <w:szCs w:val="20"/>
                <w:color w:val="auto"/>
              </w:rPr>
            </w:pPr>
            <w:r>
              <w:rPr>
                <w:rFonts w:ascii="Arial" w:cs="Arial" w:eastAsia="Arial" w:hAnsi="Arial"/>
                <w:sz w:val="15"/>
                <w:szCs w:val="15"/>
                <w:color w:val="auto"/>
                <w:w w:val="70"/>
              </w:rPr>
              <w:t>Thousands)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91,168</w:t>
            </w:r>
          </w:p>
        </w:tc>
        <w:tc>
          <w:tcPr>
            <w:tcW w:w="134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(1,375 )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493,161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(31,255 )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(10,533 )</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460,490</w:t>
            </w:r>
          </w:p>
        </w:tc>
        <w:tc>
          <w:tcPr>
            <w:tcW w:w="100" w:type="dxa"/>
            <w:vAlign w:val="bottom"/>
            <w:shd w:val="clear" w:color="auto" w:fill="CFF0FC"/>
          </w:tcPr>
          <w:p>
            <w:pPr>
              <w:spacing w:after="0"/>
              <w:rPr>
                <w:sz w:val="15"/>
                <w:szCs w:val="15"/>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58,766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58,766</w:t>
            </w:r>
          </w:p>
        </w:tc>
        <w:tc>
          <w:tcPr>
            <w:tcW w:w="100" w:type="dxa"/>
            <w:vAlign w:val="bottom"/>
          </w:tcPr>
          <w:p>
            <w:pPr>
              <w:spacing w:after="0"/>
              <w:rPr>
                <w:sz w:val="15"/>
                <w:szCs w:val="15"/>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FF0FC"/>
          </w:tcPr>
          <w:p>
            <w:pPr>
              <w:spacing w:after="0"/>
              <w:rPr>
                <w:sz w:val="15"/>
                <w:szCs w:val="15"/>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Other</w:t>
            </w:r>
          </w:p>
        </w:tc>
        <w:tc>
          <w:tcPr>
            <w:tcW w:w="820" w:type="dxa"/>
            <w:vAlign w:val="bottom"/>
          </w:tcPr>
          <w:p>
            <w:pPr>
              <w:spacing w:after="0"/>
              <w:rPr>
                <w:sz w:val="15"/>
                <w:szCs w:val="15"/>
                <w:color w:val="auto"/>
              </w:rPr>
            </w:pP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(229 )</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(1,871 )</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(1,871 )</w:t>
            </w:r>
          </w:p>
        </w:tc>
      </w:tr>
      <w:tr>
        <w:trPr>
          <w:trHeight w:val="169"/>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2022</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91,168</w:t>
            </w:r>
          </w:p>
        </w:tc>
        <w:tc>
          <w:tcPr>
            <w:tcW w:w="24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(1,604</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9,117</w:t>
            </w: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493,964</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27,511</w:t>
            </w: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(12,404</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518,188</w:t>
            </w:r>
          </w:p>
        </w:tc>
        <w:tc>
          <w:tcPr>
            <w:tcW w:w="100" w:type="dxa"/>
            <w:vAlign w:val="bottom"/>
            <w:shd w:val="clear" w:color="auto" w:fill="CFF0FC"/>
          </w:tcPr>
          <w:p>
            <w:pPr>
              <w:spacing w:after="0"/>
              <w:rPr>
                <w:sz w:val="14"/>
                <w:szCs w:val="14"/>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103,399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103,399</w:t>
            </w:r>
          </w:p>
        </w:tc>
        <w:tc>
          <w:tcPr>
            <w:tcW w:w="100" w:type="dxa"/>
            <w:vAlign w:val="bottom"/>
          </w:tcPr>
          <w:p>
            <w:pPr>
              <w:spacing w:after="0"/>
              <w:rPr>
                <w:sz w:val="15"/>
                <w:szCs w:val="15"/>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1,366</w:t>
            </w:r>
          </w:p>
        </w:tc>
        <w:tc>
          <w:tcPr>
            <w:tcW w:w="100" w:type="dxa"/>
            <w:vAlign w:val="bottom"/>
            <w:shd w:val="clear" w:color="auto" w:fill="CFF0FC"/>
          </w:tcPr>
          <w:p>
            <w:pPr>
              <w:spacing w:after="0"/>
              <w:rPr>
                <w:sz w:val="15"/>
                <w:szCs w:val="15"/>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820" w:type="dxa"/>
            <w:vAlign w:val="bottom"/>
          </w:tcPr>
          <w:p>
            <w:pPr>
              <w:spacing w:after="0"/>
              <w:rPr>
                <w:sz w:val="15"/>
                <w:szCs w:val="15"/>
                <w:color w:val="auto"/>
              </w:rPr>
            </w:pP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(713 )</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(13,394 )</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(13,394 )</w:t>
            </w:r>
          </w:p>
        </w:tc>
      </w:tr>
      <w:tr>
        <w:trPr>
          <w:trHeight w:val="169"/>
        </w:trPr>
        <w:tc>
          <w:tcPr>
            <w:tcW w:w="27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June 30, 2022</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91,168</w:t>
            </w:r>
          </w:p>
        </w:tc>
        <w:tc>
          <w:tcPr>
            <w:tcW w:w="24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(2,317</w:t>
            </w:r>
          </w:p>
        </w:tc>
        <w:tc>
          <w:tcPr>
            <w:tcW w:w="240" w:type="dxa"/>
            <w:vAlign w:val="bottom"/>
            <w:tcBorders>
              <w:top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9,117</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495,330</w:t>
            </w:r>
          </w:p>
        </w:tc>
        <w:tc>
          <w:tcPr>
            <w:tcW w:w="2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130,910</w:t>
            </w:r>
          </w:p>
        </w:tc>
        <w:tc>
          <w:tcPr>
            <w:tcW w:w="2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(25,798</w:t>
            </w:r>
          </w:p>
        </w:tc>
        <w:tc>
          <w:tcPr>
            <w:tcW w:w="200" w:type="dxa"/>
            <w:vAlign w:val="bottom"/>
            <w:tcBorders>
              <w:top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609,559</w:t>
            </w: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2,312</w:t>
            </w:r>
          </w:p>
        </w:tc>
        <w:tc>
          <w:tcPr>
            <w:tcW w:w="100" w:type="dxa"/>
            <w:vAlign w:val="bottom"/>
          </w:tcPr>
          <w:p>
            <w:pPr>
              <w:spacing w:after="0"/>
              <w:rPr>
                <w:sz w:val="15"/>
                <w:szCs w:val="15"/>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FF0FC"/>
          </w:tcPr>
          <w:p>
            <w:pPr>
              <w:spacing w:after="0"/>
              <w:rPr>
                <w:sz w:val="15"/>
                <w:szCs w:val="15"/>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820" w:type="dxa"/>
            <w:vAlign w:val="bottom"/>
          </w:tcPr>
          <w:p>
            <w:pPr>
              <w:spacing w:after="0"/>
              <w:rPr>
                <w:sz w:val="15"/>
                <w:szCs w:val="15"/>
                <w:color w:val="auto"/>
              </w:rPr>
            </w:pP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(6,854 )</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(86,648 )</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(86,648 )</w:t>
            </w:r>
          </w:p>
        </w:tc>
      </w:tr>
      <w:tr>
        <w:trPr>
          <w:trHeight w:val="209"/>
        </w:trPr>
        <w:tc>
          <w:tcPr>
            <w:tcW w:w="2740" w:type="dxa"/>
            <w:vAlign w:val="bottom"/>
            <w:tcBorders>
              <w:top w:val="single" w:sz="8" w:color="CFF0FC"/>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September 30, 2022</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91,168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(9,171</w:t>
            </w:r>
          </w:p>
        </w:tc>
        <w:tc>
          <w:tcPr>
            <w:tcW w:w="240" w:type="dxa"/>
            <w:vAlign w:val="bottom"/>
            <w:tcBorders>
              <w:top w:val="single" w:sz="8" w:color="CFF0FC"/>
              <w:bottom w:val="single" w:sz="8" w:color="CFF0FC"/>
            </w:tcBorders>
            <w:shd w:val="clear" w:color="auto" w:fill="CFF0FC"/>
          </w:tcPr>
          <w:p>
            <w:pPr>
              <w:jc w:val="right"/>
              <w:ind w:right="108"/>
              <w:spacing w:after="0" w:line="149"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9,117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496,251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133,222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(112,446</w:t>
            </w:r>
          </w:p>
        </w:tc>
        <w:tc>
          <w:tcPr>
            <w:tcW w:w="200" w:type="dxa"/>
            <w:vAlign w:val="bottom"/>
            <w:tcBorders>
              <w:top w:val="single" w:sz="8" w:color="CFF0FC"/>
              <w:bottom w:val="single" w:sz="8" w:color="CFF0FC"/>
            </w:tcBorders>
            <w:shd w:val="clear" w:color="auto" w:fill="CFF0FC"/>
          </w:tcPr>
          <w:p>
            <w:pPr>
              <w:jc w:val="right"/>
              <w:ind w:right="68"/>
              <w:spacing w:after="0" w:line="149"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526,144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156"/>
        </w:trPr>
        <w:tc>
          <w:tcPr>
            <w:tcW w:w="2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39,926</w:t>
            </w:r>
          </w:p>
        </w:tc>
        <w:tc>
          <w:tcPr>
            <w:tcW w:w="134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(2,075 )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197,350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(41,487 )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(13,213 )</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149,643</w:t>
            </w:r>
          </w:p>
        </w:tc>
        <w:tc>
          <w:tcPr>
            <w:tcW w:w="100" w:type="dxa"/>
            <w:vAlign w:val="bottom"/>
            <w:shd w:val="clear" w:color="auto" w:fill="CFF0FC"/>
          </w:tcPr>
          <w:p>
            <w:pPr>
              <w:spacing w:after="0"/>
              <w:rPr>
                <w:sz w:val="15"/>
                <w:szCs w:val="15"/>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(13,279 )</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(13,279 )</w:t>
            </w:r>
          </w:p>
        </w:tc>
      </w:tr>
      <w:tr>
        <w:trPr>
          <w:trHeight w:val="143"/>
        </w:trPr>
        <w:tc>
          <w:tcPr>
            <w:tcW w:w="2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Dividend accrued on redeemable</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2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(9,511 )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(9,511 )</w:t>
            </w: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Accretion of redeemable preferred stock</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(511 )</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(511 )</w:t>
            </w: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FF0FC"/>
          </w:tcPr>
          <w:p>
            <w:pPr>
              <w:spacing w:after="0"/>
              <w:rPr>
                <w:sz w:val="15"/>
                <w:szCs w:val="15"/>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Issuance of restricted stock</w:t>
            </w:r>
          </w:p>
        </w:tc>
        <w:tc>
          <w:tcPr>
            <w:tcW w:w="820" w:type="dxa"/>
            <w:vAlign w:val="bottom"/>
          </w:tcPr>
          <w:p>
            <w:pPr>
              <w:jc w:val="right"/>
              <w:spacing w:after="0"/>
              <w:rPr>
                <w:sz w:val="20"/>
                <w:szCs w:val="20"/>
                <w:color w:val="auto"/>
              </w:rPr>
            </w:pPr>
            <w:r>
              <w:rPr>
                <w:rFonts w:ascii="Arial" w:cs="Arial" w:eastAsia="Arial" w:hAnsi="Arial"/>
                <w:sz w:val="14"/>
                <w:szCs w:val="14"/>
                <w:color w:val="auto"/>
              </w:rPr>
              <w:t>250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835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(5,335 )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5,310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(5 )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(18 )</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(18 )</w:t>
            </w:r>
          </w:p>
        </w:tc>
      </w:tr>
      <w:tr>
        <w:trPr>
          <w:trHeight w:val="20"/>
        </w:trPr>
        <w:tc>
          <w:tcPr>
            <w:tcW w:w="27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820" w:type="dxa"/>
            <w:vAlign w:val="bottom"/>
          </w:tcPr>
          <w:p>
            <w:pPr>
              <w:jc w:val="right"/>
              <w:spacing w:after="0"/>
              <w:rPr>
                <w:sz w:val="20"/>
                <w:szCs w:val="20"/>
                <w:color w:val="auto"/>
              </w:rPr>
            </w:pPr>
            <w:r>
              <w:rPr>
                <w:rFonts w:ascii="Arial" w:cs="Arial" w:eastAsia="Arial" w:hAnsi="Arial"/>
                <w:sz w:val="14"/>
                <w:szCs w:val="14"/>
                <w:color w:val="auto"/>
              </w:rPr>
              <w:t>40,176</w:t>
            </w:r>
          </w:p>
        </w:tc>
        <w:tc>
          <w:tcPr>
            <w:tcW w:w="24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(1,245 )</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4,018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192,728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(64,788 )</w:t>
            </w:r>
          </w:p>
        </w:tc>
        <w:tc>
          <w:tcPr>
            <w:tcW w:w="10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(7,921 )</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127,037</w:t>
            </w:r>
          </w:p>
        </w:tc>
        <w:tc>
          <w:tcPr>
            <w:tcW w:w="100" w:type="dxa"/>
            <w:vAlign w:val="bottom"/>
          </w:tcPr>
          <w:p>
            <w:pPr>
              <w:spacing w:after="0"/>
              <w:rPr>
                <w:sz w:val="14"/>
                <w:szCs w:val="14"/>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23,670</w:t>
            </w:r>
          </w:p>
        </w:tc>
        <w:tc>
          <w:tcPr>
            <w:tcW w:w="100" w:type="dxa"/>
            <w:vAlign w:val="bottom"/>
            <w:shd w:val="clear" w:color="auto" w:fill="CFF0FC"/>
          </w:tcPr>
          <w:p>
            <w:pPr>
              <w:spacing w:after="0"/>
              <w:rPr>
                <w:sz w:val="15"/>
                <w:szCs w:val="15"/>
                <w:color w:val="auto"/>
              </w:rPr>
            </w:pPr>
          </w:p>
        </w:tc>
      </w:tr>
      <w:tr>
        <w:trPr>
          <w:trHeight w:val="143"/>
        </w:trPr>
        <w:tc>
          <w:tcPr>
            <w:tcW w:w="2740" w:type="dxa"/>
            <w:vAlign w:val="bottom"/>
          </w:tcPr>
          <w:p>
            <w:pPr>
              <w:ind w:left="20"/>
              <w:spacing w:after="0" w:line="143" w:lineRule="exact"/>
              <w:rPr>
                <w:sz w:val="20"/>
                <w:szCs w:val="20"/>
                <w:color w:val="auto"/>
              </w:rPr>
            </w:pPr>
            <w:r>
              <w:rPr>
                <w:rFonts w:ascii="Arial" w:cs="Arial" w:eastAsia="Arial" w:hAnsi="Arial"/>
                <w:sz w:val="14"/>
                <w:szCs w:val="14"/>
                <w:color w:val="auto"/>
              </w:rPr>
              <w:t>Dividend accrued on redeemable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274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(10,213 )</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(10,213 )</w:t>
            </w: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redeemable preferred stock</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(513 )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(513 )</w:t>
            </w: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5"/>
                <w:szCs w:val="15"/>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unrestricted stock</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(1,708 )</w:t>
            </w: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Other</w:t>
            </w:r>
          </w:p>
        </w:tc>
        <w:tc>
          <w:tcPr>
            <w:tcW w:w="820" w:type="dxa"/>
            <w:vAlign w:val="bottom"/>
          </w:tcPr>
          <w:p>
            <w:pPr>
              <w:spacing w:after="0"/>
              <w:rPr>
                <w:sz w:val="15"/>
                <w:szCs w:val="15"/>
                <w:color w:val="auto"/>
              </w:rPr>
            </w:pP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(5 )</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(28 )</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(28 )</w:t>
            </w:r>
          </w:p>
        </w:tc>
      </w:tr>
      <w:tr>
        <w:trPr>
          <w:trHeight w:val="169"/>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June 30, 2021</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40,256</w:t>
            </w:r>
          </w:p>
        </w:tc>
        <w:tc>
          <w:tcPr>
            <w:tcW w:w="24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(983</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4,026</w:t>
            </w: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192,082</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(51,844</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(6,249</w:t>
            </w:r>
          </w:p>
        </w:tc>
        <w:tc>
          <w:tcPr>
            <w:tcW w:w="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141,015</w:t>
            </w:r>
          </w:p>
        </w:tc>
        <w:tc>
          <w:tcPr>
            <w:tcW w:w="100" w:type="dxa"/>
            <w:vAlign w:val="bottom"/>
            <w:shd w:val="clear" w:color="auto" w:fill="CFF0FC"/>
          </w:tcPr>
          <w:p>
            <w:pPr>
              <w:spacing w:after="0"/>
              <w:rPr>
                <w:sz w:val="14"/>
                <w:szCs w:val="14"/>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(8,928 )</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(8,928 )</w:t>
            </w:r>
          </w:p>
        </w:tc>
      </w:tr>
      <w:tr>
        <w:trPr>
          <w:trHeight w:val="143"/>
        </w:trPr>
        <w:tc>
          <w:tcPr>
            <w:tcW w:w="2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Issuance of common stock in exchange</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2740" w:type="dxa"/>
            <w:vAlign w:val="bottom"/>
            <w:shd w:val="clear" w:color="auto" w:fill="CFF0FC"/>
          </w:tcPr>
          <w:p>
            <w:pPr>
              <w:ind w:left="160"/>
              <w:spacing w:after="0"/>
              <w:rPr>
                <w:sz w:val="20"/>
                <w:szCs w:val="20"/>
                <w:color w:val="auto"/>
              </w:rPr>
            </w:pPr>
            <w:r>
              <w:rPr>
                <w:rFonts w:ascii="Arial" w:cs="Arial" w:eastAsia="Arial" w:hAnsi="Arial"/>
                <w:sz w:val="14"/>
                <w:szCs w:val="14"/>
                <w:color w:val="auto"/>
              </w:rPr>
              <w:t>for redeemable preferred stocks</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49,066</w:t>
            </w: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526,232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531,139</w:t>
            </w:r>
          </w:p>
        </w:tc>
        <w:tc>
          <w:tcPr>
            <w:tcW w:w="100" w:type="dxa"/>
            <w:vAlign w:val="bottom"/>
            <w:shd w:val="clear" w:color="auto" w:fill="CFF0FC"/>
          </w:tcPr>
          <w:p>
            <w:pPr>
              <w:spacing w:after="0"/>
              <w:rPr>
                <w:sz w:val="15"/>
                <w:szCs w:val="15"/>
                <w:color w:val="auto"/>
              </w:rPr>
            </w:pPr>
          </w:p>
        </w:tc>
      </w:tr>
      <w:tr>
        <w:trPr>
          <w:trHeight w:val="143"/>
        </w:trPr>
        <w:tc>
          <w:tcPr>
            <w:tcW w:w="2740" w:type="dxa"/>
            <w:vAlign w:val="bottom"/>
          </w:tcPr>
          <w:p>
            <w:pPr>
              <w:ind w:left="20"/>
              <w:spacing w:after="0" w:line="143" w:lineRule="exact"/>
              <w:rPr>
                <w:sz w:val="20"/>
                <w:szCs w:val="20"/>
                <w:color w:val="auto"/>
              </w:rPr>
            </w:pPr>
            <w:r>
              <w:rPr>
                <w:rFonts w:ascii="Arial" w:cs="Arial" w:eastAsia="Arial" w:hAnsi="Arial"/>
                <w:sz w:val="14"/>
                <w:szCs w:val="14"/>
                <w:color w:val="auto"/>
              </w:rPr>
              <w:t>Deemed dividend on redeemable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2740" w:type="dxa"/>
            <w:vAlign w:val="bottom"/>
          </w:tcPr>
          <w:p>
            <w:pPr>
              <w:ind w:left="120"/>
              <w:spacing w:after="0"/>
              <w:rPr>
                <w:sz w:val="20"/>
                <w:szCs w:val="20"/>
                <w:color w:val="auto"/>
              </w:rPr>
            </w:pPr>
            <w:r>
              <w:rPr>
                <w:rFonts w:ascii="Arial" w:cs="Arial" w:eastAsia="Arial" w:hAnsi="Arial"/>
                <w:sz w:val="14"/>
                <w:szCs w:val="14"/>
                <w:color w:val="auto"/>
              </w:rPr>
              <w:t>preferred stocks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(231,812 )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(231,812 )</w:t>
            </w:r>
          </w:p>
        </w:tc>
      </w:tr>
      <w:tr>
        <w:trPr>
          <w:trHeight w:val="143"/>
        </w:trPr>
        <w:tc>
          <w:tcPr>
            <w:tcW w:w="27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Dividend accrued on redeemable</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2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preferred stock prior to exchange</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(10,190 )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(10,190 )</w:t>
            </w:r>
          </w:p>
        </w:tc>
      </w:tr>
      <w:tr>
        <w:trPr>
          <w:trHeight w:val="143"/>
        </w:trPr>
        <w:tc>
          <w:tcPr>
            <w:tcW w:w="2740" w:type="dxa"/>
            <w:vAlign w:val="bottom"/>
          </w:tcPr>
          <w:p>
            <w:pPr>
              <w:ind w:left="20"/>
              <w:spacing w:after="0" w:line="143" w:lineRule="exact"/>
              <w:rPr>
                <w:sz w:val="20"/>
                <w:szCs w:val="20"/>
                <w:color w:val="auto"/>
              </w:rPr>
            </w:pPr>
            <w:r>
              <w:rPr>
                <w:rFonts w:ascii="Arial" w:cs="Arial" w:eastAsia="Arial" w:hAnsi="Arial"/>
                <w:sz w:val="14"/>
                <w:szCs w:val="14"/>
                <w:color w:val="auto"/>
              </w:rPr>
              <w:t>Accretion of redeemable preferred</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2740" w:type="dxa"/>
            <w:vAlign w:val="bottom"/>
          </w:tcPr>
          <w:p>
            <w:pPr>
              <w:ind w:left="120"/>
              <w:spacing w:after="0"/>
              <w:rPr>
                <w:sz w:val="20"/>
                <w:szCs w:val="20"/>
                <w:color w:val="auto"/>
              </w:rPr>
            </w:pPr>
            <w:r>
              <w:rPr>
                <w:rFonts w:ascii="Arial" w:cs="Arial" w:eastAsia="Arial" w:hAnsi="Arial"/>
                <w:sz w:val="14"/>
                <w:szCs w:val="14"/>
                <w:color w:val="auto"/>
              </w:rPr>
              <w:t>stock prior to exchange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(499 )</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(499 )</w:t>
            </w: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2,553</w:t>
            </w:r>
          </w:p>
        </w:tc>
        <w:tc>
          <w:tcPr>
            <w:tcW w:w="100" w:type="dxa"/>
            <w:vAlign w:val="bottom"/>
            <w:shd w:val="clear" w:color="auto" w:fill="CFF0FC"/>
          </w:tcPr>
          <w:p>
            <w:pPr>
              <w:spacing w:after="0"/>
              <w:rPr>
                <w:sz w:val="15"/>
                <w:szCs w:val="15"/>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4"/>
                <w:szCs w:val="14"/>
                <w:color w:val="auto"/>
                <w:w w:val="98"/>
              </w:rPr>
              <w:t>Issuance of restricted and unrestricted stock</w:t>
            </w:r>
          </w:p>
        </w:tc>
        <w:tc>
          <w:tcPr>
            <w:tcW w:w="820" w:type="dxa"/>
            <w:vAlign w:val="bottom"/>
          </w:tcPr>
          <w:p>
            <w:pPr>
              <w:jc w:val="right"/>
              <w:spacing w:after="0"/>
              <w:rPr>
                <w:sz w:val="20"/>
                <w:szCs w:val="20"/>
                <w:color w:val="auto"/>
              </w:rPr>
            </w:pPr>
            <w:r>
              <w:rPr>
                <w:rFonts w:ascii="Arial" w:cs="Arial" w:eastAsia="Arial" w:hAnsi="Arial"/>
                <w:sz w:val="14"/>
                <w:szCs w:val="14"/>
                <w:color w:val="auto"/>
              </w:rPr>
              <w:t>520</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(52 )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(35 )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(312 )</w:t>
            </w:r>
          </w:p>
        </w:tc>
        <w:tc>
          <w:tcPr>
            <w:tcW w:w="1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(210 )</w:t>
            </w:r>
          </w:p>
        </w:tc>
      </w:tr>
      <w:tr>
        <w:trPr>
          <w:trHeight w:val="20"/>
        </w:trPr>
        <w:tc>
          <w:tcPr>
            <w:tcW w:w="27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740" w:type="dxa"/>
            <w:vAlign w:val="bottom"/>
          </w:tcPr>
          <w:p>
            <w:pPr>
              <w:ind w:left="20"/>
              <w:spacing w:after="0" w:line="155" w:lineRule="exact"/>
              <w:rPr>
                <w:sz w:val="20"/>
                <w:szCs w:val="20"/>
                <w:color w:val="auto"/>
              </w:rPr>
            </w:pPr>
            <w:r>
              <w:rPr>
                <w:rFonts w:ascii="Arial" w:cs="Arial" w:eastAsia="Arial" w:hAnsi="Arial"/>
                <w:sz w:val="14"/>
                <w:szCs w:val="14"/>
                <w:color w:val="auto"/>
              </w:rPr>
              <w:t>Balance at September 30, 2021</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89,842</w:t>
            </w:r>
          </w:p>
        </w:tc>
        <w:tc>
          <w:tcPr>
            <w:tcW w:w="240" w:type="dxa"/>
            <w:vAlign w:val="bottom"/>
          </w:tcPr>
          <w:p>
            <w:pPr>
              <w:spacing w:after="0"/>
              <w:rPr>
                <w:sz w:val="14"/>
                <w:szCs w:val="14"/>
                <w:color w:val="auto"/>
              </w:rPr>
            </w:pPr>
          </w:p>
        </w:tc>
        <w:tc>
          <w:tcPr>
            <w:tcW w:w="110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(1,018 )</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3,000</w:t>
            </w:r>
          </w:p>
        </w:tc>
        <w:tc>
          <w:tcPr>
            <w:tcW w:w="3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8,985</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489,105</w:t>
            </w:r>
          </w:p>
        </w:tc>
        <w:tc>
          <w:tcPr>
            <w:tcW w:w="22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(71,461 )</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(6,561 )</w:t>
            </w:r>
          </w:p>
        </w:tc>
        <w:tc>
          <w:tcPr>
            <w:tcW w:w="18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423,068</w:t>
            </w:r>
          </w:p>
        </w:tc>
        <w:tc>
          <w:tcPr>
            <w:tcW w:w="10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-3997960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-3997960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-3997960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-3997960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-3997960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-3997960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-3997960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-3543935</wp:posOffset>
            </wp:positionV>
            <wp:extent cx="488061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80610" cy="257175"/>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-2414270</wp:posOffset>
            </wp:positionV>
            <wp:extent cx="7683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-2414270</wp:posOffset>
            </wp:positionV>
            <wp:extent cx="7683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-2414270</wp:posOffset>
            </wp:positionV>
            <wp:extent cx="6858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-2414270</wp:posOffset>
            </wp:positionV>
            <wp:extent cx="685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-2414270</wp:posOffset>
            </wp:positionV>
            <wp:extent cx="6858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-2414270</wp:posOffset>
            </wp:positionV>
            <wp:extent cx="6858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-2414270</wp:posOffset>
            </wp:positionV>
            <wp:extent cx="6858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-144780</wp:posOffset>
            </wp:positionV>
            <wp:extent cx="7683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-144780</wp:posOffset>
            </wp:positionV>
            <wp:extent cx="7683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-144780</wp:posOffset>
            </wp:positionV>
            <wp:extent cx="6858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-144780</wp:posOffset>
            </wp:positionV>
            <wp:extent cx="6858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-144780</wp:posOffset>
            </wp:positionV>
            <wp:extent cx="6858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-144780</wp:posOffset>
            </wp:positionV>
            <wp:extent cx="685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-144780</wp:posOffset>
            </wp:positionV>
            <wp:extent cx="685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LSB INDUSTRIES, INC.</w:t>
      </w:r>
    </w:p>
    <w:p>
      <w:pPr>
        <w:spacing w:after="0" w:line="2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ind w:right="130"/>
              <w:spacing w:after="0"/>
              <w:rPr>
                <w:sz w:val="20"/>
                <w:szCs w:val="20"/>
                <w:color w:val="auto"/>
              </w:rPr>
            </w:pPr>
            <w:r>
              <w:rPr>
                <w:rFonts w:ascii="Arial" w:cs="Arial" w:eastAsia="Arial" w:hAnsi="Arial"/>
                <w:sz w:val="18"/>
                <w:szCs w:val="18"/>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20"/>
                <w:szCs w:val="20"/>
                <w:color w:val="auto"/>
              </w:rPr>
            </w:pPr>
          </w:p>
        </w:tc>
      </w:tr>
      <w:tr>
        <w:trPr>
          <w:trHeight w:val="196"/>
        </w:trPr>
        <w:tc>
          <w:tcPr>
            <w:tcW w:w="7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70"/>
              <w:spacing w:after="0"/>
              <w:rPr>
                <w:sz w:val="20"/>
                <w:szCs w:val="20"/>
                <w:color w:val="auto"/>
              </w:rPr>
            </w:pPr>
            <w:r>
              <w:rPr>
                <w:rFonts w:ascii="Arial" w:cs="Arial" w:eastAsia="Arial" w:hAnsi="Arial"/>
                <w:sz w:val="16"/>
                <w:szCs w:val="16"/>
                <w:color w:val="auto"/>
              </w:rPr>
              <w:t>(In</w:t>
            </w:r>
          </w:p>
        </w:tc>
        <w:tc>
          <w:tcPr>
            <w:tcW w:w="880" w:type="dxa"/>
            <w:vAlign w:val="bottom"/>
            <w:gridSpan w:val="2"/>
          </w:tcPr>
          <w:p>
            <w:pPr>
              <w:jc w:val="right"/>
              <w:ind w:right="150"/>
              <w:spacing w:after="0"/>
              <w:rPr>
                <w:sz w:val="20"/>
                <w:szCs w:val="20"/>
                <w:color w:val="auto"/>
              </w:rPr>
            </w:pPr>
            <w:r>
              <w:rPr>
                <w:rFonts w:ascii="Arial" w:cs="Arial" w:eastAsia="Arial" w:hAnsi="Arial"/>
                <w:sz w:val="16"/>
                <w:szCs w:val="16"/>
                <w:color w:val="auto"/>
                <w:w w:val="73"/>
              </w:rPr>
              <w:t>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164,477</w:t>
            </w:r>
          </w:p>
        </w:tc>
        <w:tc>
          <w:tcPr>
            <w:tcW w:w="28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31,210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(gain) on extinguishment of debt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(10,000 )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plant and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50,013</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51,380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intangible and other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3,089</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(2,484 )</w:t>
            </w: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Cash provided (used) by changes in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(22,105 )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(22,130 )</w:t>
            </w: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480" w:type="dxa"/>
            <w:vAlign w:val="bottom"/>
            <w:gridSpan w:val="2"/>
          </w:tcPr>
          <w:p>
            <w:pPr>
              <w:jc w:val="right"/>
              <w:ind w:right="115"/>
              <w:spacing w:after="0"/>
              <w:rPr>
                <w:sz w:val="20"/>
                <w:szCs w:val="20"/>
                <w:color w:val="auto"/>
              </w:rPr>
            </w:pPr>
            <w:r>
              <w:rPr>
                <w:rFonts w:ascii="Arial" w:cs="Arial" w:eastAsia="Arial" w:hAnsi="Arial"/>
                <w:sz w:val="18"/>
                <w:szCs w:val="18"/>
                <w:color w:val="auto"/>
              </w:rPr>
              <w:t>(13,147 )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insurance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12,486</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32,004</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9,432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10,010</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Arial" w:cs="Arial" w:eastAsia="Arial" w:hAnsi="Arial"/>
                <w:sz w:val="18"/>
                <w:szCs w:val="18"/>
                <w:color w:val="auto"/>
              </w:rPr>
              <w:t>Accrued payroll and benefits</w:t>
            </w:r>
          </w:p>
        </w:tc>
        <w:tc>
          <w:tcPr>
            <w:tcW w:w="360" w:type="dxa"/>
            <w:vAlign w:val="bottom"/>
          </w:tcPr>
          <w:p>
            <w:pPr>
              <w:spacing w:after="0"/>
              <w:rPr>
                <w:sz w:val="18"/>
                <w:szCs w:val="18"/>
                <w:color w:val="auto"/>
              </w:rPr>
            </w:pPr>
          </w:p>
        </w:tc>
        <w:tc>
          <w:tcPr>
            <w:tcW w:w="1480" w:type="dxa"/>
            <w:vAlign w:val="bottom"/>
            <w:gridSpan w:val="2"/>
          </w:tcPr>
          <w:p>
            <w:pPr>
              <w:jc w:val="right"/>
              <w:ind w:right="115"/>
              <w:spacing w:after="0"/>
              <w:rPr>
                <w:sz w:val="20"/>
                <w:szCs w:val="20"/>
                <w:color w:val="auto"/>
              </w:rPr>
            </w:pPr>
            <w:r>
              <w:rPr>
                <w:rFonts w:ascii="Arial" w:cs="Arial" w:eastAsia="Arial" w:hAnsi="Arial"/>
                <w:sz w:val="18"/>
                <w:szCs w:val="18"/>
                <w:color w:val="auto"/>
              </w:rPr>
              <w:t>(2,298 )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 and other liabilities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(5,075 )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(5,856 )</w:t>
            </w:r>
          </w:p>
        </w:tc>
      </w:tr>
      <w:tr>
        <w:trPr>
          <w:trHeight w:val="209"/>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259,182</w:t>
            </w:r>
          </w:p>
        </w:tc>
        <w:tc>
          <w:tcPr>
            <w:tcW w:w="28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65,471</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(32,531 )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(26,101 )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short-term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59,728</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(423,091 )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by investing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(392,948</w:t>
            </w:r>
          </w:p>
        </w:tc>
        <w:tc>
          <w:tcPr>
            <w:tcW w:w="2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revolving debt facility</w:t>
            </w:r>
          </w:p>
        </w:tc>
        <w:tc>
          <w:tcPr>
            <w:tcW w:w="360" w:type="dxa"/>
            <w:vAlign w:val="bottom"/>
          </w:tcPr>
          <w:p>
            <w:pPr>
              <w:spacing w:after="0"/>
              <w:rPr>
                <w:sz w:val="18"/>
                <w:szCs w:val="18"/>
                <w:color w:val="auto"/>
              </w:rPr>
            </w:pPr>
          </w:p>
        </w:tc>
        <w:tc>
          <w:tcPr>
            <w:tcW w:w="148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revolving debt facility</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(12,000 )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Net proceeds from 6.25% senior secured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other long-term debt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(10,950 )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(7,726 )</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Payments on short-term financing</w:t>
            </w:r>
          </w:p>
        </w:tc>
        <w:tc>
          <w:tcPr>
            <w:tcW w:w="360" w:type="dxa"/>
            <w:vAlign w:val="bottom"/>
          </w:tcPr>
          <w:p>
            <w:pPr>
              <w:spacing w:after="0"/>
              <w:rPr>
                <w:sz w:val="18"/>
                <w:szCs w:val="18"/>
                <w:color w:val="auto"/>
              </w:rPr>
            </w:pPr>
          </w:p>
        </w:tc>
        <w:tc>
          <w:tcPr>
            <w:tcW w:w="1480" w:type="dxa"/>
            <w:vAlign w:val="bottom"/>
            <w:gridSpan w:val="2"/>
          </w:tcPr>
          <w:p>
            <w:pPr>
              <w:jc w:val="right"/>
              <w:ind w:right="115"/>
              <w:spacing w:after="0"/>
              <w:rPr>
                <w:sz w:val="20"/>
                <w:szCs w:val="20"/>
                <w:color w:val="auto"/>
              </w:rPr>
            </w:pPr>
            <w:r>
              <w:rPr>
                <w:rFonts w:ascii="Arial" w:cs="Arial" w:eastAsia="Arial" w:hAnsi="Arial"/>
                <w:sz w:val="18"/>
                <w:szCs w:val="18"/>
                <w:color w:val="auto"/>
              </w:rPr>
              <w:t>(11,291 )</w:t>
            </w:r>
          </w:p>
        </w:tc>
        <w:tc>
          <w:tcPr>
            <w:tcW w:w="6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(12,493 )</w:t>
            </w:r>
          </w:p>
        </w:tc>
      </w:tr>
      <w:tr>
        <w:trPr>
          <w:trHeight w:val="174"/>
        </w:trPr>
        <w:tc>
          <w:tcPr>
            <w:tcW w:w="77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Payments of debt-related costs, including</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extinguishment costs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(4,455 )</w:t>
            </w:r>
          </w:p>
        </w:tc>
        <w:tc>
          <w:tcPr>
            <w:tcW w:w="6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(611 )</w:t>
            </w:r>
          </w:p>
        </w:tc>
      </w:tr>
      <w:tr>
        <w:trPr>
          <w:trHeight w:val="174"/>
        </w:trPr>
        <w:tc>
          <w:tcPr>
            <w:tcW w:w="7740" w:type="dxa"/>
            <w:vAlign w:val="bottom"/>
          </w:tcPr>
          <w:p>
            <w:pPr>
              <w:ind w:left="200"/>
              <w:spacing w:after="0" w:line="175" w:lineRule="exact"/>
              <w:rPr>
                <w:sz w:val="20"/>
                <w:szCs w:val="20"/>
                <w:color w:val="auto"/>
              </w:rPr>
            </w:pPr>
            <w:r>
              <w:rPr>
                <w:rFonts w:ascii="Arial" w:cs="Arial" w:eastAsia="Arial" w:hAnsi="Arial"/>
                <w:sz w:val="18"/>
                <w:szCs w:val="18"/>
                <w:color w:val="auto"/>
              </w:rPr>
              <w:t>Payments of costs to exchange redeemable preferred</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stocks for common stock</w:t>
            </w:r>
          </w:p>
        </w:tc>
        <w:tc>
          <w:tcPr>
            <w:tcW w:w="360" w:type="dxa"/>
            <w:vAlign w:val="bottom"/>
          </w:tcPr>
          <w:p>
            <w:pPr>
              <w:spacing w:after="0"/>
              <w:rPr>
                <w:sz w:val="20"/>
                <w:szCs w:val="20"/>
                <w:color w:val="auto"/>
              </w:rPr>
            </w:pPr>
          </w:p>
        </w:tc>
        <w:tc>
          <w:tcPr>
            <w:tcW w:w="1480" w:type="dxa"/>
            <w:vAlign w:val="bottom"/>
            <w:gridSpan w:val="2"/>
          </w:tcPr>
          <w:p>
            <w:pPr>
              <w:jc w:val="right"/>
              <w:ind w:right="2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(2,076 )</w:t>
            </w: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 of treasury stock</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(101,912 )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360" w:type="dxa"/>
            <w:vAlign w:val="bottom"/>
          </w:tcPr>
          <w:p>
            <w:pPr>
              <w:spacing w:after="0"/>
              <w:rPr>
                <w:sz w:val="18"/>
                <w:szCs w:val="18"/>
                <w:color w:val="auto"/>
              </w:rPr>
            </w:pPr>
          </w:p>
        </w:tc>
        <w:tc>
          <w:tcPr>
            <w:tcW w:w="1480" w:type="dxa"/>
            <w:vAlign w:val="bottom"/>
            <w:gridSpan w:val="2"/>
          </w:tcPr>
          <w:p>
            <w:pPr>
              <w:jc w:val="right"/>
              <w:ind w:right="115"/>
              <w:spacing w:after="0"/>
              <w:rPr>
                <w:sz w:val="20"/>
                <w:szCs w:val="20"/>
                <w:color w:val="auto"/>
              </w:rPr>
            </w:pPr>
            <w:r>
              <w:rPr>
                <w:rFonts w:ascii="Arial" w:cs="Arial" w:eastAsia="Arial" w:hAnsi="Arial"/>
                <w:sz w:val="18"/>
                <w:szCs w:val="18"/>
                <w:color w:val="auto"/>
              </w:rPr>
              <w:t>(135 )</w:t>
            </w:r>
          </w:p>
        </w:tc>
        <w:tc>
          <w:tcPr>
            <w:tcW w:w="6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(255 )</w:t>
            </w:r>
          </w:p>
        </w:tc>
      </w:tr>
      <w:tr>
        <w:trPr>
          <w:trHeight w:val="209"/>
        </w:trPr>
        <w:tc>
          <w:tcPr>
            <w:tcW w:w="7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71,257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(23,161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8"/>
                <w:szCs w:val="18"/>
                <w:color w:val="auto"/>
              </w:rPr>
              <w:t>(62,509 )</w:t>
            </w: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19,635</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-3732530</wp:posOffset>
            </wp:positionV>
            <wp:extent cx="685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-3732530</wp:posOffset>
            </wp:positionV>
            <wp:extent cx="685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-885190</wp:posOffset>
            </wp:positionV>
            <wp:extent cx="7145020" cy="303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5020" cy="30353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276" w:lineRule="auto"/>
        <w:rPr>
          <w:rFonts w:ascii="Arial" w:cs="Arial" w:eastAsia="Arial" w:hAnsi="Arial"/>
          <w:sz w:val="16"/>
          <w:szCs w:val="16"/>
          <w:color w:val="auto"/>
        </w:rPr>
      </w:pPr>
      <w:r>
        <w:rPr>
          <w:rFonts w:ascii="Arial" w:cs="Arial" w:eastAsia="Arial" w:hAnsi="Arial"/>
          <w:sz w:val="16"/>
          <w:szCs w:val="16"/>
          <w:color w:val="auto"/>
        </w:rPr>
        <w:t xml:space="preserve">The accompanying unaudited interim financial statements and notes of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2021, filed with the SEC on February 24, 2022, as amended by the </w:t>
      </w:r>
      <w:hyperlink r:id="rId81">
        <w:r>
          <w:rPr>
            <w:rFonts w:ascii="Arial" w:cs="Arial" w:eastAsia="Arial" w:hAnsi="Arial"/>
            <w:sz w:val="16"/>
            <w:szCs w:val="16"/>
            <w:u w:val="single" w:color="auto"/>
            <w:color w:val="0000FF"/>
          </w:rPr>
          <w:t>Form 10-K/A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March 25, 2022 (“2021 Form 10-K”). The accompanying unaudited interim financial statements in this report reflect all adjustments that are, in the opinion of management, necessary for a fair statement of the Company’s results of operations and cash flows for the three-month and nine-month periods ended September 30, 2022 and 2021 and the Company’s financial position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-297180</wp:posOffset>
            </wp:positionV>
            <wp:extent cx="6242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4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color w:val="auto"/>
        </w:rPr>
        <w:t xml:space="preserve">Basis of Consolidation – </w:t>
      </w:r>
      <w:r>
        <w:rPr>
          <w:rFonts w:ascii="Arial" w:cs="Arial" w:eastAsia="Arial" w:hAnsi="Arial"/>
          <w:sz w:val="18"/>
          <w:szCs w:val="18"/>
          <w:color w:val="auto"/>
        </w:rPr>
        <w:t>LSB and its subsidiaries are consolidated in the accompanying condensed consolidated financial statements. LSB is a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no significant operations or assets other than cash, cash equivalents, short-term investments and investments in its subsidiaries. All material intercompany accounts and transactions have been eliminated. Certain prior period amounts reported in our condensed consolidated financial statements and notes thereto have been reclassified to conform to current period presentation, including all share and per share information relating to the stock split in the form of a stock dividend on October 8, 2021.</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Nature of Business – </w:t>
      </w:r>
      <w:r>
        <w:rPr>
          <w:rFonts w:ascii="Arial" w:cs="Arial" w:eastAsia="Arial" w:hAnsi="Arial"/>
          <w:sz w:val="18"/>
          <w:szCs w:val="18"/>
          <w:color w:val="auto"/>
        </w:rPr>
        <w:t>We are engaged in the manufacture and sale of chemical products. The chemical products we primarily manufacture, market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Covestro in Baytown, Texas.</w:t>
      </w:r>
    </w:p>
    <w:p>
      <w:pPr>
        <w:spacing w:after="0" w:line="74"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and Canada.</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U.S. GAAP requires management to make estimates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Stock Repurchase Program – </w:t>
      </w:r>
      <w:r>
        <w:rPr>
          <w:rFonts w:ascii="Arial" w:cs="Arial" w:eastAsia="Arial" w:hAnsi="Arial"/>
          <w:sz w:val="18"/>
          <w:szCs w:val="18"/>
          <w:color w:val="auto"/>
        </w:rPr>
        <w:t>During May 2022, our Board authorized a $50 million stock repurchase program. In August 2022, our Board authorized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size of the stock repurchase program. Under the expanded program, we were authorized to repurchase up to $100 million of our outstanding common stock. During the second quarter of 2022, we repurchased approximately 0.7 million shares at an average cost of approximately $18 per share on the open market. During the third quarter of 2022, we exhausted the remaining repurchase authorization by repurchasing approximately 6.9 million shares at an average cost of approximately $13 per share, including 5.5 million shares that were repurchased at an average cost of approximately $12 per share in connection with a public offering by LSB Funding and SBT Investors, each of which is an affiliate of Eldridge. In October 2022, our Board approved another expansion of the stock repurchase program, authorizing us to repurchase an additional $75 million of our outstanding common stock under the stock repurchase program.</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 of U.S. treasury bills with an original maturity up to and less than 52 weeks, are considered short-term investments and are classified as Level 1. These investments are carried at cost which approximated fair value for the period ended September 30, 2022.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0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90"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measured at fair value. Changes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76" w:lineRule="exact"/>
        <w:rPr>
          <w:sz w:val="20"/>
          <w:szCs w:val="20"/>
          <w:color w:val="auto"/>
        </w:rPr>
      </w:pPr>
    </w:p>
    <w:p>
      <w:pPr>
        <w:ind w:left="38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27" w:lineRule="exact"/>
        <w:rPr>
          <w:sz w:val="20"/>
          <w:szCs w:val="20"/>
          <w:color w:val="auto"/>
        </w:rPr>
      </w:pPr>
    </w:p>
    <w:p>
      <w:pPr>
        <w:ind w:left="38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Changes to U.S. GAAP are established by the FASB in the form of accounting standards updates (“ASUs”) to the FASB’s Accounting Standards Codification. We consider the applicability and impact of all ASUs. ASUs issued and outstanding or that became effective since January 1, 2022 through the date of these financial statements were assessed and determined not to be applicable or are expected to have minimal impact on our condensed consolidated financial position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2. Income (Loss) Per Common Share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5"/>
          </w:tcPr>
          <w:p>
            <w:pPr>
              <w:jc w:val="right"/>
              <w:ind w:right="10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780" w:type="dxa"/>
            <w:vAlign w:val="bottom"/>
            <w:gridSpan w:val="5"/>
          </w:tcPr>
          <w:p>
            <w:pPr>
              <w:jc w:val="right"/>
              <w:ind w:right="8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5"/>
          </w:tcPr>
          <w:p>
            <w:pPr>
              <w:jc w:val="right"/>
              <w:ind w:right="1240"/>
              <w:spacing w:after="0"/>
              <w:rPr>
                <w:sz w:val="20"/>
                <w:szCs w:val="20"/>
                <w:color w:val="auto"/>
              </w:rPr>
            </w:pPr>
            <w:r>
              <w:rPr>
                <w:rFonts w:ascii="Arial" w:cs="Arial" w:eastAsia="Arial" w:hAnsi="Arial"/>
                <w:sz w:val="18"/>
                <w:szCs w:val="18"/>
                <w:color w:val="auto"/>
              </w:rPr>
              <w:t>September 30,</w:t>
            </w:r>
          </w:p>
        </w:tc>
        <w:tc>
          <w:tcPr>
            <w:tcW w:w="2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5"/>
          </w:tcPr>
          <w:p>
            <w:pPr>
              <w:ind w:left="20"/>
              <w:spacing w:after="0"/>
              <w:rPr>
                <w:sz w:val="20"/>
                <w:szCs w:val="20"/>
                <w:color w:val="auto"/>
              </w:rPr>
            </w:pPr>
            <w:r>
              <w:rPr>
                <w:rFonts w:ascii="Arial" w:cs="Arial" w:eastAsia="Arial" w:hAnsi="Arial"/>
                <w:sz w:val="16"/>
                <w:szCs w:val="16"/>
                <w:color w:val="auto"/>
                <w:w w:val="98"/>
              </w:rPr>
              <w:t>(In Thousands, Except Per Share Amounts)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(8,928 )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164,477</w:t>
            </w:r>
          </w:p>
        </w:tc>
        <w:tc>
          <w:tcPr>
            <w:tcW w:w="2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for basic income (loss) per common share: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920" w:type="dxa"/>
            <w:vAlign w:val="bottom"/>
          </w:tcPr>
          <w:p>
            <w:pPr>
              <w:ind w:left="380"/>
              <w:spacing w:after="0" w:line="175" w:lineRule="exact"/>
              <w:rPr>
                <w:sz w:val="20"/>
                <w:szCs w:val="20"/>
                <w:color w:val="auto"/>
              </w:rPr>
            </w:pPr>
            <w:r>
              <w:rPr>
                <w:rFonts w:ascii="Arial" w:cs="Arial" w:eastAsia="Arial" w:hAnsi="Arial"/>
                <w:sz w:val="18"/>
                <w:szCs w:val="18"/>
                <w:color w:val="auto"/>
              </w:rPr>
              <w:t>Dividend requirements on Series E Redeemable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520"/>
              <w:spacing w:after="0"/>
              <w:rPr>
                <w:sz w:val="20"/>
                <w:szCs w:val="20"/>
                <w:color w:val="auto"/>
              </w:rPr>
            </w:pPr>
            <w:r>
              <w:rPr>
                <w:rFonts w:ascii="Arial" w:cs="Arial" w:eastAsia="Arial" w:hAnsi="Arial"/>
                <w:sz w:val="18"/>
                <w:szCs w:val="18"/>
                <w:color w:val="auto"/>
              </w:rPr>
              <w:t>Preferred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(10,190 )</w:t>
            </w:r>
          </w:p>
        </w:tc>
        <w:tc>
          <w:tcPr>
            <w:tcW w:w="2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(29,914 )</w:t>
            </w:r>
          </w:p>
        </w:tc>
        <w:tc>
          <w:tcPr>
            <w:tcW w:w="0" w:type="dxa"/>
            <w:vAlign w:val="bottom"/>
          </w:tcPr>
          <w:p>
            <w:pPr>
              <w:spacing w:after="0"/>
              <w:rPr>
                <w:sz w:val="1"/>
                <w:szCs w:val="1"/>
                <w:color w:val="auto"/>
              </w:rPr>
            </w:pPr>
          </w:p>
        </w:tc>
      </w:tr>
      <w:tr>
        <w:trPr>
          <w:trHeight w:val="174"/>
        </w:trPr>
        <w:tc>
          <w:tcPr>
            <w:tcW w:w="4920" w:type="dxa"/>
            <w:vAlign w:val="bottom"/>
            <w:shd w:val="clear" w:color="auto" w:fill="CFF0FC"/>
          </w:tcPr>
          <w:p>
            <w:pPr>
              <w:ind w:left="380"/>
              <w:spacing w:after="0" w:line="175" w:lineRule="exact"/>
              <w:rPr>
                <w:sz w:val="20"/>
                <w:szCs w:val="20"/>
                <w:color w:val="auto"/>
              </w:rPr>
            </w:pPr>
            <w:r>
              <w:rPr>
                <w:rFonts w:ascii="Arial" w:cs="Arial" w:eastAsia="Arial" w:hAnsi="Arial"/>
                <w:sz w:val="18"/>
                <w:szCs w:val="18"/>
                <w:color w:val="auto"/>
                <w:w w:val="99"/>
              </w:rPr>
              <w:t>Deemed dividend on Series E and Series F Redeemable</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(231,812 )</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(231,812 )</w:t>
            </w:r>
          </w:p>
        </w:tc>
        <w:tc>
          <w:tcPr>
            <w:tcW w:w="0" w:type="dxa"/>
            <w:vAlign w:val="bottom"/>
          </w:tcPr>
          <w:p>
            <w:pPr>
              <w:spacing w:after="0"/>
              <w:rPr>
                <w:sz w:val="1"/>
                <w:szCs w:val="1"/>
                <w:color w:val="auto"/>
              </w:rPr>
            </w:pPr>
          </w:p>
        </w:tc>
      </w:tr>
      <w:tr>
        <w:trPr>
          <w:trHeight w:val="216"/>
        </w:trPr>
        <w:tc>
          <w:tcPr>
            <w:tcW w:w="4920" w:type="dxa"/>
            <w:vAlign w:val="bottom"/>
          </w:tcPr>
          <w:p>
            <w:pPr>
              <w:ind w:left="380"/>
              <w:spacing w:after="0"/>
              <w:rPr>
                <w:sz w:val="20"/>
                <w:szCs w:val="20"/>
                <w:color w:val="auto"/>
              </w:rPr>
            </w:pPr>
            <w:r>
              <w:rPr>
                <w:rFonts w:ascii="Arial" w:cs="Arial" w:eastAsia="Arial" w:hAnsi="Arial"/>
                <w:sz w:val="18"/>
                <w:szCs w:val="18"/>
                <w:color w:val="auto"/>
              </w:rPr>
              <w:t>Dividend requirements on Series B Preferred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(60 )</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Dividend requirements on Series D Preferred</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(15 )</w:t>
            </w: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4920" w:type="dxa"/>
            <w:vAlign w:val="bottom"/>
          </w:tcPr>
          <w:p>
            <w:pPr>
              <w:ind w:left="380"/>
              <w:spacing w:after="0"/>
              <w:rPr>
                <w:sz w:val="20"/>
                <w:szCs w:val="20"/>
                <w:color w:val="auto"/>
              </w:rPr>
            </w:pPr>
            <w:r>
              <w:rPr>
                <w:rFonts w:ascii="Arial" w:cs="Arial" w:eastAsia="Arial" w:hAnsi="Arial"/>
                <w:sz w:val="18"/>
                <w:szCs w:val="18"/>
                <w:color w:val="auto"/>
              </w:rPr>
              <w:t>Accretion of Series E Redeemable Preferred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(499 )</w:t>
            </w:r>
          </w:p>
        </w:tc>
        <w:tc>
          <w:tcPr>
            <w:tcW w:w="2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(1,523 )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20" w:type="dxa"/>
            <w:vAlign w:val="bottom"/>
            <w:shd w:val="clear" w:color="auto" w:fill="CFF0FC"/>
          </w:tcPr>
          <w:p>
            <w:pPr>
              <w:ind w:left="200"/>
              <w:spacing w:after="0" w:line="168" w:lineRule="exact"/>
              <w:rPr>
                <w:sz w:val="20"/>
                <w:szCs w:val="20"/>
                <w:color w:val="auto"/>
              </w:rPr>
            </w:pPr>
            <w:r>
              <w:rPr>
                <w:rFonts w:ascii="Arial" w:cs="Arial" w:eastAsia="Arial" w:hAnsi="Arial"/>
                <w:sz w:val="18"/>
                <w:szCs w:val="18"/>
                <w:color w:val="auto"/>
              </w:rPr>
              <w:t>Numerator for basic and diluted net income (loss)</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26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(251,504 )</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164,477</w:t>
            </w:r>
          </w:p>
        </w:tc>
        <w:tc>
          <w:tcPr>
            <w:tcW w:w="24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(262,011 )</w:t>
            </w: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00"/>
              <w:spacing w:after="0" w:line="189" w:lineRule="exact"/>
              <w:rPr>
                <w:sz w:val="20"/>
                <w:szCs w:val="20"/>
                <w:color w:val="auto"/>
              </w:rPr>
            </w:pPr>
            <w:r>
              <w:rPr>
                <w:rFonts w:ascii="Arial" w:cs="Arial" w:eastAsia="Arial" w:hAnsi="Arial"/>
                <w:sz w:val="18"/>
                <w:szCs w:val="18"/>
                <w:color w:val="auto"/>
              </w:rPr>
              <w:t>per common share</w:t>
            </w:r>
          </w:p>
        </w:tc>
        <w:tc>
          <w:tcPr>
            <w:tcW w:w="28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60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920" w:type="dxa"/>
            <w:vAlign w:val="bottom"/>
          </w:tcPr>
          <w:p>
            <w:pPr>
              <w:ind w:left="200"/>
              <w:spacing w:after="0" w:line="175" w:lineRule="exact"/>
              <w:rPr>
                <w:sz w:val="20"/>
                <w:szCs w:val="20"/>
                <w:color w:val="auto"/>
              </w:rPr>
            </w:pPr>
            <w:r>
              <w:rPr>
                <w:rFonts w:ascii="Arial" w:cs="Arial" w:eastAsia="Arial" w:hAnsi="Arial"/>
                <w:sz w:val="18"/>
                <w:szCs w:val="18"/>
                <w:color w:val="auto"/>
              </w:rPr>
              <w:t>Denominator for basic net income (loss) per common</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84,187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39,352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86,929</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37,752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Pr>
          <w:p>
            <w:pPr>
              <w:ind w:left="340"/>
              <w:spacing w:after="0" w:line="189" w:lineRule="exact"/>
              <w:rPr>
                <w:sz w:val="20"/>
                <w:szCs w:val="20"/>
                <w:color w:val="auto"/>
              </w:rPr>
            </w:pPr>
            <w:r>
              <w:rPr>
                <w:rFonts w:ascii="Arial" w:cs="Arial" w:eastAsia="Arial" w:hAnsi="Arial"/>
                <w:sz w:val="18"/>
                <w:szCs w:val="18"/>
                <w:color w:val="auto"/>
              </w:rPr>
              <w:t>share - adjusted weighted-average shares (1)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60"/>
              <w:spacing w:after="0"/>
              <w:rPr>
                <w:sz w:val="20"/>
                <w:szCs w:val="20"/>
                <w:color w:val="auto"/>
              </w:rPr>
            </w:pPr>
            <w:r>
              <w:rPr>
                <w:rFonts w:ascii="Arial" w:cs="Arial" w:eastAsia="Arial" w:hAnsi="Arial"/>
                <w:sz w:val="18"/>
                <w:szCs w:val="18"/>
                <w:color w:val="auto"/>
              </w:rPr>
              <w:t>Unvested restricted stock and stock units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Dilutive potential common shares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200"/>
              <w:spacing w:after="0" w:line="168" w:lineRule="exact"/>
              <w:rPr>
                <w:sz w:val="20"/>
                <w:szCs w:val="20"/>
                <w:color w:val="auto"/>
              </w:rPr>
            </w:pPr>
            <w:r>
              <w:rPr>
                <w:rFonts w:ascii="Arial" w:cs="Arial" w:eastAsia="Arial" w:hAnsi="Arial"/>
                <w:sz w:val="18"/>
                <w:szCs w:val="18"/>
                <w:color w:val="auto"/>
              </w:rPr>
              <w:t>Denominator for diluted net income (loss) per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340"/>
              <w:spacing w:after="0" w:line="189" w:lineRule="exact"/>
              <w:rPr>
                <w:sz w:val="20"/>
                <w:szCs w:val="20"/>
                <w:color w:val="auto"/>
              </w:rPr>
            </w:pPr>
            <w:r>
              <w:rPr>
                <w:rFonts w:ascii="Arial" w:cs="Arial" w:eastAsia="Arial" w:hAnsi="Arial"/>
                <w:sz w:val="18"/>
                <w:szCs w:val="18"/>
                <w:color w:val="auto"/>
              </w:rPr>
              <w:t>common share - adjusted weighted-average</w:t>
            </w: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85,515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39,352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88,281</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37,752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20" w:type="dxa"/>
            <w:vAlign w:val="bottom"/>
          </w:tcPr>
          <w:p>
            <w:pPr>
              <w:ind w:left="340"/>
              <w:spacing w:after="0" w:line="189" w:lineRule="exact"/>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spacing w:after="0"/>
              <w:rPr>
                <w:sz w:val="17"/>
                <w:szCs w:val="17"/>
                <w:color w:val="auto"/>
              </w:rPr>
            </w:pPr>
          </w:p>
        </w:tc>
        <w:tc>
          <w:tcPr>
            <w:tcW w:w="1600" w:type="dxa"/>
            <w:vAlign w:val="bottom"/>
            <w:gridSpan w:val="2"/>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Basic net income (loss)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(6.39 )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(6.94 )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spacing w:after="0"/>
              <w:rPr>
                <w:sz w:val="17"/>
                <w:szCs w:val="17"/>
                <w:color w:val="auto"/>
              </w:rPr>
            </w:pPr>
          </w:p>
        </w:tc>
        <w:tc>
          <w:tcPr>
            <w:tcW w:w="1600" w:type="dxa"/>
            <w:vAlign w:val="bottom"/>
            <w:gridSpan w:val="2"/>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(6.39 )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(6.94 )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-1960245</wp:posOffset>
            </wp:positionV>
            <wp:extent cx="3202305"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202305" cy="16256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-984250</wp:posOffset>
            </wp:positionV>
            <wp:extent cx="76835" cy="385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6835" cy="38544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-984250</wp:posOffset>
            </wp:positionV>
            <wp:extent cx="68580" cy="385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-984250</wp:posOffset>
            </wp:positionV>
            <wp:extent cx="68580" cy="385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 cy="3854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385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8580" cy="385445"/>
                    </a:xfrm>
                    <a:prstGeom prst="rect">
                      <a:avLst/>
                    </a:prstGeom>
                    <a:noFill/>
                  </pic:spPr>
                </pic:pic>
              </a:graphicData>
            </a:graphic>
          </wp:anchor>
        </w:drawing>
      </w:r>
    </w:p>
    <w:p>
      <w:pPr>
        <w:spacing w:after="0" w:line="7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90"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80" w:type="dxa"/>
            <w:vAlign w:val="bottom"/>
            <w:gridSpan w:val="3"/>
          </w:tcPr>
          <w:p>
            <w:pPr>
              <w:jc w:val="right"/>
              <w:ind w:right="43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540" w:type="dxa"/>
            <w:vAlign w:val="bottom"/>
            <w:gridSpan w:val="3"/>
          </w:tcPr>
          <w:p>
            <w:pPr>
              <w:jc w:val="right"/>
              <w:ind w:right="47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80" w:type="dxa"/>
            <w:vAlign w:val="bottom"/>
            <w:gridSpan w:val="3"/>
          </w:tcPr>
          <w:p>
            <w:pPr>
              <w:jc w:val="right"/>
              <w:ind w:right="67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18"/>
                <w:szCs w:val="18"/>
                <w:color w:val="auto"/>
              </w:rPr>
            </w:pPr>
          </w:p>
        </w:tc>
        <w:tc>
          <w:tcPr>
            <w:tcW w:w="2540" w:type="dxa"/>
            <w:vAlign w:val="bottom"/>
            <w:gridSpan w:val="3"/>
          </w:tcPr>
          <w:p>
            <w:pPr>
              <w:jc w:val="right"/>
              <w:ind w:right="67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3040" w:type="dxa"/>
            <w:vAlign w:val="bottom"/>
            <w:gridSpan w:val="2"/>
          </w:tcPr>
          <w:p>
            <w:pPr>
              <w:jc w:val="right"/>
              <w:ind w:right="310"/>
              <w:spacing w:after="0"/>
              <w:rPr>
                <w:sz w:val="20"/>
                <w:szCs w:val="20"/>
                <w:color w:val="auto"/>
              </w:rPr>
            </w:pPr>
            <w:r>
              <w:rPr>
                <w:rFonts w:ascii="Arial" w:cs="Arial" w:eastAsia="Arial" w:hAnsi="Arial"/>
                <w:sz w:val="18"/>
                <w:szCs w:val="18"/>
                <w:color w:val="auto"/>
              </w:rPr>
              <w:t>2022</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color w:val="auto"/>
              </w:rPr>
              <w:t>2021</w:t>
            </w:r>
          </w:p>
        </w:tc>
        <w:tc>
          <w:tcPr>
            <w:tcW w:w="1340" w:type="dxa"/>
            <w:vAlign w:val="bottom"/>
            <w:gridSpan w:val="2"/>
          </w:tcPr>
          <w:p>
            <w:pPr>
              <w:jc w:val="right"/>
              <w:ind w:right="290"/>
              <w:spacing w:after="0"/>
              <w:rPr>
                <w:sz w:val="20"/>
                <w:szCs w:val="20"/>
                <w:color w:val="auto"/>
              </w:rPr>
            </w:pPr>
            <w:r>
              <w:rPr>
                <w:rFonts w:ascii="Arial" w:cs="Arial" w:eastAsia="Arial" w:hAnsi="Arial"/>
                <w:sz w:val="18"/>
                <w:szCs w:val="18"/>
                <w:color w:val="auto"/>
              </w:rPr>
              <w:t>2022</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and stock units</w:t>
            </w:r>
          </w:p>
        </w:tc>
        <w:tc>
          <w:tcPr>
            <w:tcW w:w="18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146,537</w:t>
            </w:r>
          </w:p>
        </w:tc>
        <w:tc>
          <w:tcPr>
            <w:tcW w:w="24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2,426,419</w:t>
            </w: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76,204</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Convertible preferred stocks</w:t>
            </w:r>
          </w:p>
        </w:tc>
        <w:tc>
          <w:tcPr>
            <w:tcW w:w="18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1,191,666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1,191,666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8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2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64,318</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920" w:type="dxa"/>
            <w:vAlign w:val="bottom"/>
          </w:tcPr>
          <w:p>
            <w:pPr>
              <w:spacing w:after="0"/>
              <w:rPr>
                <w:sz w:val="24"/>
                <w:szCs w:val="24"/>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159,537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3,682,403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89,204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3,467,658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9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-744220</wp:posOffset>
            </wp:positionV>
            <wp:extent cx="76835"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-744220</wp:posOffset>
            </wp:positionV>
            <wp:extent cx="68580" cy="265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-744220</wp:posOffset>
            </wp:positionV>
            <wp:extent cx="68580"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1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4"/>
          </w:tcPr>
          <w:p>
            <w:pPr>
              <w:jc w:val="right"/>
              <w:ind w:right="304"/>
              <w:spacing w:after="0"/>
              <w:rPr>
                <w:sz w:val="20"/>
                <w:szCs w:val="20"/>
                <w:color w:val="auto"/>
              </w:rPr>
            </w:pPr>
            <w:r>
              <w:rPr>
                <w:rFonts w:ascii="Arial" w:cs="Arial" w:eastAsia="Arial" w:hAnsi="Arial"/>
                <w:sz w:val="18"/>
                <w:szCs w:val="18"/>
                <w:color w:val="auto"/>
                <w:w w:val="94"/>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6"/>
                <w:szCs w:val="16"/>
                <w:color w:val="auto"/>
              </w:rPr>
              <w:t>(In</w:t>
            </w:r>
          </w:p>
        </w:tc>
        <w:tc>
          <w:tcPr>
            <w:tcW w:w="1520" w:type="dxa"/>
            <w:vAlign w:val="bottom"/>
            <w:gridSpan w:val="5"/>
          </w:tcPr>
          <w:p>
            <w:pPr>
              <w:jc w:val="center"/>
              <w:ind w:right="850"/>
              <w:spacing w:after="0"/>
              <w:rPr>
                <w:sz w:val="20"/>
                <w:szCs w:val="20"/>
                <w:color w:val="auto"/>
              </w:rPr>
            </w:pPr>
            <w:r>
              <w:rPr>
                <w:rFonts w:ascii="Arial" w:cs="Arial" w:eastAsia="Arial" w:hAnsi="Arial"/>
                <w:sz w:val="15"/>
                <w:szCs w:val="15"/>
                <w:color w:val="auto"/>
                <w:w w:val="73"/>
              </w:rPr>
              <w:t>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Accrued taxes other than income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42,062</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33,301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0" w:type="dxa"/>
            <w:vAlign w:val="bottom"/>
            <w:gridSpan w:val="2"/>
          </w:tcPr>
          <w:p>
            <w:pPr>
              <w:spacing w:after="0"/>
              <w:rPr>
                <w:sz w:val="20"/>
                <w:szCs w:val="20"/>
                <w:color w:val="auto"/>
              </w:rPr>
            </w:pPr>
            <w:r>
              <w:rPr>
                <w:rFonts w:ascii="Arial" w:cs="Arial" w:eastAsia="Arial" w:hAnsi="Arial"/>
                <w:sz w:val="18"/>
                <w:szCs w:val="18"/>
                <w:color w:val="auto"/>
              </w:rPr>
              <w:t>Our long-term debt consists of the following: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1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284"/>
              <w:spacing w:after="0"/>
              <w:rPr>
                <w:sz w:val="20"/>
                <w:szCs w:val="20"/>
                <w:color w:val="auto"/>
              </w:rPr>
            </w:pPr>
            <w:r>
              <w:rPr>
                <w:rFonts w:ascii="Arial" w:cs="Arial" w:eastAsia="Arial" w:hAnsi="Arial"/>
                <w:sz w:val="18"/>
                <w:szCs w:val="18"/>
                <w:color w:val="auto"/>
                <w:w w:val="86"/>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4"/>
              <w:spacing w:after="0"/>
              <w:rPr>
                <w:sz w:val="20"/>
                <w:szCs w:val="20"/>
                <w:color w:val="auto"/>
              </w:rPr>
            </w:pPr>
            <w:r>
              <w:rPr>
                <w:rFonts w:ascii="Arial" w:cs="Arial" w:eastAsia="Arial" w:hAnsi="Arial"/>
                <w:sz w:val="16"/>
                <w:szCs w:val="16"/>
                <w:color w:val="auto"/>
              </w:rPr>
              <w:t>(In</w:t>
            </w:r>
          </w:p>
        </w:tc>
        <w:tc>
          <w:tcPr>
            <w:tcW w:w="1500" w:type="dxa"/>
            <w:vAlign w:val="bottom"/>
            <w:gridSpan w:val="4"/>
          </w:tcPr>
          <w:p>
            <w:pPr>
              <w:jc w:val="center"/>
              <w:ind w:right="830"/>
              <w:spacing w:after="0"/>
              <w:rPr>
                <w:sz w:val="20"/>
                <w:szCs w:val="20"/>
                <w:color w:val="auto"/>
              </w:rPr>
            </w:pPr>
            <w:r>
              <w:rPr>
                <w:rFonts w:ascii="Arial" w:cs="Arial" w:eastAsia="Arial" w:hAnsi="Arial"/>
                <w:sz w:val="15"/>
                <w:szCs w:val="15"/>
                <w:color w:val="auto"/>
                <w:w w:val="73"/>
              </w:rPr>
              <w:t>Thousands)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606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Working Capital Revolver Loan, with a current interest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6.75% (A)</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FF0FC"/>
          </w:tcPr>
          <w:p>
            <w:pPr>
              <w:jc w:val="right"/>
              <w:ind w:right="164"/>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6060" w:type="dxa"/>
            <w:vAlign w:val="bottom"/>
          </w:tcPr>
          <w:p>
            <w:pPr>
              <w:spacing w:after="0" w:line="175" w:lineRule="exact"/>
              <w:rPr>
                <w:sz w:val="20"/>
                <w:szCs w:val="20"/>
                <w:color w:val="auto"/>
              </w:rPr>
            </w:pPr>
            <w:r>
              <w:rPr>
                <w:rFonts w:ascii="Arial" w:cs="Arial" w:eastAsia="Arial" w:hAnsi="Arial"/>
                <w:sz w:val="18"/>
                <w:szCs w:val="18"/>
                <w:color w:val="auto"/>
              </w:rPr>
              <w:t>Senior Secured Notes due 2028, with an interest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rate of 6.25% (B)</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700,000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606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Secured Financing due 2023, with an interest</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(C)</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5,287</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6060" w:type="dxa"/>
            <w:vAlign w:val="bottom"/>
          </w:tcPr>
          <w:p>
            <w:pPr>
              <w:spacing w:after="0" w:line="175" w:lineRule="exact"/>
              <w:rPr>
                <w:sz w:val="20"/>
                <w:szCs w:val="20"/>
                <w:color w:val="auto"/>
              </w:rPr>
            </w:pPr>
            <w:r>
              <w:rPr>
                <w:rFonts w:ascii="Arial" w:cs="Arial" w:eastAsia="Arial" w:hAnsi="Arial"/>
                <w:sz w:val="18"/>
                <w:szCs w:val="18"/>
                <w:color w:val="auto"/>
              </w:rPr>
              <w:t>Secured Financing due 2025, with an interest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rate of 8.75% (D)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20,886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Secured Loan Agreement due 2025 (E)</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16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606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Unamortized discount, net of premium and debt issuance</w:t>
            </w: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gridSpan w:val="3"/>
            <w:vMerge w:val="restart"/>
            <w:shd w:val="clear" w:color="auto" w:fill="CFF0FC"/>
          </w:tcPr>
          <w:p>
            <w:pPr>
              <w:jc w:val="right"/>
              <w:ind w:right="64"/>
              <w:spacing w:after="0"/>
              <w:rPr>
                <w:sz w:val="20"/>
                <w:szCs w:val="20"/>
                <w:color w:val="auto"/>
              </w:rPr>
            </w:pPr>
            <w:r>
              <w:rPr>
                <w:rFonts w:ascii="Arial" w:cs="Arial" w:eastAsia="Arial" w:hAnsi="Arial"/>
                <w:sz w:val="18"/>
                <w:szCs w:val="18"/>
                <w:color w:val="auto"/>
              </w:rPr>
              <w:t>(12,859 )</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(9,722 )</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costs</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3"/>
            <w:vMerge w:val="continue"/>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714,080</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527,644</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10,269</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Long-term debt due after one year, net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703,811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518,190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-3056255</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-3039110</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-3056255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-3039110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-453390</wp:posOffset>
            </wp:positionV>
            <wp:extent cx="5969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-453390</wp:posOffset>
            </wp:positionV>
            <wp:extent cx="51435"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-170815</wp:posOffset>
            </wp:positionV>
            <wp:extent cx="5969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-170815</wp:posOffset>
            </wp:positionV>
            <wp:extent cx="5143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80" w:hanging="372"/>
        <w:spacing w:after="0" w:line="258" w:lineRule="auto"/>
        <w:tabs>
          <w:tab w:leader="none" w:pos="3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as of September 30, 2022, was $1.6 million, which reduces the available for borrowing under the Working Capital Revolver Loan. At September 30, 2022, our available borrowings under our Working Capital Revolver Loan were approximately $63.4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121" w:lineRule="exact"/>
        <w:rPr>
          <w:sz w:val="20"/>
          <w:szCs w:val="20"/>
          <w:color w:val="auto"/>
        </w:rPr>
      </w:pPr>
    </w:p>
    <w:p>
      <w:pPr>
        <w:jc w:val="both"/>
        <w:ind w:left="380" w:hanging="372"/>
        <w:spacing w:after="0" w:line="247" w:lineRule="auto"/>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On October 14, 2021, LSB completed the issuance and sale of $500 million aggregate principal amount of the Notes of its 6.25% Senior Secured Notes due 2028 (the “Notes”), pursuant to an indenture (the “Indenture”), dated as of October 14, 2021. The Notes were issued at a price equal to 100% of their face value.</w:t>
      </w:r>
    </w:p>
    <w:p>
      <w:pPr>
        <w:spacing w:after="0" w:line="89" w:lineRule="exact"/>
        <w:rPr>
          <w:rFonts w:ascii="Arial" w:cs="Arial" w:eastAsia="Arial" w:hAnsi="Arial"/>
          <w:sz w:val="18"/>
          <w:szCs w:val="18"/>
          <w:b w:val="1"/>
          <w:bCs w:val="1"/>
          <w:color w:val="auto"/>
        </w:rPr>
      </w:pPr>
    </w:p>
    <w:p>
      <w:pPr>
        <w:jc w:val="both"/>
        <w:ind w:left="38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On March 8, 2022, LSB completed the issuance and sale of an additional $200 million aggregate principal amount of the Notes (the “New Notes”), which were issued pursuant to the Indenture (the Notes together with the New Notes, the “Senior Secured Notes”). The New Notes were issued at a price equal to 100% of their face value, plus accrued interest from October 14, 2021 to March 7, 2022.</w:t>
      </w:r>
    </w:p>
    <w:p>
      <w:pPr>
        <w:spacing w:after="0" w:line="4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Senior Secured Notes mature on October 15, 2028</w:t>
      </w:r>
      <w:r>
        <w:rPr>
          <w:rFonts w:ascii="Arial" w:cs="Arial" w:eastAsia="Arial" w:hAnsi="Arial"/>
          <w:sz w:val="18"/>
          <w:szCs w:val="18"/>
          <w:color w:val="0000FF"/>
        </w:rPr>
        <w:t>.</w:t>
      </w:r>
      <w:r>
        <w:rPr>
          <w:rFonts w:ascii="Arial" w:cs="Arial" w:eastAsia="Arial" w:hAnsi="Arial"/>
          <w:sz w:val="18"/>
          <w:szCs w:val="18"/>
          <w:color w:val="auto"/>
        </w:rPr>
        <w:t xml:space="preserve"> Interest is to be paid in arrears on May 15 and October 15.</w:t>
      </w:r>
    </w:p>
    <w:p>
      <w:pPr>
        <w:spacing w:after="0" w:line="89"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7"/>
          <w:szCs w:val="17"/>
          <w:color w:val="auto"/>
        </w:rPr>
        <w:t>As it relates to the issuance of the Notes in October 2021, most of the proceeds from the Notes were used to purchase/redeem the previously outstanding $435 million aggregate principal amount of senior secured notes scheduled to mature in 2023. The remaining net proceeds were primarily used to pay related transaction fees. This transaction was accounted for as an extinguishment of debt. As a result, we recognized a loss on extinguishment of debt of approximately $20.3 million in 2021, primarily consisting of a portion of the contractual redemption premium paid and the expensing of unamortized debt issuance costs associated with the senior secured notes purchased/redeemed.</w:t>
      </w:r>
    </w:p>
    <w:p>
      <w:pPr>
        <w:spacing w:after="0" w:line="61" w:lineRule="exact"/>
        <w:rPr>
          <w:rFonts w:ascii="Arial" w:cs="Arial" w:eastAsia="Arial" w:hAnsi="Arial"/>
          <w:sz w:val="18"/>
          <w:szCs w:val="18"/>
          <w:b w:val="1"/>
          <w:bCs w:val="1"/>
          <w:color w:val="auto"/>
        </w:rPr>
      </w:pPr>
    </w:p>
    <w:p>
      <w:pPr>
        <w:ind w:left="380" w:hanging="372"/>
        <w:spacing w:after="0" w:line="307" w:lineRule="auto"/>
        <w:tabs>
          <w:tab w:leader="none" w:pos="3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El Dorado Chemical Company (“EDC”), one of our subsidiaries, is party to a secured financing arrangement with an affiliate of Eldridge. Principal and interest are payable in 48 equal monthly installments with a final balloon payment of approximately $3 million due in June 2023.</w:t>
      </w:r>
    </w:p>
    <w:p>
      <w:pPr>
        <w:spacing w:after="0" w:line="25" w:lineRule="exact"/>
        <w:rPr>
          <w:rFonts w:ascii="Arial" w:cs="Arial" w:eastAsia="Arial" w:hAnsi="Arial"/>
          <w:sz w:val="17"/>
          <w:szCs w:val="17"/>
          <w:b w:val="1"/>
          <w:bCs w:val="1"/>
          <w:color w:val="auto"/>
        </w:rPr>
      </w:pPr>
    </w:p>
    <w:p>
      <w:pPr>
        <w:jc w:val="both"/>
        <w:ind w:left="380" w:hanging="372"/>
        <w:spacing w:after="0" w:line="277" w:lineRule="auto"/>
        <w:tabs>
          <w:tab w:leader="none" w:pos="3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In August 2020, El Dorado Ammonia L.L.C. (“EDA”), one of our subsidiaries, entered into a $30 million secured financing arrangement with an affiliate of Eldridge. Beginning in September 2020, principal and interest is payable in 60 equal monthly installments with a final balloon payment of approximately $5 million due in August 2025. This financing arrangement is secured by an ammonia storage tank and is guaranteed by LSB.</w:t>
      </w:r>
    </w:p>
    <w:p>
      <w:pPr>
        <w:spacing w:after="0" w:line="51" w:lineRule="exact"/>
        <w:rPr>
          <w:rFonts w:ascii="Arial" w:cs="Arial" w:eastAsia="Arial" w:hAnsi="Arial"/>
          <w:sz w:val="17"/>
          <w:szCs w:val="17"/>
          <w:b w:val="1"/>
          <w:bCs w:val="1"/>
          <w:color w:val="auto"/>
        </w:rPr>
      </w:pPr>
    </w:p>
    <w:p>
      <w:pPr>
        <w:ind w:left="380" w:hanging="372"/>
        <w:spacing w:after="0" w:line="261" w:lineRule="auto"/>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2022 EDC’s secured loan agreement with an affiliate of Eldridge was paid off resulting in a minimal loss on extinguishment of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 xml:space="preserve">Ammonia Supply Agreement </w:t>
      </w:r>
      <w:r>
        <w:rPr>
          <w:rFonts w:ascii="Arial" w:cs="Arial" w:eastAsia="Arial" w:hAnsi="Arial"/>
          <w:sz w:val="16"/>
          <w:szCs w:val="16"/>
          <w:color w:val="auto"/>
        </w:rPr>
        <w:t>- On September 7, 2022, El Dorado Chemical Company (“EDC”) received a notice of non-renewal of the Ammonia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Sale Agreement with Koch Fertilizer, LLC (“Koch”), dated November 2, 2015 (as amended, the “Ammonia Purchase Agreement” or the “Agreement”). Under the Agreement Koch Fertilizer agreed to purchase, with minimum purchase requirements, the ammonia that (a) will be produced at the El Dorado Facility and (b) a portion that is in excess of EDC’s needs as defined. The notice is a procedural requirement to keep the contract from automatically renewing and the parties are renegotiating the terms of the Agreement to continue supply beyond the termination date of June 30, 2023.</w:t>
      </w:r>
    </w:p>
    <w:p>
      <w:pPr>
        <w:spacing w:after="0" w:line="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 xml:space="preserve">UAN Supply Agreement - </w:t>
      </w:r>
      <w:r>
        <w:rPr>
          <w:rFonts w:ascii="Arial" w:cs="Arial" w:eastAsia="Arial" w:hAnsi="Arial"/>
          <w:sz w:val="18"/>
          <w:szCs w:val="18"/>
          <w:color w:val="auto"/>
        </w:rPr>
        <w:t>On September 30, 2022, Pryor Chemical Company (“PCC”) provided notice of termination under the Urea Ammonium Nitrate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Agreement with Coffeyville Resources Nitrogen Fertilizers, LLC (“CVR”), dated March 3, 2016 (as amended, the “CVR Purchase Agreement”). The termination will be effective as of December 31, 2022. Under the CVR Purchase Agreement, CVR had the exclusive right to purchase substantially all of the UAN produced at the Pryor Facility. PCC did not incur any early termination penalties in connection with the termination of the CVR Purchase Agreement. PCC elected to terminate the CVR Purchase Agreement to pursue alternative marketing arrangements for the UAN it produces at the Pryor Facility. The CVR Purchase Agreement provided for a three-year term beginning June 1, 2016, with optional one-year renewals. The CVR Purchase Agreement permitted termination after May 31, 2019 (i) by CVR upon six months’ notice or (ii) by PCC upon three months’ notice or if the Pryor Facility is shut down for lack of profitability.</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Outstanding Natural Gas Purchase Commitments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September 30, 2022, certain of our natural gas contracts qualify as normal purchases under GAAP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thus are not mark-to-market. These contracts included volume purchase commitments with fixed costs of approximately 13.0 million MMBtus of natural gas and 18.3 million MMBtus of locked basis differential. Further, the natural gas contracts extend through December 2023 at a weighted-average cost of $6.61 per MMBtu ($85.6 million) and a weighted-average market value of $5.97 per MMBtu ($77.3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September 30, 2022, our accrued liabilities for environmental matters totaled approximately $0.5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w:t>
      </w:r>
    </w:p>
    <w:p>
      <w:pPr>
        <w:spacing w:after="0" w:line="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2017, the Pryor Chemical Company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Since that time, PCC and ODEQ engaged in ongoing discussions related to the renewal of the injection well to address the wastewater stream. In 2022, ODEQ responded to the application in the form of an information request. PCC has submitted a formal response to the information request and is currently evaluating wastewater treatment alternatives.</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risk assessment was submitted in 2007. In 2015, the ADEQ stated that El Dorado Chemical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No liability has been established as of September 30, 2022, in connection with this ADEQ matter.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16" w:lineRule="exact"/>
        <w:rPr>
          <w:rFonts w:ascii="Arial" w:cs="Arial" w:eastAsia="Arial" w:hAnsi="Arial"/>
          <w:sz w:val="18"/>
          <w:szCs w:val="18"/>
          <w:b w:val="1"/>
          <w:bCs w:val="1"/>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Environmental Matters</w:t>
      </w:r>
    </w:p>
    <w:p>
      <w:pPr>
        <w:spacing w:after="0" w:line="10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8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8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September 30, 2022, no liability reserve has been established in connection with this matter.</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This judgement was accrued for at the time of the ruling, and we continue to accrue post-judgement interest.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 liability was established at September 30, 2022 or December 31, 2021, in connection with the cross-claims in Part (2) of the matter, except for certain invoices held in accounts payable. 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Natural Gas Contracts</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Periodically, we entered into certain forward natural gas contracts, which are accounted for on a mark-to-market basis. We are utilizing these natural gas contracts as economic hedges for risk management purposes but are not designated as hedging instruments. At September 30, 2022 and December 31, 2021, we had no outstanding natural gas contracts accounted for on a mark-to-market basis. When present the valuations of the natural gas contracts are classified as Level 2.</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three months ended September 30, 2021 we had no outstanding natural gas contracts. For the nine months ended September 30, 2021, we recognized a gain of $2.7 million (includes a realized gain of $1.5 million), all of which was recognized in the first quarter of 2021. The gain is classified as a reduction of cost of sales.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 (continued)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Instruments</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 September 30, 2022 and December 31, 2021, we did not have any financial instruments with fair values materially different from their carrying amounts (which excludes issuance costs, if applicable) except for our Senior Secured Notes included in the table below. The carrying value of our Senior Secured Notes approximates fair value and is classified as a Level 2 fair value measurement. The fair value of financial instruments is not indicative of the overall fair value of our assets and liabilities since financial instruments do not include all assets, including intangibles and all liabilities.</w:t>
      </w:r>
    </w:p>
    <w:p>
      <w:pPr>
        <w:spacing w:after="0" w:line="251" w:lineRule="exact"/>
        <w:rPr>
          <w:sz w:val="20"/>
          <w:szCs w:val="20"/>
          <w:color w:val="auto"/>
        </w:rPr>
      </w:pPr>
    </w:p>
    <w:tbl>
      <w:tblPr>
        <w:tblLayout w:type="fixed"/>
        <w:tblInd w:w="1080" w:type="dxa"/>
        <w:tblCellMar>
          <w:top w:w="0" w:type="dxa"/>
          <w:left w:w="0" w:type="dxa"/>
          <w:bottom w:w="0" w:type="dxa"/>
          <w:right w:w="0" w:type="dxa"/>
        </w:tblCellMar>
      </w:tblPr>
      <w:tr>
        <w:trPr>
          <w:trHeight w:val="209"/>
        </w:trPr>
        <w:tc>
          <w:tcPr>
            <w:tcW w:w="4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6"/>
                <w:szCs w:val="16"/>
                <w:color w:val="auto"/>
              </w:rPr>
              <w:t>September 30, 2022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color w:val="auto"/>
              </w:rPr>
              <w:t>December 31, 2021</w:t>
            </w:r>
          </w:p>
        </w:tc>
        <w:tc>
          <w:tcPr>
            <w:tcW w:w="80" w:type="dxa"/>
            <w:vAlign w:val="bottom"/>
          </w:tcPr>
          <w:p>
            <w:pPr>
              <w:spacing w:after="0"/>
              <w:rPr>
                <w:sz w:val="18"/>
                <w:szCs w:val="18"/>
                <w:color w:val="auto"/>
              </w:rPr>
            </w:pPr>
          </w:p>
        </w:tc>
      </w:tr>
      <w:tr>
        <w:trPr>
          <w:trHeight w:val="189"/>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39"/>
              <w:spacing w:after="0"/>
              <w:rPr>
                <w:sz w:val="20"/>
                <w:szCs w:val="20"/>
                <w:color w:val="auto"/>
              </w:rPr>
            </w:pPr>
            <w:r>
              <w:rPr>
                <w:rFonts w:ascii="Arial" w:cs="Arial" w:eastAsia="Arial" w:hAnsi="Arial"/>
                <w:sz w:val="16"/>
                <w:szCs w:val="16"/>
                <w:color w:val="auto"/>
                <w:w w:val="95"/>
              </w:rPr>
              <w:t>Carrying</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6"/>
                <w:szCs w:val="16"/>
                <w:color w:val="auto"/>
              </w:rPr>
              <w:t>Estimated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79"/>
              <w:spacing w:after="0"/>
              <w:rPr>
                <w:sz w:val="20"/>
                <w:szCs w:val="20"/>
                <w:color w:val="auto"/>
              </w:rPr>
            </w:pPr>
            <w:r>
              <w:rPr>
                <w:rFonts w:ascii="Arial" w:cs="Arial" w:eastAsia="Arial" w:hAnsi="Arial"/>
                <w:sz w:val="16"/>
                <w:szCs w:val="16"/>
                <w:color w:val="auto"/>
                <w:w w:val="92"/>
              </w:rPr>
              <w:t>Carrying</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6"/>
                <w:szCs w:val="16"/>
                <w:color w:val="auto"/>
              </w:rPr>
              <w:t>Estimated</w:t>
            </w:r>
          </w:p>
        </w:tc>
        <w:tc>
          <w:tcPr>
            <w:tcW w:w="80" w:type="dxa"/>
            <w:vAlign w:val="bottom"/>
          </w:tcPr>
          <w:p>
            <w:pPr>
              <w:spacing w:after="0"/>
              <w:rPr>
                <w:sz w:val="16"/>
                <w:szCs w:val="16"/>
                <w:color w:val="auto"/>
              </w:rPr>
            </w:pPr>
          </w:p>
        </w:tc>
      </w:tr>
      <w:tr>
        <w:trPr>
          <w:trHeight w:val="209"/>
        </w:trPr>
        <w:tc>
          <w:tcPr>
            <w:tcW w:w="4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4"/>
              </w:rPr>
              <w:t>Amount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Fair Value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4"/>
              </w:rPr>
              <w:t>Amount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Fair Value</w:t>
            </w:r>
          </w:p>
        </w:tc>
        <w:tc>
          <w:tcPr>
            <w:tcW w:w="80" w:type="dxa"/>
            <w:vAlign w:val="bottom"/>
          </w:tcPr>
          <w:p>
            <w:pPr>
              <w:spacing w:after="0"/>
              <w:rPr>
                <w:sz w:val="18"/>
                <w:szCs w:val="18"/>
                <w:color w:val="auto"/>
              </w:rPr>
            </w:pPr>
          </w:p>
        </w:tc>
      </w:tr>
      <w:tr>
        <w:trPr>
          <w:trHeight w:val="168"/>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ind w:left="680"/>
              <w:spacing w:after="0"/>
              <w:rPr>
                <w:sz w:val="20"/>
                <w:szCs w:val="20"/>
                <w:color w:val="auto"/>
              </w:rPr>
            </w:pPr>
            <w:r>
              <w:rPr>
                <w:rFonts w:ascii="Arial" w:cs="Arial" w:eastAsia="Arial" w:hAnsi="Arial"/>
                <w:sz w:val="11"/>
                <w:szCs w:val="11"/>
                <w:color w:val="auto"/>
                <w:w w:val="95"/>
              </w:rPr>
              <w:t>(In Millions)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6"/>
        </w:trPr>
        <w:tc>
          <w:tcPr>
            <w:tcW w:w="4540" w:type="dxa"/>
            <w:vAlign w:val="bottom"/>
            <w:shd w:val="clear" w:color="auto" w:fill="CFF0FC"/>
          </w:tcPr>
          <w:p>
            <w:pPr>
              <w:ind w:left="20"/>
              <w:spacing w:after="0" w:line="207" w:lineRule="exact"/>
              <w:rPr>
                <w:sz w:val="20"/>
                <w:szCs w:val="20"/>
                <w:color w:val="auto"/>
              </w:rPr>
            </w:pPr>
            <w:r>
              <w:rPr>
                <w:rFonts w:ascii="Arial" w:cs="Arial" w:eastAsia="Arial" w:hAnsi="Arial"/>
                <w:sz w:val="16"/>
                <w:szCs w:val="16"/>
                <w:color w:val="auto"/>
              </w:rPr>
              <w:t xml:space="preserve">Senior Secured Notes </w:t>
            </w:r>
            <w:r>
              <w:rPr>
                <w:rFonts w:ascii="Arial" w:cs="Arial" w:eastAsia="Arial" w:hAnsi="Arial"/>
                <w:sz w:val="21"/>
                <w:szCs w:val="21"/>
                <w:color w:val="auto"/>
                <w:vertAlign w:val="superscript"/>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80" w:type="dxa"/>
            <w:vAlign w:val="bottom"/>
            <w:shd w:val="clear" w:color="auto" w:fill="CFF0FC"/>
          </w:tcPr>
          <w:p>
            <w:pPr>
              <w:spacing w:after="0"/>
              <w:rPr>
                <w:sz w:val="19"/>
                <w:szCs w:val="19"/>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-24765</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-7620</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-24765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-7620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-24765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5" w:lineRule="exact"/>
        <w:rPr>
          <w:sz w:val="20"/>
          <w:szCs w:val="20"/>
          <w:color w:val="auto"/>
        </w:rPr>
      </w:pPr>
    </w:p>
    <w:p>
      <w:pPr>
        <w:ind w:left="1020" w:hanging="504"/>
        <w:spacing w:after="0"/>
        <w:tabs>
          <w:tab w:leader="none" w:pos="102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a quoted price of 86.00 at September 30, 2022 and 103.25 at December 31, 2021.</w:t>
      </w:r>
    </w:p>
    <w:p>
      <w:pPr>
        <w:spacing w:after="0" w:line="104"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8"/>
                <w:szCs w:val="18"/>
                <w:color w:val="auto"/>
              </w:rPr>
              <w:t>Nine Months Ended</w:t>
            </w:r>
          </w:p>
        </w:tc>
      </w:tr>
      <w:tr>
        <w:trPr>
          <w:trHeight w:val="216"/>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ind w:right="27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8"/>
                <w:szCs w:val="18"/>
                <w:color w:val="auto"/>
              </w:rPr>
              <w:t>September 30,</w:t>
            </w:r>
          </w:p>
        </w:tc>
      </w:tr>
      <w:tr>
        <w:trPr>
          <w:trHeight w:val="230"/>
        </w:trPr>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196"/>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ind w:right="111"/>
              <w:spacing w:after="0"/>
              <w:rPr>
                <w:sz w:val="20"/>
                <w:szCs w:val="20"/>
                <w:color w:val="auto"/>
              </w:rPr>
            </w:pPr>
            <w:r>
              <w:rPr>
                <w:rFonts w:ascii="Arial" w:cs="Arial" w:eastAsia="Arial" w:hAnsi="Arial"/>
                <w:sz w:val="16"/>
                <w:szCs w:val="16"/>
                <w:color w:val="auto"/>
              </w:rPr>
              <w:t>(In</w:t>
            </w:r>
          </w:p>
        </w:tc>
        <w:tc>
          <w:tcPr>
            <w:tcW w:w="600" w:type="dxa"/>
            <w:vAlign w:val="bottom"/>
            <w:gridSpan w:val="2"/>
          </w:tcPr>
          <w:p>
            <w:pPr>
              <w:jc w:val="center"/>
              <w:spacing w:after="0"/>
              <w:rPr>
                <w:sz w:val="20"/>
                <w:szCs w:val="20"/>
                <w:color w:val="auto"/>
              </w:rPr>
            </w:pPr>
            <w:r>
              <w:rPr>
                <w:rFonts w:ascii="Arial" w:cs="Arial" w:eastAsia="Arial" w:hAnsi="Arial"/>
                <w:sz w:val="16"/>
                <w:szCs w:val="16"/>
                <w:color w:val="auto"/>
                <w:w w:val="70"/>
              </w:rPr>
              <w:t>Thousands)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360" w:type="dxa"/>
            <w:vAlign w:val="bottom"/>
          </w:tcPr>
          <w:p>
            <w:pPr>
              <w:jc w:val="center"/>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(119 )</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(581 )</w:t>
            </w:r>
          </w:p>
        </w:tc>
      </w:tr>
      <w:tr>
        <w:trPr>
          <w:trHeight w:val="20"/>
        </w:trPr>
        <w:tc>
          <w:tcPr>
            <w:tcW w:w="5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ind w:left="380"/>
              <w:spacing w:after="0"/>
              <w:rPr>
                <w:sz w:val="20"/>
                <w:szCs w:val="20"/>
                <w:color w:val="auto"/>
              </w:rPr>
            </w:pPr>
            <w:r>
              <w:rPr>
                <w:rFonts w:ascii="Arial" w:cs="Arial" w:eastAsia="Arial" w:hAnsi="Arial"/>
                <w:sz w:val="18"/>
                <w:szCs w:val="18"/>
                <w:color w:val="auto"/>
              </w:rPr>
              <w:t>Total 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79"/>
              <w:spacing w:after="0"/>
              <w:rPr>
                <w:sz w:val="20"/>
                <w:szCs w:val="20"/>
                <w:color w:val="auto"/>
              </w:rPr>
            </w:pPr>
            <w:r>
              <w:rPr>
                <w:rFonts w:ascii="Arial" w:cs="Arial" w:eastAsia="Arial" w:hAnsi="Arial"/>
                <w:sz w:val="18"/>
                <w:szCs w:val="18"/>
                <w:color w:val="auto"/>
              </w:rPr>
              <w:t>(119 )</w:t>
            </w:r>
          </w:p>
        </w:tc>
        <w:tc>
          <w:tcPr>
            <w:tcW w:w="360" w:type="dxa"/>
            <w:vAlign w:val="bottom"/>
          </w:tcPr>
          <w:p>
            <w:pPr>
              <w:jc w:val="center"/>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(581 )</w:t>
            </w:r>
          </w:p>
        </w:tc>
      </w:tr>
      <w:tr>
        <w:trPr>
          <w:trHeight w:val="209"/>
        </w:trPr>
        <w:tc>
          <w:tcPr>
            <w:tcW w:w="57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(947 )</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(1,026 )</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r>
      <w:tr>
        <w:trPr>
          <w:trHeight w:val="209"/>
        </w:trPr>
        <w:tc>
          <w:tcPr>
            <w:tcW w:w="5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Deferred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60" w:type="dxa"/>
            <w:vAlign w:val="bottom"/>
          </w:tcPr>
          <w:p>
            <w:pPr>
              <w:ind w:left="56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360" w:type="dxa"/>
            <w:vAlign w:val="bottom"/>
          </w:tcPr>
          <w:p>
            <w:pPr>
              <w:jc w:val="center"/>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32,277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(187 )</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-1018540</wp:posOffset>
            </wp:positionV>
            <wp:extent cx="7683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-1018540</wp:posOffset>
            </wp:positionV>
            <wp:extent cx="6858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-1018540</wp:posOffset>
            </wp:positionV>
            <wp:extent cx="6858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-170815</wp:posOffset>
            </wp:positionV>
            <wp:extent cx="7683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-170815</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-170815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For the three and nine months ended September 30, 2022 and 2021, the current provision (benefit) for state income taxes shown above includes regular state income tax, provisions for uncertain state income tax positions, the impact of state tax law changes and other similar adjustments.</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estimated annual effective rate for 2022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our federal deferred tax assets will be able to be utilized. Thus, we estimate a $12.7 million reduction in the related valuation allowance associated with these federal deferred tax assets will be recognized throughout the year as part of the estimated annual effective tax rate applied to ordinary income. We have determined it is more-likely-than-not that a portion of our state deferred tax assets will not be able to be utilized. However, we estimate a $7.7 million reduction in the related valuation allowance associated with these state deferred tax assets will be recorded during the year.</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tax provision for the nine months ended September 30, 2022 was $32.3 million (16.4% provision on pre-tax income). The tax benefit for the nine months ended September 30, 2021 was $0.2 million (15% benefit on pre-tax income). For both periods, the effective tax rate is less than the statutory tax rate primarily due to the impact of the valuation allowances. For the nine months ended September 30, 2021, the effective tax rate was also impacted by the PPP loan forgiveness and state tax law changes.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2021 years remain open for all purposes of examination by the U.S. Internal Revenue Service (“IRS”) and other major tax jurisdictions. Additionally, the</w:t>
      </w:r>
    </w:p>
    <w:p>
      <w:pPr>
        <w:spacing w:after="0"/>
        <w:rPr>
          <w:sz w:val="20"/>
          <w:szCs w:val="20"/>
          <w:color w:val="auto"/>
        </w:rPr>
      </w:pPr>
      <w:r>
        <w:rPr>
          <w:rFonts w:ascii="Arial" w:cs="Arial" w:eastAsia="Arial" w:hAnsi="Arial"/>
          <w:sz w:val="18"/>
          <w:szCs w:val="18"/>
          <w:color w:val="auto"/>
        </w:rPr>
        <w:t>2013-2017 years remain subject to examination for determining the amount of net operating loss and other carryforwards.</w:t>
      </w:r>
    </w:p>
    <w:p>
      <w:pPr>
        <w:spacing w:after="0" w:line="83" w:lineRule="exact"/>
        <w:rPr>
          <w:sz w:val="20"/>
          <w:szCs w:val="20"/>
          <w:color w:val="auto"/>
        </w:rPr>
      </w:pPr>
    </w:p>
    <w:p>
      <w:pPr>
        <w:ind w:right="9420" w:firstLine="8"/>
        <w:spacing w:after="0" w:line="443" w:lineRule="auto"/>
        <w:tabs>
          <w:tab w:leader="none" w:pos="225"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Net Sales </w:t>
      </w:r>
      <w:r>
        <w:rPr>
          <w:rFonts w:ascii="Arial" w:cs="Arial" w:eastAsia="Arial" w:hAnsi="Arial"/>
          <w:sz w:val="15"/>
          <w:szCs w:val="15"/>
          <w:b w:val="1"/>
          <w:bCs w:val="1"/>
          <w:i w:val="1"/>
          <w:iCs w:val="1"/>
          <w:color w:val="auto"/>
        </w:rPr>
        <w:t>Disaggregated Net Sales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net sales disaggregated by our principal product types: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451"/>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691"/>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67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r>
      <w:tr>
        <w:trPr>
          <w:trHeight w:val="230"/>
        </w:trPr>
        <w:tc>
          <w:tcPr>
            <w:tcW w:w="5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196"/>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11"/>
              <w:spacing w:after="0"/>
              <w:rPr>
                <w:sz w:val="20"/>
                <w:szCs w:val="20"/>
                <w:color w:val="auto"/>
              </w:rPr>
            </w:pPr>
            <w:r>
              <w:rPr>
                <w:rFonts w:ascii="Arial" w:cs="Arial" w:eastAsia="Arial" w:hAnsi="Arial"/>
                <w:sz w:val="16"/>
                <w:szCs w:val="16"/>
                <w:color w:val="auto"/>
              </w:rPr>
              <w:t>(In</w:t>
            </w:r>
          </w:p>
        </w:tc>
        <w:tc>
          <w:tcPr>
            <w:tcW w:w="1280" w:type="dxa"/>
            <w:vAlign w:val="bottom"/>
            <w:gridSpan w:val="3"/>
          </w:tcPr>
          <w:p>
            <w:pPr>
              <w:jc w:val="center"/>
              <w:ind w:right="610"/>
              <w:spacing w:after="0"/>
              <w:rPr>
                <w:sz w:val="20"/>
                <w:szCs w:val="20"/>
                <w:color w:val="auto"/>
              </w:rPr>
            </w:pPr>
            <w:r>
              <w:rPr>
                <w:rFonts w:ascii="Arial" w:cs="Arial" w:eastAsia="Arial" w:hAnsi="Arial"/>
                <w:sz w:val="15"/>
                <w:szCs w:val="15"/>
                <w:color w:val="auto"/>
                <w:w w:val="73"/>
              </w:rPr>
              <w:t>Thousands)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AN &amp; Nitric Acid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66,161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47,453</w:t>
            </w:r>
          </w:p>
        </w:tc>
        <w:tc>
          <w:tcPr>
            <w:tcW w:w="46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234,103</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154,029</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Urea ammonium nitrate (UAN)</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184,014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Ammonia</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52,075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200,861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102,013</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49,079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380"/>
              <w:spacing w:after="0"/>
              <w:rPr>
                <w:sz w:val="20"/>
                <w:szCs w:val="20"/>
                <w:color w:val="auto"/>
              </w:rPr>
            </w:pPr>
            <w:r>
              <w:rPr>
                <w:rFonts w:ascii="Arial" w:cs="Arial" w:eastAsia="Arial" w:hAnsi="Arial"/>
                <w:sz w:val="18"/>
                <w:szCs w:val="18"/>
                <w:color w:val="auto"/>
              </w:rPr>
              <w:t>Total 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184,273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127,199</w:t>
            </w:r>
          </w:p>
        </w:tc>
        <w:tc>
          <w:tcPr>
            <w:tcW w:w="46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668,057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366,011</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-170815</wp:posOffset>
            </wp:positionV>
            <wp:extent cx="7683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-170815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-170815</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21 months at September 30, 2022.</w:t>
      </w:r>
    </w:p>
    <w:p>
      <w:pPr>
        <w:spacing w:after="0" w:line="4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$1.1 million and $1.6 million of contract liabilities as of September 30, 2022 and December 31, 2021, respectively. For the three and nine months ended September 30, 2022, revenues of $0.2 million and $1.5 million, respectively, were recognized and included in the balance at the beginning of the respective period. For the three and nine months ended September 30, 2021, revenues of $0.6 million and $2.2 million, respectively, were recognized and included in the balance at the beginning of the respective period.</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At September 30, 2022,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$69 million, of which approximately 33% of this amount relates to 2022 through 2024, approximately 33% relates to 2025 through 2026, with the remainder thereafter.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September 30, 2022, we have two separate outstanding financing arrangements by an affiliate of Eldridge as discussed in footnotes (C) and (D) of Note 4. An affiliate of Eldridge holds $30 million of the New Notes.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2022, we exhausted the remaining repurchase authorization, including by repurchasing approximately 5.5 million shares at an average cost of approximately $12 per share in connection with a public offering by LSB Funding and SBT Investors, each of which is an affiliate of Eldridge as discussed in Note 1.</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were party to a death benefit agreement (“2005 Agreement”) with Jack E. Golsen (“J. Golsen”), who retired effective December 31, 2017. The 2005 Agreement provided that, upon J. Golsen’s death, we would pay to the designated beneficiary, a lump-sum payment of $2.5 million. J. Golsen passed away in April 2022. Further, we maintained and owned a life insurance policy with a face value of $3.0 million for which we were the beneficiary. The policy did not have any cash surrender value, premium payments were current, and the policy was in force at the time of Golsen’s death. We received the settlement payment of $3.0 million and paid the death benefit of $2.5 million in July 2022. We have recorded $3.0 million in a settlement of life insurance presented within non-operating other expense (income), net within our condensed consolidated statements of operations for the nine months ended September 30, 2022. The settlement of life insurance is included in our condensed consolidated statement of cash flows in “Other” investing activities.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10. Supplemental Cash Flow Information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540" w:type="dxa"/>
            <w:vAlign w:val="bottom"/>
            <w:gridSpan w:val="2"/>
          </w:tcPr>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jc w:val="center"/>
              <w:ind w:right="420"/>
              <w:spacing w:after="0"/>
              <w:rPr>
                <w:sz w:val="20"/>
                <w:szCs w:val="20"/>
                <w:color w:val="auto"/>
              </w:rPr>
            </w:pPr>
            <w:r>
              <w:rPr>
                <w:rFonts w:ascii="Arial" w:cs="Arial" w:eastAsia="Arial" w:hAnsi="Arial"/>
                <w:sz w:val="18"/>
                <w:szCs w:val="18"/>
                <w:color w:val="auto"/>
                <w:w w:val="91"/>
              </w:rPr>
              <w:t>Nine Months Ended</w:t>
            </w:r>
          </w:p>
        </w:tc>
      </w:tr>
      <w:tr>
        <w:trPr>
          <w:trHeight w:val="216"/>
        </w:trPr>
        <w:tc>
          <w:tcPr>
            <w:tcW w:w="5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center"/>
              <w:ind w:left="531"/>
              <w:spacing w:after="0"/>
              <w:rPr>
                <w:sz w:val="20"/>
                <w:szCs w:val="20"/>
                <w:color w:val="auto"/>
              </w:rPr>
            </w:pPr>
            <w:r>
              <w:rPr>
                <w:rFonts w:ascii="Arial" w:cs="Arial" w:eastAsia="Arial" w:hAnsi="Arial"/>
                <w:sz w:val="18"/>
                <w:szCs w:val="18"/>
                <w:color w:val="auto"/>
                <w:w w:val="88"/>
              </w:rPr>
              <w:t>September 30,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20"/>
                <w:szCs w:val="20"/>
                <w:color w:val="auto"/>
              </w:rPr>
            </w:pPr>
          </w:p>
        </w:tc>
      </w:tr>
      <w:tr>
        <w:trPr>
          <w:trHeight w:val="196"/>
        </w:trPr>
        <w:tc>
          <w:tcPr>
            <w:tcW w:w="5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91"/>
              <w:spacing w:after="0"/>
              <w:rPr>
                <w:sz w:val="20"/>
                <w:szCs w:val="20"/>
                <w:color w:val="auto"/>
              </w:rPr>
            </w:pPr>
            <w:r>
              <w:rPr>
                <w:rFonts w:ascii="Arial" w:cs="Arial" w:eastAsia="Arial" w:hAnsi="Arial"/>
                <w:sz w:val="16"/>
                <w:szCs w:val="16"/>
                <w:color w:val="auto"/>
              </w:rPr>
              <w:t>(In</w:t>
            </w:r>
          </w:p>
        </w:tc>
        <w:tc>
          <w:tcPr>
            <w:tcW w:w="700" w:type="dxa"/>
            <w:vAlign w:val="bottom"/>
            <w:gridSpan w:val="2"/>
          </w:tcPr>
          <w:p>
            <w:pPr>
              <w:jc w:val="center"/>
              <w:ind w:right="80"/>
              <w:spacing w:after="0"/>
              <w:rPr>
                <w:sz w:val="20"/>
                <w:szCs w:val="20"/>
                <w:color w:val="auto"/>
              </w:rPr>
            </w:pPr>
            <w:r>
              <w:rPr>
                <w:rFonts w:ascii="Arial" w:cs="Arial" w:eastAsia="Arial" w:hAnsi="Arial"/>
                <w:sz w:val="16"/>
                <w:szCs w:val="16"/>
                <w:color w:val="auto"/>
                <w:w w:val="73"/>
              </w:rPr>
              <w:t>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Income taxes,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1,320</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(183 )</w:t>
            </w:r>
          </w:p>
        </w:tc>
      </w:tr>
      <w:tr>
        <w:trPr>
          <w:trHeight w:val="216"/>
        </w:trPr>
        <w:tc>
          <w:tcPr>
            <w:tcW w:w="58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4"/>
        </w:trPr>
        <w:tc>
          <w:tcPr>
            <w:tcW w:w="580" w:type="dxa"/>
            <w:vAlign w:val="bottom"/>
          </w:tcPr>
          <w:p>
            <w:pPr>
              <w:spacing w:after="0"/>
              <w:rPr>
                <w:sz w:val="15"/>
                <w:szCs w:val="15"/>
                <w:color w:val="auto"/>
              </w:rPr>
            </w:pPr>
          </w:p>
        </w:tc>
        <w:tc>
          <w:tcPr>
            <w:tcW w:w="6960" w:type="dxa"/>
            <w:vAlign w:val="bottom"/>
          </w:tcPr>
          <w:p>
            <w:pPr>
              <w:ind w:left="180"/>
              <w:spacing w:after="0" w:line="175" w:lineRule="exact"/>
              <w:rPr>
                <w:sz w:val="20"/>
                <w:szCs w:val="20"/>
                <w:color w:val="auto"/>
              </w:rPr>
            </w:pPr>
            <w:r>
              <w:rPr>
                <w:rFonts w:ascii="Arial" w:cs="Arial" w:eastAsia="Arial" w:hAnsi="Arial"/>
                <w:sz w:val="18"/>
                <w:szCs w:val="18"/>
                <w:color w:val="auto"/>
              </w:rPr>
              <w:t>Accounts receivable, supplies, other assets, accounts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80" w:type="dxa"/>
            <w:vAlign w:val="bottom"/>
          </w:tcPr>
          <w:p>
            <w:pPr>
              <w:spacing w:after="0"/>
              <w:rPr>
                <w:sz w:val="16"/>
                <w:szCs w:val="16"/>
                <w:color w:val="auto"/>
              </w:rPr>
            </w:pPr>
          </w:p>
        </w:tc>
        <w:tc>
          <w:tcPr>
            <w:tcW w:w="6960" w:type="dxa"/>
            <w:vAlign w:val="bottom"/>
          </w:tcPr>
          <w:p>
            <w:pPr>
              <w:ind w:left="360"/>
              <w:spacing w:after="0" w:line="189" w:lineRule="exact"/>
              <w:rPr>
                <w:sz w:val="20"/>
                <w:szCs w:val="20"/>
                <w:color w:val="auto"/>
              </w:rPr>
            </w:pPr>
            <w:r>
              <w:rPr>
                <w:rFonts w:ascii="Arial" w:cs="Arial" w:eastAsia="Arial" w:hAnsi="Arial"/>
                <w:sz w:val="18"/>
                <w:szCs w:val="18"/>
                <w:color w:val="auto"/>
              </w:rPr>
              <w:t>payable and accrued liabilities associated with additions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of property, plant and equipment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29,752</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20,321</w:t>
            </w: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 associated with debt-related costs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7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74"/>
        </w:trPr>
        <w:tc>
          <w:tcPr>
            <w:tcW w:w="580" w:type="dxa"/>
            <w:vAlign w:val="bottom"/>
          </w:tcPr>
          <w:p>
            <w:pPr>
              <w:spacing w:after="0"/>
              <w:rPr>
                <w:sz w:val="15"/>
                <w:szCs w:val="15"/>
                <w:color w:val="auto"/>
              </w:rPr>
            </w:pPr>
          </w:p>
        </w:tc>
        <w:tc>
          <w:tcPr>
            <w:tcW w:w="6960" w:type="dxa"/>
            <w:vAlign w:val="bottom"/>
            <w:shd w:val="clear" w:color="auto" w:fill="CFF0FC"/>
          </w:tcPr>
          <w:p>
            <w:pPr>
              <w:ind w:left="180"/>
              <w:spacing w:after="0" w:line="175" w:lineRule="exact"/>
              <w:rPr>
                <w:sz w:val="20"/>
                <w:szCs w:val="20"/>
                <w:color w:val="auto"/>
              </w:rPr>
            </w:pPr>
            <w:r>
              <w:rPr>
                <w:rFonts w:ascii="Arial" w:cs="Arial" w:eastAsia="Arial" w:hAnsi="Arial"/>
                <w:sz w:val="18"/>
                <w:szCs w:val="18"/>
                <w:color w:val="auto"/>
              </w:rPr>
              <w:t>Series E and Series F Redeemable Preferred and related</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80" w:type="dxa"/>
            <w:vAlign w:val="bottom"/>
          </w:tcPr>
          <w:p>
            <w:pPr>
              <w:spacing w:after="0"/>
              <w:rPr>
                <w:sz w:val="16"/>
                <w:szCs w:val="16"/>
                <w:color w:val="auto"/>
              </w:rPr>
            </w:pPr>
          </w:p>
        </w:tc>
        <w:tc>
          <w:tcPr>
            <w:tcW w:w="6960" w:type="dxa"/>
            <w:vAlign w:val="bottom"/>
            <w:shd w:val="clear" w:color="auto" w:fill="CFF0FC"/>
          </w:tcPr>
          <w:p>
            <w:pPr>
              <w:ind w:left="360"/>
              <w:spacing w:after="0" w:line="189" w:lineRule="exact"/>
              <w:rPr>
                <w:sz w:val="20"/>
                <w:szCs w:val="20"/>
                <w:color w:val="auto"/>
              </w:rPr>
            </w:pPr>
            <w:r>
              <w:rPr>
                <w:rFonts w:ascii="Arial" w:cs="Arial" w:eastAsia="Arial" w:hAnsi="Arial"/>
                <w:sz w:val="18"/>
                <w:szCs w:val="18"/>
                <w:color w:val="auto"/>
              </w:rPr>
              <w:t>dividends, accretion, and embedded derivative exchanged</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69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for common stock, net of related costs in 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301,403</w:t>
            </w:r>
          </w:p>
        </w:tc>
        <w:tc>
          <w:tcPr>
            <w:tcW w:w="100" w:type="dxa"/>
            <w:vAlign w:val="bottom"/>
            <w:shd w:val="clear" w:color="auto" w:fill="CFF0FC"/>
          </w:tcPr>
          <w:p>
            <w:pPr>
              <w:spacing w:after="0"/>
              <w:rPr>
                <w:sz w:val="20"/>
                <w:szCs w:val="20"/>
                <w:color w:val="auto"/>
              </w:rPr>
            </w:pPr>
          </w:p>
        </w:tc>
      </w:tr>
      <w:tr>
        <w:trPr>
          <w:trHeight w:val="230"/>
        </w:trPr>
        <w:tc>
          <w:tcPr>
            <w:tcW w:w="580" w:type="dxa"/>
            <w:vAlign w:val="bottom"/>
          </w:tcPr>
          <w:p>
            <w:pPr>
              <w:spacing w:after="0"/>
              <w:rPr>
                <w:sz w:val="20"/>
                <w:szCs w:val="20"/>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Gain on extinguishment of PPP loan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0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September 30, 2022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on behalf of Covestro in Baytown, Texas. Our products are sold through distributors and directly to end customers primarily throughout the U.S. and parts of Mexico and Canada.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Initiatives for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expect our future results of operations and financial condition to benefit from the following key initiatives:</w:t>
      </w:r>
    </w:p>
    <w:p>
      <w:pPr>
        <w:spacing w:after="0" w:line="103" w:lineRule="exact"/>
        <w:rPr>
          <w:sz w:val="20"/>
          <w:szCs w:val="20"/>
          <w:color w:val="auto"/>
        </w:rPr>
      </w:pPr>
    </w:p>
    <w:p>
      <w:pPr>
        <w:ind w:left="1020" w:right="20" w:hanging="504"/>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Investing to improve Environmental, Health &amp; Safety and Reliability at our Facilities to further our Progress Towards Becoming a “Best in Class” Chemical Plant Operator while Supplying our Customers with Products of the Highest Quality.</w:t>
      </w:r>
    </w:p>
    <w:p>
      <w:pPr>
        <w:spacing w:after="0" w:line="277" w:lineRule="exact"/>
        <w:rPr>
          <w:rFonts w:ascii="Arial" w:cs="Arial" w:eastAsia="Arial" w:hAnsi="Arial"/>
          <w:sz w:val="18"/>
          <w:szCs w:val="18"/>
          <w:color w:val="auto"/>
        </w:rPr>
      </w:pPr>
    </w:p>
    <w:p>
      <w:pPr>
        <w:jc w:val="both"/>
        <w:ind w:left="1260" w:hanging="368"/>
        <w:spacing w:after="0" w:line="246"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believe that our operational progress over the past several years represents proof that high safety standards not only enable us to protect what matters, which is the well-being of our employees, but also translates into improved plant performance. With that in mind, in 2022 we remain acutely focused on our efforts to further the progress we’ve made in creating a high performing safety culture as we advance the safety programs we have underway and implement new ones. We intend to invest additional capital at all three of our facilities to further promote safe and reliable operations in order to build upon the success we have had in implementing enhanced safety programs during the last three years.</w:t>
      </w:r>
    </w:p>
    <w:p>
      <w:pPr>
        <w:spacing w:after="0" w:line="8" w:lineRule="exact"/>
        <w:rPr>
          <w:rFonts w:ascii="Arial" w:cs="Arial" w:eastAsia="Arial" w:hAnsi="Arial"/>
          <w:sz w:val="18"/>
          <w:szCs w:val="18"/>
          <w:color w:val="auto"/>
        </w:rPr>
      </w:pPr>
    </w:p>
    <w:p>
      <w:pPr>
        <w:jc w:val="both"/>
        <w:ind w:left="1260" w:hanging="368"/>
        <w:spacing w:after="0" w:line="243" w:lineRule="auto"/>
        <w:tabs>
          <w:tab w:leader="none" w:pos="1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 have several initiatives currently underway focused on continuing to improve the reliability of our plants which we expect will enable us to produce greater volumes of product for sale while lowering our unit cost of production and increasing our overall profitability. These initiatives are focused on operational excellence through enhancements in leadership at certain of our facilities, bolstering our operating procedures, leveraging the technology investments we have made to improve the optimization of our asset health monitoring and asset care maintenance programs. Additionally, our product quality program continues to focus on providing products to our customers that meet our quality standards.</w:t>
      </w:r>
    </w:p>
    <w:p>
      <w:pPr>
        <w:spacing w:after="0" w:line="10" w:lineRule="exact"/>
        <w:rPr>
          <w:rFonts w:ascii="Arial" w:cs="Arial" w:eastAsia="Arial" w:hAnsi="Arial"/>
          <w:sz w:val="18"/>
          <w:szCs w:val="18"/>
          <w:color w:val="auto"/>
        </w:rPr>
      </w:pPr>
    </w:p>
    <w:p>
      <w:pPr>
        <w:jc w:val="both"/>
        <w:ind w:left="900" w:hanging="383"/>
        <w:spacing w:after="0" w:line="24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and Optimization of our Product Mix. </w:t>
      </w:r>
      <w:r>
        <w:rPr>
          <w:rFonts w:ascii="Arial" w:cs="Arial" w:eastAsia="Arial" w:hAnsi="Arial"/>
          <w:sz w:val="18"/>
          <w:szCs w:val="18"/>
          <w:color w:val="auto"/>
        </w:rPr>
        <w:t>Over the course of 2021 we were successful in improving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production capacity of our plants and we plan to continue to expand the distribution of our products by partnering with customers to take product into different markets while also focusing on opportunities to upgrade our margins through the optimization of our product mix. Additionally, we are evaluating several capital improvement projects for 2022 focused on margin enhancement opportunities related to our storage and distribution capabilities.</w:t>
      </w:r>
    </w:p>
    <w:p>
      <w:pPr>
        <w:spacing w:after="0" w:line="89" w:lineRule="exact"/>
        <w:rPr>
          <w:rFonts w:ascii="Arial" w:cs="Arial" w:eastAsia="Arial" w:hAnsi="Arial"/>
          <w:sz w:val="18"/>
          <w:szCs w:val="18"/>
          <w:color w:val="auto"/>
        </w:rPr>
      </w:pPr>
    </w:p>
    <w:p>
      <w:pPr>
        <w:jc w:val="both"/>
        <w:ind w:left="900" w:hanging="383"/>
        <w:spacing w:after="0" w:line="257"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Development and Implementation of a Strategy to Capitalize on Low Carbon Ammonia and Clean Energy Opportunities. </w:t>
      </w:r>
      <w:r>
        <w:rPr>
          <w:rFonts w:ascii="Arial" w:cs="Arial" w:eastAsia="Arial" w:hAnsi="Arial"/>
          <w:sz w:val="17"/>
          <w:szCs w:val="17"/>
          <w:color w:val="auto"/>
        </w:rPr>
        <w:t>The reduction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particularly related to carbon dioxide, has been and we expect will increasingly become a global environmental priority as part of efforts to stem the harmful effects of climate change. There is increasing evidence from a variety of industry studies to indicate that ammonia can play a significant role in making meaningful progress towards this objective. As a result, we are currently evaluating and developing projects that could enable us to become a producer and marketer of blue and green ammonia and other derivative products. Blue ammonia is produced using natural gas and conventional processes but includes an additional stage where the carbon dioxide emissions are captured and permanently stored in deep underground rock formations, resulting in a low carbon emission product that, we believe, can be sold at a premium to agricultural, industrial, mining, power generation and marine customers seeking to reduce their carbon footprint and potentially capitalize on government incentives. Green ammonia is ammonia produced using renewable energy to power electrolyzers that extract hydrogen from water, resulting in zero-carbon production of ammonia, which we believe can also be sold at a premium to a variety of customers and industries around the world.</w:t>
      </w:r>
    </w:p>
    <w:p>
      <w:pPr>
        <w:spacing w:after="0" w:line="70" w:lineRule="exact"/>
        <w:rPr>
          <w:rFonts w:ascii="Arial" w:cs="Arial" w:eastAsia="Arial" w:hAnsi="Arial"/>
          <w:sz w:val="17"/>
          <w:szCs w:val="17"/>
          <w:color w:val="auto"/>
        </w:rPr>
      </w:pPr>
    </w:p>
    <w:p>
      <w:pPr>
        <w:jc w:val="both"/>
        <w:ind w:left="880"/>
        <w:spacing w:after="0" w:line="244" w:lineRule="auto"/>
        <w:rPr>
          <w:rFonts w:ascii="Arial" w:cs="Arial" w:eastAsia="Arial" w:hAnsi="Arial"/>
          <w:sz w:val="17"/>
          <w:szCs w:val="17"/>
          <w:color w:val="auto"/>
        </w:rPr>
      </w:pPr>
      <w:r>
        <w:rPr>
          <w:rFonts w:ascii="Arial" w:cs="Arial" w:eastAsia="Arial" w:hAnsi="Arial"/>
          <w:sz w:val="18"/>
          <w:szCs w:val="18"/>
          <w:color w:val="auto"/>
        </w:rPr>
        <w:t>Ammonia has continued to emerge as one of the more viable alternatives to serve as a hydrogen-based energy source for a variety of applications due to its higher energy density and ease of storage relative to hydrogen gas. Blue and green ammonia can be used as zero carbon fuel in the maritime sector, as a carbon free fertilizer and as a coal substitute in power generation. If ammonia were to be adopted for these and other energy needs globally, some studies have indicated that future demand could increase significantly from current levels of global annual production of ammonia. We believe we are well-positioned to capitalize on this opportunity and become a market leader given our potential to retrofit our existing plants rather than needing to invest entirely in greenfield projects, which we believe can reduce our time to market for this product and also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9" w:name="page20"/>
    <w:bookmarkEnd w:id="19"/>
    <w:p>
      <w:pPr>
        <w:ind w:left="880" w:right="20"/>
        <w:spacing w:after="0" w:line="265" w:lineRule="auto"/>
        <w:rPr>
          <w:sz w:val="20"/>
          <w:szCs w:val="20"/>
          <w:color w:val="auto"/>
        </w:rPr>
      </w:pPr>
      <w:r>
        <w:rPr>
          <w:rFonts w:ascii="Arial" w:cs="Arial" w:eastAsia="Arial" w:hAnsi="Arial"/>
          <w:sz w:val="18"/>
          <w:szCs w:val="18"/>
          <w:color w:val="auto"/>
        </w:rPr>
        <w:t>reduce the upfront capital expenditures necessary to enable us to produce this product, thereby enhancing the economic attractiveness for us to such investments.</w:t>
      </w:r>
    </w:p>
    <w:p>
      <w:pPr>
        <w:spacing w:after="0" w:line="1" w:lineRule="exact"/>
        <w:rPr>
          <w:sz w:val="20"/>
          <w:szCs w:val="20"/>
          <w:color w:val="auto"/>
        </w:rPr>
      </w:pPr>
    </w:p>
    <w:p>
      <w:pPr>
        <w:jc w:val="both"/>
        <w:ind w:left="900" w:hanging="383"/>
        <w:spacing w:after="0" w:line="28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Evaluate and Pursue Organic Capacity Expansion. </w:t>
      </w:r>
      <w:r>
        <w:rPr>
          <w:rFonts w:ascii="Arial" w:cs="Arial" w:eastAsia="Arial" w:hAnsi="Arial"/>
          <w:sz w:val="16"/>
          <w:szCs w:val="16"/>
          <w:color w:val="auto"/>
        </w:rPr>
        <w:t>We are evaluating opportunities across all of our facilities to increase production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implementation of several potential debottlenecking projects. Our initial calculations suggest that, assuming mid-market pricing assumptions for Tampa ammonia, UAN and natural gas, these projects could potentially represent significant incremental annual profitability.</w:t>
      </w:r>
    </w:p>
    <w:p>
      <w:pPr>
        <w:jc w:val="both"/>
        <w:ind w:left="900" w:hanging="383"/>
        <w:spacing w:after="0" w:line="289"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Pursue Acquisitions of Strategic Assets or Companies. </w:t>
      </w:r>
      <w:r>
        <w:rPr>
          <w:rFonts w:ascii="Arial" w:cs="Arial" w:eastAsia="Arial" w:hAnsi="Arial"/>
          <w:sz w:val="16"/>
          <w:szCs w:val="16"/>
          <w:color w:val="auto"/>
        </w:rPr>
        <w:t>We are actively engaged in evaluating and pursuing various opportunities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strategic assets or companies, where we believe those acquisitions will enhance the value of the Company and provide attractive returns. We evaluate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Signed Agreements for Low and No Carbon Ammonia Projects</w:t>
      </w:r>
    </w:p>
    <w:p>
      <w:pPr>
        <w:spacing w:after="0" w:line="4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April 2022 we entered into an agreement with Lapis Energy to develop a project to capture and permanently sequester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at our El Dorado, Arkansas facility. Lapis, backed by Cresta Fund Management, a Dallas-based middle-market infrastructure investment firm, will make 100% of the capital investment required for the project development. The project is expected to be completed by 2025, subject to the approval of a Class VI permit, at which time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injections are expected to begin. Once operational, the project at the El Dorado site will initially capture and permanently sequester more than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450,000 metric tons of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per year in underground saline aquifers, with the potential to increase this quantity based on potential debottlenecking projects at the facility. The permanently sequestered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generated from the facility’s ammonia production is expected to qualify for federal tax credits under Internal Revenue Code Section 45Q, which are $85 per metric ton of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captured beginning in 2026. Once in operation, the sequestered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is expected to reduce LSB’s scope 1 GHG emissions by approximately 25% from current levels. In addition, sequestering more than 450,000 metric tons of CO</w:t>
      </w:r>
      <w:r>
        <w:rPr>
          <w:rFonts w:ascii="Arial" w:cs="Arial" w:eastAsia="Arial" w:hAnsi="Arial"/>
          <w:sz w:val="21"/>
          <w:szCs w:val="21"/>
          <w:color w:val="auto"/>
          <w:vertAlign w:val="subscript"/>
        </w:rPr>
        <w:t>2</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annually is expected to enable LSB to produce over 375,000 metric tons of blue ammonia annually, a product that could potentially be sold at higher price levels than conventional ammonia.</w:t>
      </w:r>
    </w:p>
    <w:p>
      <w:pPr>
        <w:spacing w:after="0" w:line="7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May 2022 we entered into agreements with Thyssenkrupp Uhde USA, LLC and Bloom Energy, (NYSE:BE) to develop a project to produce approximately 30,000 metric tons of zero-carbon or “green” ammonia per year at our Pryor, Oklahoma facility. Thyssenkrupp Uhde will develop the engineering design to convert a small portion of Pryor’s existing conventional or “grey” ammonia capacity into green ammonia. Pending results of the feasibility study currently underway and subsequent board approval, the project is planned to be constructed in two phases: first with Bloom supplying a 10-megawatt solid oxide electrolyzer, followed by the installation of an additional 20-megawatt alkaline electrolyzer unit, which we plan to source from a leading manufacturer. Bloom will operate and maintain the solid oxide electrolyzer. The green hydrogen produced from the electrolyzers is expected to qualify for federal incentive programs such as the production and tax credit under Internal Revenue Code Section 45V, which are up to $3 per kilogram of clean hydrogen beginning in 2023.</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Continued Improvement in Product Sales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product sales and profitability increased in the third quarter of 2022 as compared to the third quarter of 2021. We generated these improved results despite conducting Turnarounds at two of our facilities while we conducted only one Turnaround in 2021. Selling prices for all of our major products were higher for the third quarter of 2022 as compared to last year due to a combination of supply and demand factors.</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Elevated corn prices remain a significant driver to the strength of fertilizer pricing. Current U.S. corn prices reflect the impact on global corn supplies of dry conditions in South America, the Western U.S. and parts of Europe coupled with continued high demand for corn from China along with continued solid ethanol production levels and the anticipated impact of challenging early-season weather conditions on the domestic corn crop. Recent USDA forecasts point to U.S. corn acreage to be planted in the 2022-2023 planting season to be approximately 88.6 million acres lower than the 2021-2022 estimate of 93.3 million acres, due largely to the impact of wet weather throughout the Midwest during the spring planting season.</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supporting the strength in fertilizer prices has been the high cost of natural gas in Europe. Natural gas is the primary feedstock for the production of ammonia. While down from earlier this year, natural gas prices in European markets have risen to levels that have negatively impacted the economics of ammonia production in that region, prompting producers to cease operations at some Europe-based facilities at various points throughout 2022. The resultant decrease in global production of ammonia has supported the strength in nitrogen-based fertilizer prices.</w:t>
      </w:r>
    </w:p>
    <w:p>
      <w:pPr>
        <w:spacing w:after="0" w:line="5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Further contributing to increased fertilizer prices as compared to year-ago levels has been the impact of the Russian invasion of Ukraine which has resulted in a reduction in global supply of corn, ammonia and natural gas and served to support already high prices for all three commodities.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0" w:name="page21"/>
    <w:bookmarkEnd w:id="20"/>
    <w:p>
      <w:pPr>
        <w:jc w:val="both"/>
        <w:ind w:right="100"/>
        <w:spacing w:after="0" w:line="277" w:lineRule="auto"/>
        <w:rPr>
          <w:sz w:val="20"/>
          <w:szCs w:val="20"/>
          <w:color w:val="auto"/>
        </w:rPr>
      </w:pPr>
      <w:r>
        <w:rPr>
          <w:rFonts w:ascii="Arial" w:cs="Arial" w:eastAsia="Arial" w:hAnsi="Arial"/>
          <w:sz w:val="18"/>
          <w:szCs w:val="18"/>
          <w:color w:val="auto"/>
        </w:rPr>
        <w:t>As a result of the factors discussed above, we anticipate a heavier than typical application of agricultural ammonia this fall as farmers seek to replenish the nitrogen in their soil ahead of the 2023 planting season in order to maximize yields to capitalize on attractive corn pricing.</w:t>
      </w:r>
    </w:p>
    <w:p>
      <w:pPr>
        <w:spacing w:after="0" w:line="48" w:lineRule="exact"/>
        <w:rPr>
          <w:sz w:val="20"/>
          <w:szCs w:val="20"/>
          <w:color w:val="auto"/>
        </w:rPr>
      </w:pPr>
    </w:p>
    <w:p>
      <w:pPr>
        <w:jc w:val="both"/>
        <w:ind w:right="100"/>
        <w:spacing w:after="0" w:line="283" w:lineRule="auto"/>
        <w:rPr>
          <w:sz w:val="20"/>
          <w:szCs w:val="20"/>
          <w:color w:val="auto"/>
        </w:rPr>
      </w:pPr>
      <w:r>
        <w:rPr>
          <w:rFonts w:ascii="Arial" w:cs="Arial" w:eastAsia="Arial" w:hAnsi="Arial"/>
          <w:sz w:val="16"/>
          <w:szCs w:val="16"/>
          <w:color w:val="auto"/>
        </w:rPr>
        <w:t>With respect to our industrial products, selling prices remain higher than a year ago largely as a result of the aforementioned factors pertaining to natural gas. The Tampa ammonia benchmark price remains well above its average price level of the past ten years, which is favorable for selling prices as many of our industrial contracts are indexed to this benchmark price. Demand trends for nitric acid, our largest industrial product category, have weakened in recent weeks, reflecting global economic uncertainty. We believe, however, that we have a meaningful degree of downside protection from the potential impacts of a recession given the nature of our contracts and our ability to shift our production mix to products where demand and pricing are strongest.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See a more detailed discussion below under “Key Industry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Fertilizer</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7"/>
          <w:szCs w:val="17"/>
          <w:color w:val="auto"/>
        </w:rPr>
        <w:t>The price at which our fertilizer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62"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48"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According to the October Report, farmers planted approximately 88.6 million acres of corn in 2022, down 5% compared to the 2021 planting season. In addition, the USDA estimates the U.S. ending stocks for the 2022 Harvest will be approximately 30 million metric tons, a 15% decrease from the 2021 Harvest. The UDSA also lowered the expected yield for the 2022 Harvest, down approximately 3% from a year ago.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October 2022 estimates are associated with the corn market: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2023 Crop</w:t>
            </w:r>
          </w:p>
        </w:tc>
        <w:tc>
          <w:tcPr>
            <w:tcW w:w="2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2022 Crop</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2021 Crop</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9"/>
        </w:trPr>
        <w:tc>
          <w:tcPr>
            <w:tcW w:w="35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(2022 Harvest)</w:t>
            </w:r>
          </w:p>
        </w:tc>
        <w:tc>
          <w:tcPr>
            <w:tcW w:w="2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(2021 Harvest)</w:t>
            </w:r>
          </w:p>
        </w:tc>
        <w:tc>
          <w:tcPr>
            <w:tcW w:w="220" w:type="dxa"/>
            <w:vAlign w:val="bottom"/>
          </w:tcPr>
          <w:p>
            <w:pPr>
              <w:spacing w:after="0"/>
              <w:rPr>
                <w:sz w:val="19"/>
                <w:szCs w:val="19"/>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(2020 Harvest)</w:t>
            </w:r>
          </w:p>
        </w:tc>
        <w:tc>
          <w:tcPr>
            <w:tcW w:w="220" w:type="dxa"/>
            <w:vAlign w:val="bottom"/>
          </w:tcPr>
          <w:p>
            <w:pPr>
              <w:spacing w:after="0"/>
              <w:rPr>
                <w:sz w:val="19"/>
                <w:szCs w:val="19"/>
                <w:color w:val="auto"/>
              </w:rPr>
            </w:pPr>
          </w:p>
        </w:tc>
        <w:tc>
          <w:tcPr>
            <w:tcW w:w="14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Percentage</w:t>
            </w:r>
          </w:p>
        </w:tc>
      </w:tr>
      <w:tr>
        <w:trPr>
          <w:trHeight w:val="201"/>
        </w:trPr>
        <w:tc>
          <w:tcPr>
            <w:tcW w:w="35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October Report (1)</w:t>
            </w:r>
          </w:p>
        </w:tc>
        <w:tc>
          <w:tcPr>
            <w:tcW w:w="24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October Report (1)</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Change (2)</w:t>
            </w:r>
          </w:p>
        </w:tc>
        <w:tc>
          <w:tcPr>
            <w:tcW w:w="100" w:type="dxa"/>
            <w:vAlign w:val="bottom"/>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October Report (1)</w:t>
            </w:r>
          </w:p>
        </w:tc>
        <w:tc>
          <w:tcPr>
            <w:tcW w:w="220" w:type="dxa"/>
            <w:vAlign w:val="bottom"/>
          </w:tcPr>
          <w:p>
            <w:pPr>
              <w:spacing w:after="0"/>
              <w:rPr>
                <w:sz w:val="17"/>
                <w:szCs w:val="17"/>
                <w:color w:val="auto"/>
              </w:rPr>
            </w:pPr>
          </w:p>
        </w:tc>
        <w:tc>
          <w:tcPr>
            <w:tcW w:w="12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 (3)</w:t>
            </w:r>
          </w:p>
        </w:tc>
        <w:tc>
          <w:tcPr>
            <w:tcW w:w="200" w:type="dxa"/>
            <w:vAlign w:val="bottom"/>
          </w:tcPr>
          <w:p>
            <w:pPr>
              <w:spacing w:after="0"/>
              <w:rPr>
                <w:sz w:val="17"/>
                <w:szCs w:val="17"/>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2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20" w:type="dxa"/>
            <w:vAlign w:val="bottom"/>
          </w:tcPr>
          <w:p>
            <w:pPr>
              <w:jc w:val="right"/>
              <w:spacing w:after="0"/>
              <w:rPr>
                <w:sz w:val="20"/>
                <w:szCs w:val="20"/>
                <w:color w:val="auto"/>
              </w:rPr>
            </w:pPr>
            <w:r>
              <w:rPr>
                <w:rFonts w:ascii="Arial" w:cs="Arial" w:eastAsia="Arial" w:hAnsi="Arial"/>
                <w:sz w:val="18"/>
                <w:szCs w:val="18"/>
                <w:color w:val="auto"/>
              </w:rPr>
              <w:t>171.9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176.7</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(2.7 %)</w:t>
            </w:r>
          </w:p>
        </w:tc>
        <w:tc>
          <w:tcPr>
            <w:tcW w:w="1220" w:type="dxa"/>
            <w:vAlign w:val="bottom"/>
          </w:tcPr>
          <w:p>
            <w:pPr>
              <w:jc w:val="right"/>
              <w:spacing w:after="0"/>
              <w:rPr>
                <w:sz w:val="20"/>
                <w:szCs w:val="20"/>
                <w:color w:val="auto"/>
              </w:rPr>
            </w:pPr>
            <w:r>
              <w:rPr>
                <w:rFonts w:ascii="Arial" w:cs="Arial" w:eastAsia="Arial" w:hAnsi="Arial"/>
                <w:sz w:val="18"/>
                <w:szCs w:val="18"/>
                <w:color w:val="auto"/>
              </w:rPr>
              <w:t>171.4</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0.3 %</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20" w:type="dxa"/>
            <w:vAlign w:val="bottom"/>
          </w:tcPr>
          <w:p>
            <w:pPr>
              <w:jc w:val="right"/>
              <w:spacing w:after="0"/>
              <w:rPr>
                <w:sz w:val="20"/>
                <w:szCs w:val="20"/>
                <w:color w:val="auto"/>
              </w:rPr>
            </w:pPr>
            <w:r>
              <w:rPr>
                <w:rFonts w:ascii="Arial" w:cs="Arial" w:eastAsia="Arial" w:hAnsi="Arial"/>
                <w:sz w:val="18"/>
                <w:szCs w:val="18"/>
                <w:color w:val="auto"/>
              </w:rPr>
              <w:t>13,895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15,074</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(7.8 %)</w:t>
            </w:r>
          </w:p>
        </w:tc>
        <w:tc>
          <w:tcPr>
            <w:tcW w:w="1220" w:type="dxa"/>
            <w:vAlign w:val="bottom"/>
          </w:tcPr>
          <w:p>
            <w:pPr>
              <w:jc w:val="right"/>
              <w:spacing w:after="0"/>
              <w:rPr>
                <w:sz w:val="20"/>
                <w:szCs w:val="20"/>
                <w:color w:val="auto"/>
              </w:rPr>
            </w:pPr>
            <w:r>
              <w:rPr>
                <w:rFonts w:ascii="Arial" w:cs="Arial" w:eastAsia="Arial" w:hAnsi="Arial"/>
                <w:sz w:val="18"/>
                <w:szCs w:val="18"/>
                <w:color w:val="auto"/>
              </w:rPr>
              <w:t>14,111</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20" w:type="dxa"/>
            <w:vAlign w:val="bottom"/>
          </w:tcPr>
          <w:p>
            <w:pPr>
              <w:jc w:val="right"/>
              <w:spacing w:after="0"/>
              <w:rPr>
                <w:sz w:val="20"/>
                <w:szCs w:val="20"/>
                <w:color w:val="auto"/>
              </w:rPr>
            </w:pPr>
            <w:r>
              <w:rPr>
                <w:rFonts w:ascii="Arial" w:cs="Arial" w:eastAsia="Arial" w:hAnsi="Arial"/>
                <w:sz w:val="18"/>
                <w:szCs w:val="18"/>
                <w:color w:val="auto"/>
              </w:rPr>
              <w:t>29.8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(14.9 %)</w:t>
            </w:r>
          </w:p>
        </w:tc>
        <w:tc>
          <w:tcPr>
            <w:tcW w:w="1220" w:type="dxa"/>
            <w:vAlign w:val="bottom"/>
          </w:tcPr>
          <w:p>
            <w:pPr>
              <w:jc w:val="right"/>
              <w:spacing w:after="0"/>
              <w:rPr>
                <w:sz w:val="20"/>
                <w:szCs w:val="20"/>
                <w:color w:val="auto"/>
              </w:rPr>
            </w:pPr>
            <w:r>
              <w:rPr>
                <w:rFonts w:ascii="Arial" w:cs="Arial" w:eastAsia="Arial" w:hAnsi="Arial"/>
                <w:sz w:val="18"/>
                <w:szCs w:val="18"/>
                <w:color w:val="auto"/>
              </w:rPr>
              <w:t>31.4</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20" w:type="dxa"/>
            <w:vAlign w:val="bottom"/>
          </w:tcPr>
          <w:p>
            <w:pPr>
              <w:jc w:val="right"/>
              <w:spacing w:after="0"/>
              <w:rPr>
                <w:sz w:val="20"/>
                <w:szCs w:val="20"/>
                <w:color w:val="auto"/>
              </w:rPr>
            </w:pPr>
            <w:r>
              <w:rPr>
                <w:rFonts w:ascii="Arial" w:cs="Arial" w:eastAsia="Arial" w:hAnsi="Arial"/>
                <w:sz w:val="18"/>
                <w:szCs w:val="18"/>
                <w:color w:val="auto"/>
              </w:rPr>
              <w:t>301.2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307.0</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(1.9 %)</w:t>
            </w:r>
          </w:p>
        </w:tc>
        <w:tc>
          <w:tcPr>
            <w:tcW w:w="1220" w:type="dxa"/>
            <w:vAlign w:val="bottom"/>
          </w:tcPr>
          <w:p>
            <w:pPr>
              <w:jc w:val="right"/>
              <w:spacing w:after="0"/>
              <w:rPr>
                <w:sz w:val="20"/>
                <w:szCs w:val="20"/>
                <w:color w:val="auto"/>
              </w:rPr>
            </w:pPr>
            <w:r>
              <w:rPr>
                <w:rFonts w:ascii="Arial" w:cs="Arial" w:eastAsia="Arial" w:hAnsi="Arial"/>
                <w:sz w:val="18"/>
                <w:szCs w:val="18"/>
                <w:color w:val="auto"/>
              </w:rPr>
              <w:t>292.8</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7" w:lineRule="exact"/>
        <w:rPr>
          <w:sz w:val="20"/>
          <w:szCs w:val="20"/>
          <w:color w:val="auto"/>
        </w:rPr>
      </w:pPr>
    </w:p>
    <w:p>
      <w:pPr>
        <w:jc w:val="both"/>
        <w:ind w:left="760" w:right="100" w:hanging="378"/>
        <w:spacing w:after="0" w:line="223"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obtained from WASDE reports dated October 12, 2022 (“October Report”) for the 2022/2023 (“2023 Crop”), 2021/2022 (“2022 Crop”) and 2020/2021 (“2021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between the 2023 Crop amounts compared to the 2022 Crop amounts.</w:t>
      </w: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percentage change between the 2023 Crop amounts compared to the 2021 Crop amounts.</w:t>
      </w:r>
    </w:p>
    <w:p>
      <w:pPr>
        <w:spacing w:after="0" w:line="87" w:lineRule="exact"/>
        <w:rPr>
          <w:sz w:val="20"/>
          <w:szCs w:val="20"/>
          <w:color w:val="auto"/>
        </w:rPr>
      </w:pPr>
    </w:p>
    <w:p>
      <w:pPr>
        <w:jc w:val="both"/>
        <w:ind w:right="100"/>
        <w:spacing w:after="0" w:line="260" w:lineRule="auto"/>
        <w:rPr>
          <w:sz w:val="20"/>
          <w:szCs w:val="20"/>
          <w:color w:val="auto"/>
        </w:rPr>
      </w:pPr>
      <w:r>
        <w:rPr>
          <w:rFonts w:ascii="Arial" w:cs="Arial" w:eastAsia="Arial" w:hAnsi="Arial"/>
          <w:sz w:val="17"/>
          <w:szCs w:val="17"/>
          <w:color w:val="auto"/>
        </w:rPr>
        <w:t>The current USDA corn outlook for corn planted during 2022 is for reduced supplies, greater feed and residual use, lower exports and corn used for ethanol and smaller ending stocks. The USDA lowered production estimates by 49 million bushels to 13.9 million and assumes average yields will fall to 171.9 bushels per acre. Export estimates fell by 126 million bushels, which the USDA attributes to both smaller supplies and light early-season demand. Feed and residual use firmed by 50 million bushels, while corn used for ethanol fell by the same amount. Ultimately, supply fell more than use, so USDA lowered 2022/23 ending stocks by 57 million bushels to 1.172 billion bushels. Ethanol is commonly made from corn and ethanol production is a large user of U.S. corn, currently representing approximately 37% of total U.S. corn demand.</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Industrial and Mining Products</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industrial products sales volumes are dependent upon general economic conditions primarily in the housing, automotive and paper industries. Demand remains stable from domestic end-use markets, while orders from customers producing products largely for export to Europe and Asia have softened to a degree given weakening international economies. Importantly, in addition to our contractual agreements with industrial customers that specify minimum volumes, our product mix flexibility helps us mitigate the impact of a reduction in demand from certain end markets by shifting production to products with stronger demand. Our sales prices generally vary with the market price of ammonia or natural gas, as applicable, in our pricing arrangements with customers.</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mining products are LDAN and AN solution, which are primarily used as AN fuel oil and specialty emulsions for usage in the quarry and the construction industries, for metals mining and to a lesser extent, for coal. Although our AN product is primarily sold for use in aggregates and precious metals mining operations, overall, we have been experiencing favorable trends in our mining business as rising global consumption of coal for energy has strengthened demand and pricing for AN. Overall, despite growing global recessionary forces, our industrial and mining business remains stable.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and for a fixed supply quantity. We are able to purchase natural gas at competitive prices due to our connections to large distribution systems and their proximity to interstate pipeline systems.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volume of natural gas we purchased and the average cost per MMBtu:</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206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380" w:type="dxa"/>
            <w:vAlign w:val="bottom"/>
          </w:tcPr>
          <w:p>
            <w:pPr>
              <w:spacing w:after="0"/>
              <w:rPr>
                <w:sz w:val="18"/>
                <w:szCs w:val="18"/>
                <w:color w:val="auto"/>
              </w:rPr>
            </w:pPr>
          </w:p>
        </w:tc>
        <w:tc>
          <w:tcPr>
            <w:tcW w:w="2060" w:type="dxa"/>
            <w:vAlign w:val="bottom"/>
            <w:gridSpan w:val="4"/>
          </w:tcPr>
          <w:p>
            <w:pPr>
              <w:jc w:val="center"/>
              <w:ind w:left="25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74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6"/>
        </w:trPr>
        <w:tc>
          <w:tcPr>
            <w:tcW w:w="5380" w:type="dxa"/>
            <w:vAlign w:val="bottom"/>
          </w:tcPr>
          <w:p>
            <w:pPr>
              <w:spacing w:after="0" w:line="196" w:lineRule="exact"/>
              <w:rPr>
                <w:sz w:val="20"/>
                <w:szCs w:val="20"/>
                <w:color w:val="auto"/>
              </w:rPr>
            </w:pPr>
            <w:r>
              <w:rPr>
                <w:rFonts w:ascii="Arial" w:cs="Arial" w:eastAsia="Arial" w:hAnsi="Arial"/>
                <w:sz w:val="18"/>
                <w:szCs w:val="18"/>
                <w:color w:val="auto"/>
              </w:rPr>
              <w:t>Natural gas average cost per MMBtu</w:t>
            </w:r>
          </w:p>
        </w:tc>
        <w:tc>
          <w:tcPr>
            <w:tcW w:w="740" w:type="dxa"/>
            <w:vAlign w:val="bottom"/>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1"/>
              </w:rPr>
              <w:t>7.65</w:t>
            </w:r>
          </w:p>
        </w:tc>
        <w:tc>
          <w:tcPr>
            <w:tcW w:w="98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1"/>
              </w:rPr>
              <w:t>3.71</w:t>
            </w:r>
          </w:p>
        </w:tc>
        <w:tc>
          <w:tcPr>
            <w:tcW w:w="8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-187960</wp:posOffset>
            </wp:positionV>
            <wp:extent cx="88201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82015" cy="188595"/>
                    </a:xfrm>
                    <a:prstGeom prst="rect">
                      <a:avLst/>
                    </a:prstGeom>
                    <a:noFill/>
                  </pic:spPr>
                </pic:pic>
              </a:graphicData>
            </a:graphic>
          </wp:anchor>
        </w:drawing>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were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spacing w:after="0" w:line="68"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30"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completing with the next ammonia plant Turnaround planned in the third quarter of 2024.</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El Dorado Facility completed its scheduled ammonia plant Turnaround during the third quarter of 2022. Our Pryor Facility started its scheduled ammonia plant Turnaround during the third quarter which was completed in mid-October. Following those Turnarounds, they will be on a three-year and two-year ammonia plant Turnaround cycle,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2" w:name="page23"/>
    <w:bookmarkEnd w:id="22"/>
    <w:p>
      <w:pPr>
        <w:ind w:left="2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Ammonia is the basic product used to produce all of our upgraded products. The ammonia production rates of our plants affect the total cost per ton of each product produced and the overall sales of our products. For 2022, we are targeting total ammonia production of approximately 750,000 tons to 780,000 tons despite Turnarounds at our Pryor and El Dorado Facilities, which lowered ammonia production during the third quarter by approximately 53,000 tons.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Third Quarter of 2022</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consolidated net sales for the third quarter of 2022 were $184 million compared to $127.2 million for the same period in 2021. Our consolidated operating income for the third quarter of 2022 was $13.1 million compared to $5.4 million for the same period in 2021. The items impacting our operating results are discussed in more detail below and under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Third Quarter</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third quarter of 2022, average selling prices for our key products increased approximately 39% to 76% compared to the third quarter of 2021. As discussed above under “Recent Business Developments,” increased demand, higher corn prices, and tighter supplies of nitrogen products contributed to the improved pricing.</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third quarter of 2022, average industrial selling prices for most of our products were also higher compared to the same period of 2021, primarily driven by the $483 per metric ton increase in the Tampa Ammonia benchmark price, as many of our industrial contracts are indexed to the Tampa Ammonia benchmark price.</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Turnaround Activities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a Turnaround is performed, overall results are negatively impacted. This impact includes lost contribution margin from lost sales, lost fixed cost absorption from lower production, and increased costs associated with repairs and maintenance. The effects of our Turnaround, exclusive of the impacts due to lost production during the downtime, are shown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Turnaround Expense</w:t>
            </w:r>
          </w:p>
        </w:tc>
        <w:tc>
          <w:tcPr>
            <w:tcW w:w="280" w:type="dxa"/>
            <w:vAlign w:val="bottom"/>
          </w:tcPr>
          <w:p>
            <w:pPr>
              <w:spacing w:after="0"/>
              <w:rPr>
                <w:sz w:val="18"/>
                <w:szCs w:val="18"/>
                <w:color w:val="auto"/>
              </w:rPr>
            </w:pPr>
          </w:p>
        </w:tc>
        <w:tc>
          <w:tcPr>
            <w:tcW w:w="1840" w:type="dxa"/>
            <w:vAlign w:val="bottom"/>
          </w:tcPr>
          <w:p>
            <w:pPr>
              <w:jc w:val="right"/>
              <w:ind w:right="310"/>
              <w:spacing w:after="0"/>
              <w:rPr>
                <w:sz w:val="20"/>
                <w:szCs w:val="20"/>
                <w:color w:val="auto"/>
              </w:rPr>
            </w:pPr>
            <w:r>
              <w:rPr>
                <w:rFonts w:ascii="Arial" w:cs="Arial" w:eastAsia="Arial" w:hAnsi="Arial"/>
                <w:sz w:val="18"/>
                <w:szCs w:val="18"/>
                <w:color w:val="auto"/>
              </w:rPr>
              <w:t>Estimated Lost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0"/>
              </w:rPr>
              <w:t>Turnaround</w:t>
            </w:r>
          </w:p>
        </w:tc>
        <w:tc>
          <w:tcPr>
            <w:tcW w:w="1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vMerge w:val="restart"/>
          </w:tcPr>
          <w:p>
            <w:pPr>
              <w:jc w:val="right"/>
              <w:ind w:right="450"/>
              <w:spacing w:after="0"/>
              <w:rPr>
                <w:sz w:val="20"/>
                <w:szCs w:val="20"/>
                <w:color w:val="auto"/>
              </w:rPr>
            </w:pPr>
            <w:r>
              <w:rPr>
                <w:rFonts w:ascii="Arial" w:cs="Arial" w:eastAsia="Arial" w:hAnsi="Arial"/>
                <w:sz w:val="18"/>
                <w:szCs w:val="18"/>
                <w:color w:val="auto"/>
              </w:rPr>
              <w:t>Production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Facility</w:t>
            </w:r>
          </w:p>
        </w:tc>
        <w:tc>
          <w:tcPr>
            <w:tcW w:w="18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Related Period</w:t>
            </w:r>
          </w:p>
        </w:tc>
        <w:tc>
          <w:tcPr>
            <w:tcW w:w="1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Downtime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(In Thousands)</w:t>
            </w:r>
          </w:p>
        </w:tc>
        <w:tc>
          <w:tcPr>
            <w:tcW w:w="280" w:type="dxa"/>
            <w:vAlign w:val="bottom"/>
          </w:tcPr>
          <w:p>
            <w:pPr>
              <w:spacing w:after="0"/>
              <w:rPr>
                <w:sz w:val="20"/>
                <w:szCs w:val="20"/>
                <w:color w:val="auto"/>
              </w:rPr>
            </w:pPr>
          </w:p>
        </w:tc>
        <w:tc>
          <w:tcPr>
            <w:tcW w:w="1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(In Tons)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 Dorado</w:t>
            </w:r>
          </w:p>
        </w:tc>
        <w:tc>
          <w:tcPr>
            <w:tcW w:w="18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line="209" w:lineRule="exact"/>
              <w:rPr>
                <w:sz w:val="20"/>
                <w:szCs w:val="20"/>
                <w:color w:val="auto"/>
              </w:rPr>
            </w:pPr>
            <w:r>
              <w:rPr>
                <w:rFonts w:ascii="Arial" w:cs="Arial" w:eastAsia="Arial" w:hAnsi="Arial"/>
                <w:sz w:val="18"/>
                <w:szCs w:val="18"/>
                <w:color w:val="auto"/>
                <w:w w:val="87"/>
              </w:rPr>
              <w:t>3</w:t>
            </w:r>
            <w:r>
              <w:rPr>
                <w:rFonts w:ascii="Arial" w:cs="Arial" w:eastAsia="Arial" w:hAnsi="Arial"/>
                <w:sz w:val="24"/>
                <w:szCs w:val="24"/>
                <w:color w:val="auto"/>
                <w:w w:val="87"/>
                <w:vertAlign w:val="superscript"/>
              </w:rPr>
              <w:t>rd</w:t>
            </w:r>
            <w:r>
              <w:rPr>
                <w:rFonts w:ascii="Arial" w:cs="Arial" w:eastAsia="Arial" w:hAnsi="Arial"/>
                <w:sz w:val="18"/>
                <w:szCs w:val="18"/>
                <w:color w:val="auto"/>
                <w:w w:val="87"/>
              </w:rPr>
              <w:t xml:space="preserve"> Quarter 2022</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27 days</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8,414</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Pryor</w:t>
            </w:r>
          </w:p>
        </w:tc>
        <w:tc>
          <w:tcPr>
            <w:tcW w:w="180" w:type="dxa"/>
            <w:vAlign w:val="bottom"/>
          </w:tcPr>
          <w:p>
            <w:pPr>
              <w:spacing w:after="0"/>
              <w:rPr>
                <w:sz w:val="18"/>
                <w:szCs w:val="18"/>
                <w:color w:val="auto"/>
              </w:rPr>
            </w:pPr>
          </w:p>
        </w:tc>
        <w:tc>
          <w:tcPr>
            <w:tcW w:w="1940" w:type="dxa"/>
            <w:vAlign w:val="bottom"/>
          </w:tcPr>
          <w:p>
            <w:pPr>
              <w:jc w:val="center"/>
              <w:spacing w:after="0" w:line="216" w:lineRule="exact"/>
              <w:rPr>
                <w:sz w:val="20"/>
                <w:szCs w:val="20"/>
                <w:color w:val="auto"/>
              </w:rPr>
            </w:pPr>
            <w:r>
              <w:rPr>
                <w:rFonts w:ascii="Arial" w:cs="Arial" w:eastAsia="Arial" w:hAnsi="Arial"/>
                <w:sz w:val="18"/>
                <w:szCs w:val="18"/>
                <w:color w:val="auto"/>
                <w:w w:val="87"/>
              </w:rPr>
              <w:t>3</w:t>
            </w:r>
            <w:r>
              <w:rPr>
                <w:rFonts w:ascii="Arial" w:cs="Arial" w:eastAsia="Arial" w:hAnsi="Arial"/>
                <w:sz w:val="24"/>
                <w:szCs w:val="24"/>
                <w:color w:val="auto"/>
                <w:w w:val="87"/>
                <w:vertAlign w:val="superscript"/>
              </w:rPr>
              <w:t>rd</w:t>
            </w:r>
            <w:r>
              <w:rPr>
                <w:rFonts w:ascii="Arial" w:cs="Arial" w:eastAsia="Arial" w:hAnsi="Arial"/>
                <w:sz w:val="18"/>
                <w:szCs w:val="18"/>
                <w:color w:val="auto"/>
                <w:w w:val="87"/>
              </w:rPr>
              <w:t xml:space="preserve"> Quarter 2022</w:t>
            </w: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25 days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10,824</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19,238</w:t>
            </w:r>
          </w:p>
        </w:tc>
        <w:tc>
          <w:tcPr>
            <w:tcW w:w="28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21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Cherokee</w:t>
            </w:r>
          </w:p>
        </w:tc>
        <w:tc>
          <w:tcPr>
            <w:tcW w:w="18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CFF0FC"/>
            </w:tcBorders>
            <w:shd w:val="clear" w:color="auto" w:fill="CFF0FC"/>
          </w:tcPr>
          <w:p>
            <w:pPr>
              <w:jc w:val="center"/>
              <w:spacing w:after="0" w:line="216" w:lineRule="exact"/>
              <w:rPr>
                <w:sz w:val="20"/>
                <w:szCs w:val="20"/>
                <w:color w:val="auto"/>
              </w:rPr>
            </w:pPr>
            <w:r>
              <w:rPr>
                <w:rFonts w:ascii="Arial" w:cs="Arial" w:eastAsia="Arial" w:hAnsi="Arial"/>
                <w:sz w:val="18"/>
                <w:szCs w:val="18"/>
                <w:color w:val="auto"/>
                <w:w w:val="87"/>
              </w:rPr>
              <w:t>3</w:t>
            </w:r>
            <w:r>
              <w:rPr>
                <w:rFonts w:ascii="Arial" w:cs="Arial" w:eastAsia="Arial" w:hAnsi="Arial"/>
                <w:sz w:val="24"/>
                <w:szCs w:val="24"/>
                <w:color w:val="auto"/>
                <w:w w:val="87"/>
                <w:vertAlign w:val="superscript"/>
              </w:rPr>
              <w:t>rd</w:t>
            </w:r>
            <w:r>
              <w:rPr>
                <w:rFonts w:ascii="Arial" w:cs="Arial" w:eastAsia="Arial" w:hAnsi="Arial"/>
                <w:sz w:val="18"/>
                <w:szCs w:val="18"/>
                <w:color w:val="auto"/>
                <w:w w:val="87"/>
              </w:rPr>
              <w:t xml:space="preserve"> Quarter 2021</w:t>
            </w: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8"/>
              </w:rPr>
              <w:t>40 days</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w:t>
            </w:r>
          </w:p>
        </w:tc>
        <w:tc>
          <w:tcPr>
            <w:tcW w:w="28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7,976</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-470535</wp:posOffset>
            </wp:positionV>
            <wp:extent cx="140398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403985" cy="162560"/>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-170815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of Control and Special Dividend (2021 only)</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the result of the Exchange Transaction during the third quarter of 2021 Eldridge held over 60% of our outstanding shares of common stock on the closing in September 2021. A change of control event occurred as defined in certain agreements, including stock-based awards and cash-based awards. As a result, additional expense was recognized due to the change of control event. In addition, pursuant to anti-dilutive terms included in the cash-based awards, the number of units of cash-based awards increased due to the Special Dividend, also resulting in additional expense being recognized. In summary, we recognized approximately $5.0 million in expense, of which $1.2 million is classified as cost of sales and $3.8 million is classified as SG&amp;A during the three months ended September 30,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The following Results of Operations should be read in conjunction with our condensed consolidated financial statements for the three and nine months ended September 30, 2022 and 2021 and accompanying notes and the discussions under “Overview” and “Liquidity and Capital Resources” included in this MD&amp;A.</w:t>
      </w:r>
    </w:p>
    <w:p>
      <w:pPr>
        <w:spacing w:after="0" w:line="89"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ectPr>
          <w:pgSz w:w="11900" w:h="16838" w:orient="portrait"/>
          <w:cols w:equalWidth="0" w:num="1">
            <w:col w:w="11340"/>
          </w:cols>
          <w:pgMar w:left="320" w:top="431" w:right="239" w:bottom="1440" w:gutter="0" w:footer="0" w:header="0"/>
        </w:sectPr>
      </w:pPr>
    </w:p>
    <w:p>
      <w:pPr>
        <w:spacing w:after="0" w:line="193" w:lineRule="exact"/>
        <w:rPr>
          <w:sz w:val="20"/>
          <w:szCs w:val="20"/>
          <w:color w:val="auto"/>
        </w:rPr>
      </w:pPr>
    </w:p>
    <w:p>
      <w:pPr>
        <w:ind w:left="1900"/>
        <w:spacing w:after="0"/>
        <w:rPr>
          <w:sz w:val="20"/>
          <w:szCs w:val="20"/>
          <w:color w:val="auto"/>
        </w:rPr>
      </w:pPr>
      <w:r>
        <w:rPr>
          <w:rFonts w:ascii="Arial" w:cs="Arial" w:eastAsia="Arial" w:hAnsi="Arial"/>
          <w:sz w:val="17"/>
          <w:szCs w:val="17"/>
          <w:b w:val="1"/>
          <w:bCs w:val="1"/>
          <w:u w:val="single" w:color="auto"/>
          <w:color w:val="auto"/>
        </w:rPr>
        <w:t>Three Months Ended September 30, 2022 Compared to Three Months Ended September 30,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jc w:val="center"/>
              <w:ind w:right="45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4"/>
          </w:tcPr>
          <w:p>
            <w:pPr>
              <w:jc w:val="center"/>
              <w:ind w:left="530"/>
              <w:spacing w:after="0"/>
              <w:rPr>
                <w:sz w:val="20"/>
                <w:szCs w:val="20"/>
                <w:color w:val="auto"/>
              </w:rPr>
            </w:pPr>
            <w:r>
              <w:rPr>
                <w:rFonts w:ascii="Arial" w:cs="Arial" w:eastAsia="Arial" w:hAnsi="Arial"/>
                <w:sz w:val="18"/>
                <w:szCs w:val="18"/>
                <w:color w:val="auto"/>
                <w:w w:val="88"/>
              </w:rPr>
              <w:t>September 30,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5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0"/>
        </w:trPr>
        <w:tc>
          <w:tcPr>
            <w:tcW w:w="49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82"/>
              </w:rPr>
              <w:t>(Dollars In Thousands)</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AN &amp; Nitric Acid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66,161</w:t>
            </w:r>
          </w:p>
        </w:tc>
        <w:tc>
          <w:tcPr>
            <w:tcW w:w="1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47,453</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Urea ammonium nitrate (UAN)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24,425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Ammonia</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127,199</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57,450</w:t>
            </w:r>
          </w:p>
        </w:tc>
        <w:tc>
          <w:tcPr>
            <w:tcW w:w="1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43,056</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14,394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8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(16,083 )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(17,633 )</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00"/>
              <w:spacing w:after="0"/>
              <w:rPr>
                <w:sz w:val="20"/>
                <w:szCs w:val="20"/>
                <w:color w:val="auto"/>
              </w:rPr>
            </w:pPr>
            <w:r>
              <w:rPr>
                <w:rFonts w:ascii="Arial" w:cs="Arial" w:eastAsia="Arial" w:hAnsi="Arial"/>
                <w:sz w:val="18"/>
                <w:szCs w:val="18"/>
                <w:color w:val="auto"/>
              </w:rPr>
              <w:t>Turnaround expense</w:t>
            </w:r>
          </w:p>
        </w:tc>
        <w:tc>
          <w:tcPr>
            <w:tcW w:w="28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(19,238 )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(7,976 )</w:t>
            </w:r>
          </w:p>
        </w:tc>
        <w:tc>
          <w:tcPr>
            <w:tcW w:w="26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(11,262 )</w:t>
            </w:r>
          </w:p>
        </w:tc>
        <w:tc>
          <w:tcPr>
            <w:tcW w:w="0" w:type="dxa"/>
            <w:vAlign w:val="bottom"/>
          </w:tcPr>
          <w:p>
            <w:pPr>
              <w:spacing w:after="0"/>
              <w:rPr>
                <w:sz w:val="1"/>
                <w:szCs w:val="1"/>
                <w:color w:val="auto"/>
              </w:rPr>
            </w:pPr>
          </w:p>
        </w:tc>
      </w:tr>
      <w:tr>
        <w:trPr>
          <w:trHeight w:val="195"/>
        </w:trPr>
        <w:tc>
          <w:tcPr>
            <w:tcW w:w="4900" w:type="dxa"/>
            <w:vAlign w:val="bottom"/>
          </w:tcPr>
          <w:p>
            <w:pPr>
              <w:ind w:left="180"/>
              <w:spacing w:after="0" w:line="195" w:lineRule="exact"/>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22,129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17,447</w:t>
            </w: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4,682</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(2,462 )</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(549 )</w:t>
            </w:r>
          </w:p>
        </w:tc>
        <w:tc>
          <w:tcPr>
            <w:tcW w:w="0" w:type="dxa"/>
            <w:vAlign w:val="bottom"/>
          </w:tcPr>
          <w:p>
            <w:pPr>
              <w:spacing w:after="0"/>
              <w:rPr>
                <w:sz w:val="1"/>
                <w:szCs w:val="1"/>
                <w:color w:val="auto"/>
              </w:rPr>
            </w:pPr>
          </w:p>
        </w:tc>
      </w:tr>
      <w:tr>
        <w:trPr>
          <w:trHeight w:val="195"/>
        </w:trPr>
        <w:tc>
          <w:tcPr>
            <w:tcW w:w="4900" w:type="dxa"/>
            <w:vAlign w:val="bottom"/>
          </w:tcPr>
          <w:p>
            <w:pPr>
              <w:ind w:left="100"/>
              <w:spacing w:after="0" w:line="195" w:lineRule="exact"/>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13,066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5,373</w:t>
            </w: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7,693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(763 )</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28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(2,219 )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(3,545 )</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w:t>
            </w:r>
          </w:p>
        </w:tc>
        <w:tc>
          <w:tcPr>
            <w:tcW w:w="26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13.7 %</w:t>
            </w:r>
          </w:p>
        </w:tc>
        <w:tc>
          <w:tcPr>
            <w:tcW w:w="26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196"/>
        </w:trPr>
        <w:tc>
          <w:tcPr>
            <w:tcW w:w="4900" w:type="dxa"/>
            <w:vAlign w:val="bottom"/>
          </w:tcPr>
          <w:p>
            <w:pPr>
              <w:ind w:left="100"/>
              <w:spacing w:after="0" w:line="196" w:lineRule="exact"/>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33.8</w:t>
            </w:r>
          </w:p>
        </w:tc>
        <w:tc>
          <w:tcPr>
            <w:tcW w:w="2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Pr>
          <w:p>
            <w:pPr>
              <w:ind w:left="100"/>
              <w:spacing w:after="0" w:line="196" w:lineRule="exact"/>
              <w:rPr>
                <w:sz w:val="20"/>
                <w:szCs w:val="20"/>
                <w:color w:val="auto"/>
              </w:rPr>
            </w:pPr>
            <w:r>
              <w:rPr>
                <w:rFonts w:ascii="Arial" w:cs="Arial" w:eastAsia="Arial" w:hAnsi="Arial"/>
                <w:sz w:val="18"/>
                <w:szCs w:val="18"/>
                <w:color w:val="auto"/>
              </w:rPr>
              <w:t>Property, plant and equipment expenditures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16,100</w:t>
            </w:r>
          </w:p>
        </w:tc>
        <w:tc>
          <w:tcPr>
            <w:tcW w:w="1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11,252</w:t>
            </w:r>
          </w:p>
        </w:tc>
        <w:tc>
          <w:tcPr>
            <w:tcW w:w="26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-3449955</wp:posOffset>
            </wp:positionV>
            <wp:extent cx="71323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-3176270</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-2901950</wp:posOffset>
            </wp:positionV>
            <wp:extent cx="7132320" cy="4451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-2319655</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-2045970</wp:posOffset>
            </wp:positionV>
            <wp:extent cx="7132320" cy="419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-1480820</wp:posOffset>
            </wp:positionV>
            <wp:extent cx="71323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-1206500</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-923925</wp:posOffset>
            </wp:positionV>
            <wp:extent cx="7132320" cy="436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ind w:left="760" w:hanging="378"/>
        <w:spacing w:after="0"/>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a non-GAAP measure since the amount excludes unallocated depreciation, amortization and Turnaround expenses.</w:t>
      </w:r>
    </w:p>
    <w:p>
      <w:pPr>
        <w:spacing w:after="0" w:line="30" w:lineRule="exact"/>
        <w:rPr>
          <w:rFonts w:ascii="Arial" w:cs="Arial" w:eastAsia="Arial" w:hAnsi="Arial"/>
          <w:sz w:val="15"/>
          <w:szCs w:val="15"/>
          <w:color w:val="auto"/>
        </w:rPr>
      </w:pPr>
    </w:p>
    <w:p>
      <w:pPr>
        <w:ind w:left="760" w:hanging="378"/>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4" w:lineRule="exact"/>
        <w:rPr>
          <w:rFonts w:ascii="Arial" w:cs="Arial" w:eastAsia="Arial" w:hAnsi="Arial"/>
          <w:sz w:val="16"/>
          <w:szCs w:val="16"/>
          <w:color w:val="auto"/>
        </w:rPr>
      </w:pPr>
    </w:p>
    <w:p>
      <w:pPr>
        <w:ind w:left="760" w:hanging="378"/>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Percentage</w:t>
      </w:r>
    </w:p>
    <w:p>
      <w:pPr>
        <w:spacing w:after="0" w:line="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5715</wp:posOffset>
            </wp:positionV>
            <wp:extent cx="9074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39 %</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94 %</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23 %</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37 %</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45 %</w:t>
      </w:r>
    </w:p>
    <w:p>
      <w:pPr>
        <w:spacing w:after="0" w:line="200" w:lineRule="exact"/>
        <w:rPr>
          <w:sz w:val="20"/>
          <w:szCs w:val="20"/>
          <w:color w:val="auto"/>
        </w:r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33 %</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(9 )%</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141 %</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(21 %)</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143 %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w:t>
      </w:r>
    </w:p>
    <w:p>
      <w:pPr>
        <w:spacing w:after="0" w:line="22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4005 %</w:t>
      </w:r>
    </w:p>
    <w:p>
      <w:pPr>
        <w:spacing w:after="0" w:line="4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126 %</w:t>
      </w:r>
    </w:p>
    <w:p>
      <w:pPr>
        <w:spacing w:after="0" w:line="1909" w:lineRule="exact"/>
        <w:rPr>
          <w:sz w:val="20"/>
          <w:szCs w:val="20"/>
          <w:color w:val="auto"/>
        </w:rPr>
      </w:pPr>
    </w:p>
    <w:p>
      <w:pPr>
        <w:sectPr>
          <w:pgSz w:w="11900" w:h="16838" w:orient="portrait"/>
          <w:cols w:equalWidth="0" w:num="2">
            <w:col w:w="9720" w:space="300"/>
            <w:col w:w="1320"/>
          </w:cols>
          <w:pgMar w:left="320" w:top="431"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100" w:type="dxa"/>
            <w:vAlign w:val="bottom"/>
            <w:gridSpan w:val="4"/>
          </w:tcPr>
          <w:p>
            <w:pPr>
              <w:jc w:val="center"/>
              <w:spacing w:after="0"/>
              <w:rPr>
                <w:sz w:val="20"/>
                <w:szCs w:val="20"/>
                <w:color w:val="auto"/>
              </w:rPr>
            </w:pPr>
            <w:r>
              <w:rPr>
                <w:rFonts w:ascii="Arial" w:cs="Arial" w:eastAsia="Arial" w:hAnsi="Arial"/>
                <w:sz w:val="18"/>
                <w:szCs w:val="18"/>
                <w:color w:val="auto"/>
                <w:w w:val="89"/>
              </w:rPr>
              <w:t>Three Months Ended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20" w:type="dxa"/>
            <w:vAlign w:val="bottom"/>
            <w:gridSpan w:val="3"/>
          </w:tcPr>
          <w:p>
            <w:pPr>
              <w:jc w:val="center"/>
              <w:ind w:left="890"/>
              <w:spacing w:after="0"/>
              <w:rPr>
                <w:sz w:val="20"/>
                <w:szCs w:val="20"/>
                <w:color w:val="auto"/>
              </w:rPr>
            </w:pPr>
            <w:r>
              <w:rPr>
                <w:rFonts w:ascii="Arial" w:cs="Arial" w:eastAsia="Arial" w:hAnsi="Arial"/>
                <w:sz w:val="18"/>
                <w:szCs w:val="18"/>
                <w:color w:val="auto"/>
                <w:w w:val="86"/>
              </w:rPr>
              <w:t>September 30,</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600"/>
              <w:spacing w:after="0"/>
              <w:rPr>
                <w:sz w:val="20"/>
                <w:szCs w:val="20"/>
                <w:color w:val="auto"/>
              </w:rPr>
            </w:pPr>
            <w:r>
              <w:rPr>
                <w:rFonts w:ascii="Arial" w:cs="Arial" w:eastAsia="Arial" w:hAnsi="Arial"/>
                <w:sz w:val="18"/>
                <w:szCs w:val="18"/>
                <w:color w:val="auto"/>
              </w:rPr>
              <w:t>Percentage</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Product (tons sold)</w:t>
            </w:r>
          </w:p>
        </w:tc>
        <w:tc>
          <w:tcPr>
            <w:tcW w:w="34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2021</w:t>
            </w:r>
          </w:p>
        </w:tc>
        <w:tc>
          <w:tcPr>
            <w:tcW w:w="220" w:type="dxa"/>
            <w:vAlign w:val="bottom"/>
          </w:tcPr>
          <w:p>
            <w:pPr>
              <w:spacing w:after="0"/>
              <w:rPr>
                <w:sz w:val="20"/>
                <w:szCs w:val="20"/>
                <w:color w:val="auto"/>
              </w:rPr>
            </w:pPr>
          </w:p>
        </w:tc>
        <w:tc>
          <w:tcPr>
            <w:tcW w:w="1680" w:type="dxa"/>
            <w:vAlign w:val="bottom"/>
            <w:gridSpan w:val="2"/>
          </w:tcPr>
          <w:p>
            <w:pPr>
              <w:jc w:val="right"/>
              <w:ind w:right="590"/>
              <w:spacing w:after="0"/>
              <w:rPr>
                <w:sz w:val="20"/>
                <w:szCs w:val="20"/>
                <w:color w:val="auto"/>
              </w:rPr>
            </w:pPr>
            <w:r>
              <w:rPr>
                <w:rFonts w:ascii="Arial" w:cs="Arial" w:eastAsia="Arial" w:hAnsi="Arial"/>
                <w:sz w:val="18"/>
                <w:szCs w:val="18"/>
                <w:color w:val="auto"/>
              </w:rPr>
              <w:t>Change</w:t>
            </w:r>
          </w:p>
        </w:tc>
        <w:tc>
          <w:tcPr>
            <w:tcW w:w="1780" w:type="dxa"/>
            <w:vAlign w:val="bottom"/>
            <w:gridSpan w:val="3"/>
          </w:tcPr>
          <w:p>
            <w:pPr>
              <w:jc w:val="right"/>
              <w:ind w:right="720"/>
              <w:spacing w:after="0"/>
              <w:rPr>
                <w:sz w:val="20"/>
                <w:szCs w:val="20"/>
                <w:color w:val="auto"/>
              </w:rPr>
            </w:pPr>
            <w:r>
              <w:rPr>
                <w:rFonts w:ascii="Arial" w:cs="Arial" w:eastAsia="Arial" w:hAnsi="Arial"/>
                <w:sz w:val="18"/>
                <w:szCs w:val="18"/>
                <w:color w:val="auto"/>
              </w:rPr>
              <w:t>Change</w:t>
            </w:r>
          </w:p>
        </w:tc>
      </w:tr>
      <w:tr>
        <w:trPr>
          <w:trHeight w:val="203"/>
        </w:trPr>
        <w:tc>
          <w:tcPr>
            <w:tcW w:w="20" w:type="dxa"/>
            <w:vAlign w:val="bottom"/>
          </w:tcPr>
          <w:p>
            <w:pPr>
              <w:spacing w:after="0"/>
              <w:rPr>
                <w:sz w:val="17"/>
                <w:szCs w:val="17"/>
                <w:color w:val="auto"/>
              </w:rPr>
            </w:pPr>
          </w:p>
        </w:tc>
        <w:tc>
          <w:tcPr>
            <w:tcW w:w="454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AN &amp; Nitric Acid</w:t>
            </w: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125,446</w:t>
            </w:r>
          </w:p>
        </w:tc>
        <w:tc>
          <w:tcPr>
            <w:tcW w:w="2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135,279</w:t>
            </w:r>
          </w:p>
        </w:tc>
        <w:tc>
          <w:tcPr>
            <w:tcW w:w="220" w:type="dxa"/>
            <w:vAlign w:val="bottom"/>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(9,833</w:t>
            </w:r>
          </w:p>
        </w:tc>
        <w:tc>
          <w:tcPr>
            <w:tcW w:w="22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81"/>
              </w:rPr>
              <w:t>)%</w:t>
            </w:r>
          </w:p>
        </w:tc>
      </w:tr>
      <w:tr>
        <w:trPr>
          <w:trHeight w:val="216"/>
        </w:trPr>
        <w:tc>
          <w:tcPr>
            <w:tcW w:w="2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Urea ammonium nitrate (UAN)</w:t>
            </w:r>
          </w:p>
        </w:tc>
        <w:tc>
          <w:tcPr>
            <w:tcW w:w="1380" w:type="dxa"/>
            <w:vAlign w:val="bottom"/>
          </w:tcPr>
          <w:p>
            <w:pPr>
              <w:jc w:val="right"/>
              <w:spacing w:after="0"/>
              <w:rPr>
                <w:sz w:val="20"/>
                <w:szCs w:val="20"/>
                <w:color w:val="auto"/>
              </w:rPr>
            </w:pPr>
            <w:r>
              <w:rPr>
                <w:rFonts w:ascii="Arial" w:cs="Arial" w:eastAsia="Arial" w:hAnsi="Arial"/>
                <w:sz w:val="18"/>
                <w:szCs w:val="18"/>
                <w:color w:val="auto"/>
              </w:rPr>
              <w:t>115,352</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82,555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32,797</w:t>
            </w:r>
          </w:p>
        </w:tc>
        <w:tc>
          <w:tcPr>
            <w:tcW w:w="2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40 %</w:t>
            </w:r>
          </w:p>
        </w:tc>
      </w:tr>
      <w:tr>
        <w:trPr>
          <w:trHeight w:val="216"/>
        </w:trPr>
        <w:tc>
          <w:tcPr>
            <w:tcW w:w="20" w:type="dxa"/>
            <w:vAlign w:val="bottom"/>
          </w:tcPr>
          <w:p>
            <w:pPr>
              <w:spacing w:after="0"/>
              <w:rPr>
                <w:sz w:val="18"/>
                <w:szCs w:val="18"/>
                <w:color w:val="auto"/>
              </w:rPr>
            </w:pP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Ammonia</w:t>
            </w:r>
          </w:p>
        </w:tc>
        <w:tc>
          <w:tcPr>
            <w:tcW w:w="1380" w:type="dxa"/>
            <w:vAlign w:val="bottom"/>
          </w:tcPr>
          <w:p>
            <w:pPr>
              <w:jc w:val="right"/>
              <w:spacing w:after="0"/>
              <w:rPr>
                <w:sz w:val="20"/>
                <w:szCs w:val="20"/>
                <w:color w:val="auto"/>
              </w:rPr>
            </w:pPr>
            <w:r>
              <w:rPr>
                <w:rFonts w:ascii="Arial" w:cs="Arial" w:eastAsia="Arial" w:hAnsi="Arial"/>
                <w:sz w:val="18"/>
                <w:szCs w:val="18"/>
                <w:color w:val="auto"/>
              </w:rPr>
              <w:t>55,825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80,001</w:t>
            </w:r>
          </w:p>
        </w:tc>
        <w:tc>
          <w:tcPr>
            <w:tcW w:w="22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Arial" w:cs="Arial" w:eastAsia="Arial" w:hAnsi="Arial"/>
                <w:sz w:val="18"/>
                <w:szCs w:val="18"/>
                <w:color w:val="auto"/>
              </w:rPr>
              <w:t>(24,176 )</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gridSpan w:val="2"/>
          </w:tcPr>
          <w:p>
            <w:pPr>
              <w:jc w:val="center"/>
              <w:ind w:right="3460"/>
              <w:spacing w:after="0"/>
              <w:rPr>
                <w:sz w:val="20"/>
                <w:szCs w:val="20"/>
                <w:color w:val="auto"/>
              </w:rPr>
            </w:pPr>
            <w:r>
              <w:rPr>
                <w:rFonts w:ascii="Arial" w:cs="Arial" w:eastAsia="Arial" w:hAnsi="Arial"/>
                <w:sz w:val="18"/>
                <w:szCs w:val="18"/>
                <w:color w:val="auto"/>
                <w:w w:val="89"/>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296,623</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297,835</w:t>
            </w:r>
          </w:p>
        </w:tc>
        <w:tc>
          <w:tcPr>
            <w:tcW w:w="22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Arial" w:cs="Arial" w:eastAsia="Arial" w:hAnsi="Arial"/>
                <w:sz w:val="18"/>
                <w:szCs w:val="18"/>
                <w:color w:val="auto"/>
              </w:rPr>
              <w:t>(1,212 )</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0 %</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-1061085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307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30797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1"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4"/>
          </w:tcPr>
          <w:p>
            <w:pPr>
              <w:jc w:val="center"/>
              <w:ind w:left="550"/>
              <w:spacing w:after="0"/>
              <w:rPr>
                <w:sz w:val="20"/>
                <w:szCs w:val="20"/>
                <w:color w:val="auto"/>
              </w:rPr>
            </w:pPr>
            <w:r>
              <w:rPr>
                <w:rFonts w:ascii="Arial" w:cs="Arial" w:eastAsia="Arial" w:hAnsi="Arial"/>
                <w:sz w:val="18"/>
                <w:szCs w:val="18"/>
                <w:color w:val="auto"/>
                <w:w w:val="88"/>
              </w:rPr>
              <w:t>September 30,</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70"/>
              <w:spacing w:after="0"/>
              <w:rPr>
                <w:sz w:val="20"/>
                <w:szCs w:val="20"/>
                <w:color w:val="auto"/>
              </w:rPr>
            </w:pPr>
            <w:r>
              <w:rPr>
                <w:rFonts w:ascii="Arial" w:cs="Arial" w:eastAsia="Arial" w:hAnsi="Arial"/>
                <w:sz w:val="18"/>
                <w:szCs w:val="18"/>
                <w:color w:val="auto"/>
                <w:w w:val="84"/>
              </w:rPr>
              <w:t>Percentage</w:t>
            </w:r>
          </w:p>
        </w:tc>
      </w:tr>
      <w:tr>
        <w:trPr>
          <w:trHeight w:val="237"/>
        </w:trPr>
        <w:tc>
          <w:tcPr>
            <w:tcW w:w="20" w:type="dxa"/>
            <w:vAlign w:val="bottom"/>
          </w:tcPr>
          <w:p>
            <w:pPr>
              <w:spacing w:after="0"/>
              <w:rPr>
                <w:sz w:val="20"/>
                <w:szCs w:val="20"/>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w w:val="94"/>
              </w:rPr>
              <w:t>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780" w:type="dxa"/>
            <w:vAlign w:val="bottom"/>
            <w:gridSpan w:val="2"/>
          </w:tcPr>
          <w:p>
            <w:pPr>
              <w:jc w:val="center"/>
              <w:ind w:right="70"/>
              <w:spacing w:after="0"/>
              <w:rPr>
                <w:sz w:val="20"/>
                <w:szCs w:val="20"/>
                <w:color w:val="auto"/>
              </w:rPr>
            </w:pPr>
            <w:r>
              <w:rPr>
                <w:rFonts w:ascii="Arial" w:cs="Arial" w:eastAsia="Arial" w:hAnsi="Arial"/>
                <w:sz w:val="18"/>
                <w:szCs w:val="18"/>
                <w:color w:val="auto"/>
                <w:w w:val="85"/>
              </w:rPr>
              <w:t>Change</w:t>
            </w:r>
          </w:p>
        </w:tc>
      </w:tr>
      <w:tr>
        <w:trPr>
          <w:trHeight w:val="203"/>
        </w:trPr>
        <w:tc>
          <w:tcPr>
            <w:tcW w:w="20" w:type="dxa"/>
            <w:vAlign w:val="bottom"/>
          </w:tcPr>
          <w:p>
            <w:pPr>
              <w:spacing w:after="0"/>
              <w:rPr>
                <w:sz w:val="17"/>
                <w:szCs w:val="17"/>
                <w:color w:val="auto"/>
              </w:rPr>
            </w:pPr>
          </w:p>
        </w:tc>
        <w:tc>
          <w:tcPr>
            <w:tcW w:w="454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AN &amp; Nitric Acid</w:t>
            </w:r>
          </w:p>
        </w:tc>
        <w:tc>
          <w:tcPr>
            <w:tcW w:w="300" w:type="dxa"/>
            <w:vAlign w:val="bottom"/>
            <w:tcBorders>
              <w:top w:val="single" w:sz="8" w:color="auto"/>
            </w:tcBorders>
            <w:gridSpan w:val="2"/>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527</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top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351</w:t>
            </w:r>
          </w:p>
        </w:tc>
        <w:tc>
          <w:tcPr>
            <w:tcW w:w="24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6"/>
        </w:trPr>
        <w:tc>
          <w:tcPr>
            <w:tcW w:w="20" w:type="dxa"/>
            <w:vAlign w:val="bottom"/>
          </w:tcPr>
          <w:p>
            <w:pPr>
              <w:spacing w:after="0"/>
              <w:rPr>
                <w:sz w:val="18"/>
                <w:szCs w:val="18"/>
                <w:color w:val="auto"/>
              </w:rPr>
            </w:pPr>
          </w:p>
        </w:tc>
        <w:tc>
          <w:tcPr>
            <w:tcW w:w="4540" w:type="dxa"/>
            <w:vAlign w:val="bottom"/>
            <w:gridSpan w:val="3"/>
          </w:tcPr>
          <w:p>
            <w:pPr>
              <w:ind w:left="180"/>
              <w:spacing w:after="0"/>
              <w:rPr>
                <w:sz w:val="20"/>
                <w:szCs w:val="20"/>
                <w:color w:val="auto"/>
              </w:rPr>
            </w:pPr>
            <w:r>
              <w:rPr>
                <w:rFonts w:ascii="Arial" w:cs="Arial" w:eastAsia="Arial" w:hAnsi="Arial"/>
                <w:sz w:val="18"/>
                <w:szCs w:val="18"/>
                <w:color w:val="auto"/>
              </w:rPr>
              <w:t>Urea ammonium nitrate (UAN)</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39 %</w:t>
            </w:r>
          </w:p>
        </w:tc>
      </w:tr>
      <w:tr>
        <w:trPr>
          <w:trHeight w:val="216"/>
        </w:trPr>
        <w:tc>
          <w:tcPr>
            <w:tcW w:w="20" w:type="dxa"/>
            <w:vAlign w:val="bottom"/>
          </w:tcPr>
          <w:p>
            <w:pPr>
              <w:spacing w:after="0"/>
              <w:rPr>
                <w:sz w:val="18"/>
                <w:szCs w:val="18"/>
                <w:color w:val="auto"/>
              </w:rPr>
            </w:pPr>
          </w:p>
        </w:tc>
        <w:tc>
          <w:tcPr>
            <w:tcW w:w="4540" w:type="dxa"/>
            <w:vAlign w:val="bottom"/>
            <w:gridSpan w:val="3"/>
          </w:tcPr>
          <w:p>
            <w:pPr>
              <w:ind w:left="180"/>
              <w:spacing w:after="0"/>
              <w:rPr>
                <w:sz w:val="20"/>
                <w:szCs w:val="20"/>
                <w:color w:val="auto"/>
              </w:rPr>
            </w:pPr>
            <w:r>
              <w:rPr>
                <w:rFonts w:ascii="Arial" w:cs="Arial" w:eastAsia="Arial" w:hAnsi="Arial"/>
                <w:sz w:val="18"/>
                <w:szCs w:val="18"/>
                <w:color w:val="auto"/>
              </w:rPr>
              <w:t>Ammonia</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404</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76 %</w:t>
            </w:r>
          </w:p>
        </w:tc>
      </w:tr>
      <w:tr>
        <w:trPr>
          <w:trHeight w:val="390"/>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4"/>
          </w:tcPr>
          <w:p>
            <w:pPr>
              <w:jc w:val="center"/>
              <w:ind w:left="550"/>
              <w:spacing w:after="0"/>
              <w:rPr>
                <w:sz w:val="20"/>
                <w:szCs w:val="20"/>
                <w:color w:val="auto"/>
              </w:rPr>
            </w:pPr>
            <w:r>
              <w:rPr>
                <w:rFonts w:ascii="Arial" w:cs="Arial" w:eastAsia="Arial" w:hAnsi="Arial"/>
                <w:sz w:val="18"/>
                <w:szCs w:val="18"/>
                <w:color w:val="auto"/>
                <w:w w:val="88"/>
              </w:rPr>
              <w:t>September 30,</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70"/>
              <w:spacing w:after="0"/>
              <w:rPr>
                <w:sz w:val="20"/>
                <w:szCs w:val="20"/>
                <w:color w:val="auto"/>
              </w:rPr>
            </w:pPr>
            <w:r>
              <w:rPr>
                <w:rFonts w:ascii="Arial" w:cs="Arial" w:eastAsia="Arial" w:hAnsi="Arial"/>
                <w:sz w:val="18"/>
                <w:szCs w:val="18"/>
                <w:color w:val="auto"/>
                <w:w w:val="84"/>
              </w:rPr>
              <w:t>Percentage</w:t>
            </w:r>
          </w:p>
        </w:tc>
      </w:tr>
      <w:tr>
        <w:trPr>
          <w:trHeight w:val="237"/>
        </w:trPr>
        <w:tc>
          <w:tcPr>
            <w:tcW w:w="2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Arial" w:cs="Arial" w:eastAsia="Arial" w:hAnsi="Arial"/>
                <w:sz w:val="14"/>
                <w:szCs w:val="14"/>
                <w:color w:val="auto"/>
              </w:rPr>
              <w:t>Average Benchmark Prices (price per ton)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w w:val="94"/>
              </w:rPr>
              <w:t>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780" w:type="dxa"/>
            <w:vAlign w:val="bottom"/>
            <w:gridSpan w:val="2"/>
          </w:tcPr>
          <w:p>
            <w:pPr>
              <w:jc w:val="center"/>
              <w:ind w:right="70"/>
              <w:spacing w:after="0"/>
              <w:rPr>
                <w:sz w:val="20"/>
                <w:szCs w:val="20"/>
                <w:color w:val="auto"/>
              </w:rPr>
            </w:pPr>
            <w:r>
              <w:rPr>
                <w:rFonts w:ascii="Arial" w:cs="Arial" w:eastAsia="Arial" w:hAnsi="Arial"/>
                <w:sz w:val="18"/>
                <w:szCs w:val="18"/>
                <w:color w:val="auto"/>
                <w:w w:val="85"/>
              </w:rPr>
              <w:t>Change</w:t>
            </w:r>
          </w:p>
        </w:tc>
      </w:tr>
      <w:tr>
        <w:trPr>
          <w:trHeight w:val="203"/>
        </w:trPr>
        <w:tc>
          <w:tcPr>
            <w:tcW w:w="20" w:type="dxa"/>
            <w:vAlign w:val="bottom"/>
          </w:tcPr>
          <w:p>
            <w:pPr>
              <w:spacing w:after="0"/>
              <w:rPr>
                <w:sz w:val="17"/>
                <w:szCs w:val="17"/>
                <w:color w:val="auto"/>
              </w:rPr>
            </w:pPr>
          </w:p>
        </w:tc>
        <w:tc>
          <w:tcPr>
            <w:tcW w:w="2420" w:type="dxa"/>
            <w:vAlign w:val="bottom"/>
            <w:tcBorders>
              <w:top w:val="single" w:sz="8" w:color="auto"/>
            </w:tcBorders>
          </w:tcPr>
          <w:p>
            <w:pPr>
              <w:ind w:left="180"/>
              <w:spacing w:after="0" w:line="203" w:lineRule="exact"/>
              <w:rPr>
                <w:sz w:val="20"/>
                <w:szCs w:val="20"/>
                <w:color w:val="auto"/>
              </w:rPr>
            </w:pPr>
            <w:r>
              <w:rPr>
                <w:rFonts w:ascii="Arial" w:cs="Arial" w:eastAsia="Arial" w:hAnsi="Arial"/>
                <w:sz w:val="18"/>
                <w:szCs w:val="18"/>
                <w:color w:val="auto"/>
                <w:w w:val="95"/>
              </w:rPr>
              <w:t>Tampa Ammonia Benchmark</w:t>
            </w:r>
          </w:p>
        </w:tc>
        <w:tc>
          <w:tcPr>
            <w:tcW w:w="2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1,093</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top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483</w:t>
            </w:r>
          </w:p>
        </w:tc>
        <w:tc>
          <w:tcPr>
            <w:tcW w:w="200" w:type="dxa"/>
            <w:vAlign w:val="bottom"/>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30"/>
        </w:trPr>
        <w:tc>
          <w:tcPr>
            <w:tcW w:w="20" w:type="dxa"/>
            <w:vAlign w:val="bottom"/>
          </w:tcPr>
          <w:p>
            <w:pPr>
              <w:spacing w:after="0"/>
              <w:rPr>
                <w:sz w:val="20"/>
                <w:szCs w:val="20"/>
                <w:color w:val="auto"/>
              </w:rPr>
            </w:pPr>
          </w:p>
        </w:tc>
        <w:tc>
          <w:tcPr>
            <w:tcW w:w="4540" w:type="dxa"/>
            <w:vAlign w:val="bottom"/>
            <w:gridSpan w:val="3"/>
          </w:tcPr>
          <w:p>
            <w:pPr>
              <w:ind w:left="180"/>
              <w:spacing w:after="0"/>
              <w:rPr>
                <w:sz w:val="20"/>
                <w:szCs w:val="20"/>
                <w:color w:val="auto"/>
              </w:rPr>
            </w:pPr>
            <w:r>
              <w:rPr>
                <w:rFonts w:ascii="Arial" w:cs="Arial" w:eastAsia="Arial" w:hAnsi="Arial"/>
                <w:sz w:val="18"/>
                <w:szCs w:val="18"/>
                <w:color w:val="auto"/>
              </w:rPr>
              <w:t>UAN Southern Plains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20"/>
                <w:szCs w:val="20"/>
                <w:color w:val="auto"/>
              </w:rPr>
            </w:pP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-1233170</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right="60"/>
        <w:spacing w:after="0" w:line="324" w:lineRule="auto"/>
        <w:rPr>
          <w:sz w:val="20"/>
          <w:szCs w:val="20"/>
          <w:color w:val="auto"/>
        </w:rPr>
      </w:pPr>
      <w:r>
        <w:rPr>
          <w:rFonts w:ascii="Arial" w:cs="Arial" w:eastAsia="Arial" w:hAnsi="Arial"/>
          <w:sz w:val="16"/>
          <w:szCs w:val="16"/>
          <w:color w:val="auto"/>
        </w:rPr>
        <w:t>Net sales of our primary products increased during the third quarter of 2022 compared to the prior year period driven by stronger pricing for all of our products. Partially offsetting the benefit of stronger pricing was lower sales volumes related to Turnaround activity at our El Dorado and Pryor Facilities.</w:t>
      </w:r>
    </w:p>
    <w:p>
      <w:pPr>
        <w:spacing w:after="0" w:line="29"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Demand for our industrial and mining products remains stable despite growing global recessionary forces. Our contractual agreements with industrial customers that specify minimum volumes and our product mix flexibility helps us mitigate the impact of a reduction in demand from certain end markets by shifting production to products with stronger demand. Our AN product is primarily sold for use in aggregates and precious metals mining operations, overall, we have been experiencing favorable trends in our mining business as rising global consumption of coal for energy has strengthened demand and pricing for 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As noted in the table above, we recognized a gross profit of $22.1 million for the third quarter of 2022 compared to $17.4 million for the same period in 2021, or a $4.7 million improvement. Overall, our gross profit percentage was 12.0% compared to 13.7% for the same period in 2021. Our adjusted gross profit percentage decreased to 31.2% for the third quarter of 2022 from 33.8% for the third quarter of 2021.</w:t>
      </w:r>
    </w:p>
    <w:p>
      <w:pPr>
        <w:spacing w:after="0" w:line="76"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The increase in gross profit was primarily driven by higher sales prices for our products partially offset by lower volumes of our ammonia and acid products. The improvement in gross profit was also partially offset by overall higher average natural gas costs, which averaged $7.65 per MMBtu for 2022 as compared to $3.71 per MMBtu for 2021. As a percentage of sales, gross profit and adjusted gross profit were lower overall as a result of Turnaround activity at our El Dorado and Pryor Facilities during the third quarter of 2022 compared to 2021 where we completed a Turnaround at our Cherokee Facility.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0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Our SG&amp;A expenses were $9.1 million for the third quarter of 2022, a decrease of $2.5 million compared to the same period in 2021. The net decrease was primarily driven by approximately $3.8 million of expense due to change of control and anti-dilutive provisions included in certain agreements as discussed above under "Items Affecting Comparability of Results of the Third Quarter" partially offset by an increase in professional fees.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Non-operating other income for the third quarter of 2022 was $2.2 million primarily relating to interest income from our short-term investments. For the same period in 2021, we had non-operating expenses of $1.3 million which primarily related to the change in fair value of the embedded derivative included in the Series E Redeemable Preferred prior to its extinguishment through the completion of the Exchange Transaction during September 2021.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07"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The provision for income taxes for the third quarter of 2022 was $0.8 million and for 2021 was minimal. The resulting effective tax rate for the third quarter of 2022 was 25.2%. For the third quarter of 2022, the effective tax rate is greater than the statutory rate primarily due to the impact of state taxes and valuation allowances. For the third quarter of 2021, the effective tax rate is less than the statutory rate primarily due to the impact of the PPP loan forgiveness, state tax law changes and valuation allowances. Also, see discussion in Note 7.</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3" w:right="27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18"/>
          <w:szCs w:val="18"/>
          <w:b w:val="1"/>
          <w:bCs w:val="1"/>
          <w:u w:val="single" w:color="auto"/>
          <w:color w:val="auto"/>
        </w:rPr>
        <w:t>Nine Months Ended September 30, 2022 Compared to Nine Months Ended September 30, 2021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0"/>
        </w:trPr>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6"/>
          </w:tcPr>
          <w:p>
            <w:pPr>
              <w:jc w:val="center"/>
              <w:ind w:right="540"/>
              <w:spacing w:after="0"/>
              <w:rPr>
                <w:sz w:val="20"/>
                <w:szCs w:val="20"/>
                <w:color w:val="auto"/>
              </w:rPr>
            </w:pPr>
            <w:r>
              <w:rPr>
                <w:rFonts w:ascii="Arial" w:cs="Arial" w:eastAsia="Arial" w:hAnsi="Arial"/>
                <w:sz w:val="18"/>
                <w:szCs w:val="18"/>
                <w:color w:val="auto"/>
                <w:w w:val="92"/>
              </w:rPr>
              <w:t>Nine Months Ended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4"/>
          </w:tcPr>
          <w:p>
            <w:pPr>
              <w:jc w:val="center"/>
              <w:ind w:left="490"/>
              <w:spacing w:after="0"/>
              <w:rPr>
                <w:sz w:val="20"/>
                <w:szCs w:val="20"/>
                <w:color w:val="auto"/>
              </w:rPr>
            </w:pPr>
            <w:r>
              <w:rPr>
                <w:rFonts w:ascii="Arial" w:cs="Arial" w:eastAsia="Arial" w:hAnsi="Arial"/>
                <w:sz w:val="18"/>
                <w:szCs w:val="18"/>
                <w:color w:val="auto"/>
                <w:w w:val="88"/>
              </w:rPr>
              <w:t>September 30,</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Percentage</w:t>
            </w:r>
          </w:p>
        </w:tc>
      </w:tr>
      <w:tr>
        <w:trPr>
          <w:trHeight w:val="230"/>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w w:val="94"/>
              </w:rPr>
              <w:t>2021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Change</w:t>
            </w:r>
          </w:p>
        </w:tc>
        <w:tc>
          <w:tcPr>
            <w:tcW w:w="1660" w:type="dxa"/>
            <w:vAlign w:val="bottom"/>
            <w:gridSpan w:val="3"/>
          </w:tcPr>
          <w:p>
            <w:pPr>
              <w:jc w:val="right"/>
              <w:ind w:right="660"/>
              <w:spacing w:after="0"/>
              <w:rPr>
                <w:sz w:val="20"/>
                <w:szCs w:val="20"/>
                <w:color w:val="auto"/>
              </w:rPr>
            </w:pPr>
            <w:r>
              <w:rPr>
                <w:rFonts w:ascii="Arial" w:cs="Arial" w:eastAsia="Arial" w:hAnsi="Arial"/>
                <w:sz w:val="18"/>
                <w:szCs w:val="18"/>
                <w:color w:val="auto"/>
              </w:rPr>
              <w:t>Change</w:t>
            </w:r>
          </w:p>
        </w:tc>
      </w:tr>
      <w:tr>
        <w:trPr>
          <w:trHeight w:val="196"/>
        </w:trPr>
        <w:tc>
          <w:tcPr>
            <w:tcW w:w="50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80"/>
              </w:rPr>
              <w:t>(Dollars In Thousands)</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AN &amp; Nitric Acid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234,103</w:t>
            </w:r>
          </w:p>
        </w:tc>
        <w:tc>
          <w:tcPr>
            <w:tcW w:w="16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154,029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80,074</w:t>
            </w:r>
          </w:p>
        </w:tc>
        <w:tc>
          <w:tcPr>
            <w:tcW w:w="2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52 %</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Urea ammonium nitrate (UAN)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110,443</w:t>
            </w:r>
          </w:p>
        </w:tc>
        <w:tc>
          <w:tcPr>
            <w:tcW w:w="2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150 %</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Ammonia</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200,861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98,848</w:t>
            </w:r>
          </w:p>
        </w:tc>
        <w:tc>
          <w:tcPr>
            <w:tcW w:w="2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97 %</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36,398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12,681</w:t>
            </w:r>
          </w:p>
        </w:tc>
        <w:tc>
          <w:tcPr>
            <w:tcW w:w="2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35 %</w:t>
            </w:r>
          </w:p>
        </w:tc>
      </w:tr>
      <w:tr>
        <w:trPr>
          <w:trHeight w:val="209"/>
        </w:trPr>
        <w:tc>
          <w:tcPr>
            <w:tcW w:w="500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668,057</w:t>
            </w:r>
          </w:p>
        </w:tc>
        <w:tc>
          <w:tcPr>
            <w:tcW w:w="16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366,011</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302,046</w:t>
            </w:r>
          </w:p>
        </w:tc>
        <w:tc>
          <w:tcPr>
            <w:tcW w:w="2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83 %</w:t>
            </w:r>
          </w:p>
        </w:tc>
      </w:tr>
      <w:tr>
        <w:trPr>
          <w:trHeight w:val="20"/>
        </w:trPr>
        <w:tc>
          <w:tcPr>
            <w:tcW w:w="5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330,732</w:t>
            </w:r>
          </w:p>
        </w:tc>
        <w:tc>
          <w:tcPr>
            <w:tcW w:w="16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120,652</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210,080</w:t>
            </w:r>
          </w:p>
        </w:tc>
        <w:tc>
          <w:tcPr>
            <w:tcW w:w="2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174 %</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(49,885 )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(51,314 )</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1,429</w:t>
            </w:r>
          </w:p>
        </w:tc>
        <w:tc>
          <w:tcPr>
            <w:tcW w:w="2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Turnaround expense</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(25,064 )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(8,823 )</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(16,241 )</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184 %</w:t>
            </w:r>
          </w:p>
        </w:tc>
      </w:tr>
      <w:tr>
        <w:trPr>
          <w:trHeight w:val="209"/>
        </w:trPr>
        <w:tc>
          <w:tcPr>
            <w:tcW w:w="5000" w:type="dxa"/>
            <w:vAlign w:val="bottom"/>
          </w:tcPr>
          <w:p>
            <w:pPr>
              <w:ind w:left="20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60,515</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195,268</w:t>
            </w:r>
          </w:p>
        </w:tc>
        <w:tc>
          <w:tcPr>
            <w:tcW w:w="2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323 %</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3 %</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194,335</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(3,163 )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(8 )%</w:t>
            </w:r>
          </w:p>
        </w:tc>
      </w:tr>
      <w:tr>
        <w:trPr>
          <w:trHeight w:val="21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(gain) on extinguishment of debt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(10,000 )</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10,113</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Non-operating other expense (income), net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(5,627 )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(8,093 )</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(187 )</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32,464</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0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164,477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163,014</w:t>
            </w:r>
          </w:p>
        </w:tc>
        <w:tc>
          <w:tcPr>
            <w:tcW w:w="200" w:type="dxa"/>
            <w:vAlign w:val="bottom"/>
            <w:tcBorders>
              <w:top w:val="single" w:sz="8" w:color="CFF0FC"/>
            </w:tcBorders>
          </w:tcPr>
          <w:p>
            <w:pPr>
              <w:spacing w:after="0"/>
              <w:rPr>
                <w:sz w:val="18"/>
                <w:szCs w:val="18"/>
                <w:color w:val="auto"/>
              </w:rPr>
            </w:pPr>
          </w:p>
        </w:tc>
        <w:tc>
          <w:tcPr>
            <w:tcW w:w="14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38.3 %</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16.5 %</w:t>
            </w: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21.8 %</w:t>
            </w: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00" w:type="dxa"/>
            <w:vAlign w:val="bottom"/>
          </w:tcPr>
          <w:p>
            <w:pPr>
              <w:ind w:left="120"/>
              <w:spacing w:after="0" w:line="196" w:lineRule="exact"/>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28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xml:space="preserve">49.5 </w:t>
            </w:r>
            <w:r>
              <w:rPr>
                <w:rFonts w:ascii="Arial" w:cs="Arial" w:eastAsia="Arial" w:hAnsi="Arial"/>
                <w:sz w:val="18"/>
                <w:szCs w:val="18"/>
                <w:color w:val="auto"/>
                <w:highlight w:val="white"/>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color w:val="auto"/>
                <w:highlight w:val="white"/>
              </w:rPr>
              <w:t>%</w:t>
            </w:r>
          </w:p>
        </w:tc>
        <w:tc>
          <w:tcPr>
            <w:tcW w:w="240" w:type="dxa"/>
            <w:vAlign w:val="bottom"/>
          </w:tcPr>
          <w:p>
            <w:pPr>
              <w:spacing w:after="0"/>
              <w:rPr>
                <w:sz w:val="17"/>
                <w:szCs w:val="17"/>
                <w:color w:val="auto"/>
              </w:rPr>
            </w:pPr>
          </w:p>
        </w:tc>
        <w:tc>
          <w:tcPr>
            <w:tcW w:w="12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color w:val="auto"/>
                <w:highlight w:val="white"/>
              </w:rPr>
              <w:t>%</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00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Property, plant and equipment expenditures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32,531</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26,101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6,430</w:t>
            </w:r>
          </w:p>
        </w:tc>
        <w:tc>
          <w:tcPr>
            <w:tcW w:w="2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-3312795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-3039110</wp:posOffset>
            </wp:positionV>
            <wp:extent cx="7132320" cy="307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3079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-2456815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-2182495</wp:posOffset>
            </wp:positionV>
            <wp:extent cx="7132320" cy="419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-932815</wp:posOffset>
            </wp:positionV>
            <wp:extent cx="7683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-932815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-932815</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-350520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-350520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-350520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-24765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5" w:lineRule="exact"/>
        <w:rPr>
          <w:rFonts w:ascii="Arial" w:cs="Arial" w:eastAsia="Arial" w:hAnsi="Arial"/>
          <w:sz w:val="16"/>
          <w:szCs w:val="16"/>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4" w:lineRule="exact"/>
        <w:rPr>
          <w:rFonts w:ascii="Arial" w:cs="Arial" w:eastAsia="Arial" w:hAnsi="Arial"/>
          <w:sz w:val="16"/>
          <w:szCs w:val="16"/>
          <w:color w:val="auto"/>
        </w:rPr>
      </w:pPr>
    </w:p>
    <w:p>
      <w:pPr>
        <w:ind w:left="760" w:hanging="378"/>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Nine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color w:val="auto"/>
                <w:w w:val="84"/>
              </w:rPr>
              <w:t>Percentage</w:t>
            </w:r>
          </w:p>
        </w:tc>
      </w:tr>
      <w:tr>
        <w:trPr>
          <w:trHeight w:val="237"/>
        </w:trPr>
        <w:tc>
          <w:tcPr>
            <w:tcW w:w="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920" w:type="dxa"/>
            <w:vAlign w:val="bottom"/>
            <w:gridSpan w:val="2"/>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w w:val="98"/>
              </w:rPr>
              <w:t>Change</w:t>
            </w:r>
          </w:p>
        </w:tc>
        <w:tc>
          <w:tcPr>
            <w:tcW w:w="40" w:type="dxa"/>
            <w:vAlign w:val="bottom"/>
          </w:tcPr>
          <w:p>
            <w:pPr>
              <w:spacing w:after="0"/>
              <w:rPr>
                <w:sz w:val="20"/>
                <w:szCs w:val="20"/>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color w:val="auto"/>
                <w:w w:val="85"/>
              </w:rPr>
              <w:t>Change</w:t>
            </w:r>
          </w:p>
        </w:tc>
      </w:tr>
      <w:tr>
        <w:trPr>
          <w:trHeight w:val="203"/>
        </w:trPr>
        <w:tc>
          <w:tcPr>
            <w:tcW w:w="20" w:type="dxa"/>
            <w:vAlign w:val="bottom"/>
          </w:tcPr>
          <w:p>
            <w:pPr>
              <w:spacing w:after="0"/>
              <w:rPr>
                <w:sz w:val="17"/>
                <w:szCs w:val="17"/>
                <w:color w:val="auto"/>
              </w:rPr>
            </w:pPr>
          </w:p>
        </w:tc>
        <w:tc>
          <w:tcPr>
            <w:tcW w:w="402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AN &amp; Nitric Acid</w:t>
            </w:r>
          </w:p>
        </w:tc>
        <w:tc>
          <w:tcPr>
            <w:tcW w:w="1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431,977</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508,523</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(76,546</w:t>
            </w:r>
          </w:p>
        </w:tc>
        <w:tc>
          <w:tcPr>
            <w:tcW w:w="2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(15</w:t>
            </w:r>
          </w:p>
        </w:tc>
        <w:tc>
          <w:tcPr>
            <w:tcW w:w="200" w:type="dxa"/>
            <w:vAlign w:val="bottom"/>
            <w:gridSpan w:val="2"/>
          </w:tcPr>
          <w:p>
            <w:pPr>
              <w:spacing w:after="0" w:line="203" w:lineRule="exact"/>
              <w:rPr>
                <w:sz w:val="20"/>
                <w:szCs w:val="20"/>
                <w:color w:val="auto"/>
              </w:rPr>
            </w:pPr>
            <w:r>
              <w:rPr>
                <w:rFonts w:ascii="Arial" w:cs="Arial" w:eastAsia="Arial" w:hAnsi="Arial"/>
                <w:sz w:val="18"/>
                <w:szCs w:val="18"/>
                <w:color w:val="auto"/>
                <w:w w:val="81"/>
              </w:rPr>
              <w:t>)%</w:t>
            </w:r>
          </w:p>
        </w:tc>
      </w:tr>
      <w:tr>
        <w:trPr>
          <w:trHeight w:val="216"/>
        </w:trPr>
        <w:tc>
          <w:tcPr>
            <w:tcW w:w="20" w:type="dxa"/>
            <w:vAlign w:val="bottom"/>
          </w:tcPr>
          <w:p>
            <w:pPr>
              <w:spacing w:after="0"/>
              <w:rPr>
                <w:sz w:val="18"/>
                <w:szCs w:val="18"/>
                <w:color w:val="auto"/>
              </w:rPr>
            </w:pPr>
          </w:p>
        </w:tc>
        <w:tc>
          <w:tcPr>
            <w:tcW w:w="4020" w:type="dxa"/>
            <w:vAlign w:val="bottom"/>
            <w:gridSpan w:val="3"/>
          </w:tcPr>
          <w:p>
            <w:pPr>
              <w:ind w:left="180"/>
              <w:spacing w:after="0"/>
              <w:rPr>
                <w:sz w:val="20"/>
                <w:szCs w:val="20"/>
                <w:color w:val="auto"/>
              </w:rPr>
            </w:pPr>
            <w:r>
              <w:rPr>
                <w:rFonts w:ascii="Arial" w:cs="Arial" w:eastAsia="Arial" w:hAnsi="Arial"/>
                <w:sz w:val="18"/>
                <w:szCs w:val="18"/>
                <w:color w:val="auto"/>
              </w:rPr>
              <w:t>Urea ammonium nitrate (UAN)</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346,066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313,794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8"/>
                <w:szCs w:val="18"/>
                <w:color w:val="auto"/>
              </w:rPr>
              <w:t>10 %</w:t>
            </w:r>
          </w:p>
        </w:tc>
      </w:tr>
      <w:tr>
        <w:trPr>
          <w:trHeight w:val="216"/>
        </w:trPr>
        <w:tc>
          <w:tcPr>
            <w:tcW w:w="20" w:type="dxa"/>
            <w:vAlign w:val="bottom"/>
          </w:tcPr>
          <w:p>
            <w:pPr>
              <w:spacing w:after="0"/>
              <w:rPr>
                <w:sz w:val="18"/>
                <w:szCs w:val="18"/>
                <w:color w:val="auto"/>
              </w:rPr>
            </w:pPr>
          </w:p>
        </w:tc>
        <w:tc>
          <w:tcPr>
            <w:tcW w:w="4020" w:type="dxa"/>
            <w:vAlign w:val="bottom"/>
            <w:gridSpan w:val="3"/>
          </w:tcPr>
          <w:p>
            <w:pPr>
              <w:ind w:left="180"/>
              <w:spacing w:after="0"/>
              <w:rPr>
                <w:sz w:val="20"/>
                <w:szCs w:val="20"/>
                <w:color w:val="auto"/>
              </w:rPr>
            </w:pPr>
            <w:r>
              <w:rPr>
                <w:rFonts w:ascii="Arial" w:cs="Arial" w:eastAsia="Arial" w:hAnsi="Arial"/>
                <w:sz w:val="18"/>
                <w:szCs w:val="18"/>
                <w:color w:val="auto"/>
              </w:rPr>
              <w:t>Ammonia</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192,076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229,788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(37,712 )</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970,119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1,052,105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(81,986 )</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4"/>
          </w:tcPr>
          <w:p>
            <w:pPr>
              <w:jc w:val="center"/>
              <w:ind w:right="110"/>
              <w:spacing w:after="0"/>
              <w:rPr>
                <w:sz w:val="20"/>
                <w:szCs w:val="20"/>
                <w:color w:val="auto"/>
              </w:rPr>
            </w:pPr>
            <w:r>
              <w:rPr>
                <w:rFonts w:ascii="Arial" w:cs="Arial" w:eastAsia="Arial" w:hAnsi="Arial"/>
                <w:sz w:val="18"/>
                <w:szCs w:val="18"/>
                <w:color w:val="auto"/>
                <w:w w:val="91"/>
              </w:rPr>
              <w:t>Nine Months Ended</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84"/>
              </w:rPr>
              <w:t>Percentage</w:t>
            </w:r>
          </w:p>
        </w:tc>
      </w:tr>
      <w:tr>
        <w:trPr>
          <w:trHeight w:val="237"/>
        </w:trPr>
        <w:tc>
          <w:tcPr>
            <w:tcW w:w="20" w:type="dxa"/>
            <w:vAlign w:val="bottom"/>
          </w:tcPr>
          <w:p>
            <w:pPr>
              <w:spacing w:after="0"/>
              <w:rPr>
                <w:sz w:val="20"/>
                <w:szCs w:val="20"/>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1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Change</w:t>
            </w:r>
          </w:p>
        </w:tc>
        <w:tc>
          <w:tcPr>
            <w:tcW w:w="40" w:type="dxa"/>
            <w:vAlign w:val="bottom"/>
          </w:tcPr>
          <w:p>
            <w:pPr>
              <w:spacing w:after="0"/>
              <w:rPr>
                <w:sz w:val="20"/>
                <w:szCs w:val="20"/>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85"/>
              </w:rPr>
              <w:t>Change</w:t>
            </w:r>
          </w:p>
        </w:tc>
      </w:tr>
      <w:tr>
        <w:trPr>
          <w:trHeight w:val="203"/>
        </w:trPr>
        <w:tc>
          <w:tcPr>
            <w:tcW w:w="20" w:type="dxa"/>
            <w:vAlign w:val="bottom"/>
          </w:tcPr>
          <w:p>
            <w:pPr>
              <w:spacing w:after="0"/>
              <w:rPr>
                <w:sz w:val="17"/>
                <w:szCs w:val="17"/>
                <w:color w:val="auto"/>
              </w:rPr>
            </w:pPr>
          </w:p>
        </w:tc>
        <w:tc>
          <w:tcPr>
            <w:tcW w:w="402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AN &amp; Nitric Acid</w:t>
            </w:r>
          </w:p>
        </w:tc>
        <w:tc>
          <w:tcPr>
            <w:tcW w:w="176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542</w:t>
            </w:r>
          </w:p>
        </w:tc>
        <w:tc>
          <w:tcPr>
            <w:tcW w:w="28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303</w:t>
            </w: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239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w:t>
            </w:r>
          </w:p>
        </w:tc>
        <w:tc>
          <w:tcPr>
            <w:tcW w:w="200" w:type="dxa"/>
            <w:vAlign w:val="bottom"/>
            <w:gridSpan w:val="2"/>
          </w:tcPr>
          <w:p>
            <w:pPr>
              <w:spacing w:after="0" w:line="203"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20" w:type="dxa"/>
            <w:vAlign w:val="bottom"/>
            <w:gridSpan w:val="3"/>
          </w:tcPr>
          <w:p>
            <w:pPr>
              <w:ind w:left="180"/>
              <w:spacing w:after="0"/>
              <w:rPr>
                <w:sz w:val="20"/>
                <w:szCs w:val="20"/>
                <w:color w:val="auto"/>
              </w:rPr>
            </w:pPr>
            <w:r>
              <w:rPr>
                <w:rFonts w:ascii="Arial" w:cs="Arial" w:eastAsia="Arial" w:hAnsi="Arial"/>
                <w:sz w:val="18"/>
                <w:szCs w:val="18"/>
                <w:color w:val="auto"/>
              </w:rPr>
              <w:t>Urea ammonium nitrate (UAN)</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8"/>
                <w:szCs w:val="18"/>
                <w:color w:val="auto"/>
              </w:rPr>
              <w:t>127 %</w:t>
            </w:r>
          </w:p>
        </w:tc>
      </w:tr>
      <w:tr>
        <w:trPr>
          <w:trHeight w:val="216"/>
        </w:trPr>
        <w:tc>
          <w:tcPr>
            <w:tcW w:w="20" w:type="dxa"/>
            <w:vAlign w:val="bottom"/>
          </w:tcPr>
          <w:p>
            <w:pPr>
              <w:spacing w:after="0"/>
              <w:rPr>
                <w:sz w:val="18"/>
                <w:szCs w:val="18"/>
                <w:color w:val="auto"/>
              </w:rPr>
            </w:pPr>
          </w:p>
        </w:tc>
        <w:tc>
          <w:tcPr>
            <w:tcW w:w="4020" w:type="dxa"/>
            <w:vAlign w:val="bottom"/>
            <w:gridSpan w:val="3"/>
          </w:tcPr>
          <w:p>
            <w:pPr>
              <w:ind w:left="180"/>
              <w:spacing w:after="0"/>
              <w:rPr>
                <w:sz w:val="20"/>
                <w:szCs w:val="20"/>
                <w:color w:val="auto"/>
              </w:rPr>
            </w:pPr>
            <w:r>
              <w:rPr>
                <w:rFonts w:ascii="Arial" w:cs="Arial" w:eastAsia="Arial" w:hAnsi="Arial"/>
                <w:sz w:val="18"/>
                <w:szCs w:val="18"/>
                <w:color w:val="auto"/>
              </w:rPr>
              <w:t>Ammonia</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1,046</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1500" w:type="dxa"/>
            <w:vAlign w:val="bottom"/>
            <w:gridSpan w:val="4"/>
          </w:tcPr>
          <w:p>
            <w:pPr>
              <w:jc w:val="right"/>
              <w:ind w:right="40"/>
              <w:spacing w:after="0"/>
              <w:rPr>
                <w:sz w:val="20"/>
                <w:szCs w:val="20"/>
                <w:color w:val="auto"/>
              </w:rPr>
            </w:pPr>
            <w:r>
              <w:rPr>
                <w:rFonts w:ascii="Arial" w:cs="Arial" w:eastAsia="Arial" w:hAnsi="Arial"/>
                <w:sz w:val="18"/>
                <w:szCs w:val="18"/>
                <w:color w:val="auto"/>
              </w:rPr>
              <w:t>136 %</w:t>
            </w:r>
          </w:p>
        </w:tc>
      </w:tr>
      <w:tr>
        <w:trPr>
          <w:trHeight w:val="63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-2019935</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307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3079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6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4"/>
          </w:tcPr>
          <w:p>
            <w:pPr>
              <w:jc w:val="right"/>
              <w:ind w:right="730"/>
              <w:spacing w:after="0"/>
              <w:rPr>
                <w:sz w:val="20"/>
                <w:szCs w:val="20"/>
                <w:color w:val="auto"/>
              </w:rPr>
            </w:pPr>
            <w:r>
              <w:rPr>
                <w:rFonts w:ascii="Arial" w:cs="Arial" w:eastAsia="Arial" w:hAnsi="Arial"/>
                <w:sz w:val="18"/>
                <w:szCs w:val="18"/>
                <w:color w:val="auto"/>
              </w:rPr>
              <w:t>Nine Months Ended</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470"/>
              <w:spacing w:after="0"/>
              <w:rPr>
                <w:sz w:val="20"/>
                <w:szCs w:val="20"/>
                <w:color w:val="auto"/>
              </w:rPr>
            </w:pPr>
            <w:r>
              <w:rPr>
                <w:rFonts w:ascii="Arial" w:cs="Arial" w:eastAsia="Arial" w:hAnsi="Arial"/>
                <w:sz w:val="18"/>
                <w:szCs w:val="18"/>
                <w:color w:val="auto"/>
              </w:rPr>
              <w:t>Percentage</w:t>
            </w:r>
          </w:p>
        </w:tc>
      </w:tr>
      <w:tr>
        <w:trPr>
          <w:trHeight w:val="237"/>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Average Benchmark Prices (price per ton)</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w w:val="99"/>
              </w:rPr>
              <w:t>2021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1740" w:type="dxa"/>
            <w:vAlign w:val="bottom"/>
            <w:gridSpan w:val="2"/>
          </w:tcPr>
          <w:p>
            <w:pPr>
              <w:jc w:val="right"/>
              <w:ind w:right="590"/>
              <w:spacing w:after="0"/>
              <w:rPr>
                <w:sz w:val="20"/>
                <w:szCs w:val="20"/>
                <w:color w:val="auto"/>
              </w:rPr>
            </w:pPr>
            <w:r>
              <w:rPr>
                <w:rFonts w:ascii="Arial" w:cs="Arial" w:eastAsia="Arial" w:hAnsi="Arial"/>
                <w:sz w:val="18"/>
                <w:szCs w:val="18"/>
                <w:color w:val="auto"/>
              </w:rPr>
              <w:t>Change</w:t>
            </w:r>
          </w:p>
        </w:tc>
      </w:tr>
      <w:tr>
        <w:trPr>
          <w:trHeight w:val="203"/>
        </w:trPr>
        <w:tc>
          <w:tcPr>
            <w:tcW w:w="20" w:type="dxa"/>
            <w:vAlign w:val="bottom"/>
          </w:tcPr>
          <w:p>
            <w:pPr>
              <w:spacing w:after="0"/>
              <w:rPr>
                <w:sz w:val="17"/>
                <w:szCs w:val="17"/>
                <w:color w:val="auto"/>
              </w:rPr>
            </w:pPr>
          </w:p>
        </w:tc>
        <w:tc>
          <w:tcPr>
            <w:tcW w:w="2420" w:type="dxa"/>
            <w:vAlign w:val="bottom"/>
            <w:tcBorders>
              <w:top w:val="single" w:sz="8" w:color="auto"/>
            </w:tcBorders>
          </w:tcPr>
          <w:p>
            <w:pPr>
              <w:ind w:left="180"/>
              <w:spacing w:after="0" w:line="203" w:lineRule="exact"/>
              <w:rPr>
                <w:sz w:val="20"/>
                <w:szCs w:val="20"/>
                <w:color w:val="auto"/>
              </w:rPr>
            </w:pPr>
            <w:r>
              <w:rPr>
                <w:rFonts w:ascii="Arial" w:cs="Arial" w:eastAsia="Arial" w:hAnsi="Arial"/>
                <w:sz w:val="18"/>
                <w:szCs w:val="18"/>
                <w:color w:val="auto"/>
                <w:w w:val="95"/>
              </w:rPr>
              <w:t>Tampa Ammonia Benchmark</w:t>
            </w:r>
          </w:p>
        </w:tc>
        <w:tc>
          <w:tcPr>
            <w:tcW w:w="208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1,185</w:t>
            </w:r>
          </w:p>
        </w:tc>
        <w:tc>
          <w:tcPr>
            <w:tcW w:w="300" w:type="dxa"/>
            <w:vAlign w:val="bottom"/>
          </w:tcPr>
          <w:p>
            <w:pPr>
              <w:spacing w:after="0"/>
              <w:rPr>
                <w:sz w:val="17"/>
                <w:szCs w:val="17"/>
                <w:color w:val="auto"/>
              </w:rPr>
            </w:pPr>
          </w:p>
        </w:tc>
        <w:tc>
          <w:tcPr>
            <w:tcW w:w="460" w:type="dxa"/>
            <w:vAlign w:val="bottom"/>
            <w:tcBorders>
              <w:top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505</w:t>
            </w:r>
          </w:p>
        </w:tc>
        <w:tc>
          <w:tcPr>
            <w:tcW w:w="26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680</w:t>
            </w:r>
          </w:p>
        </w:tc>
        <w:tc>
          <w:tcPr>
            <w:tcW w:w="200" w:type="dxa"/>
            <w:vAlign w:val="bottom"/>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135</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30"/>
        </w:trPr>
        <w:tc>
          <w:tcPr>
            <w:tcW w:w="2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UAN Southern Plains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563</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94"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Agricultural product sales increased driven primarily by higher sales prices for all of our agricultural products partially offset by lower sales volumes of HDAN and ammonia resulting from the impact of wet weather which delayed the application of fertilizer products. Also lowering sales volume in 2022 was the activity from two Turnarounds at our El Dorado and Pryor Facilities compared to one Turnaround at our Cherokee Facility during 2021. Historically, we have built inventory of HDAN used for fertilizer in the second half of the year, to sell in season, during the first nine months of the following year. Due to a shift in product mix to nitric acid volumes beginning in the second quarter of 2021, which are more ratable, we did not have significant inventory build of AN over the latter half of 2021 to sell during the fertilizer season in 2022. As discussed above under “Recent Business Developments,” increased demand, higher corn prices and tighter supplies of nitrogen products contributed to the improved pricing.</w:t>
      </w:r>
    </w:p>
    <w:p>
      <w:pPr>
        <w:spacing w:after="0" w:line="91"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Demand for our industrial and mining products remains stable despite growing global recessionary forces. Our contractual agreements with industrial customers that specify minimum volumes and our product mix flexibility helps us mitigate the impact of a reduction in demand from certain end markets by shifting production to products with stronger demand. Our AN product is primarily sold for use in aggregates and precious metals mining operations, overall, we have been experiencing favorable trends in our mining business as rising global consumption of coal for energy has strengthened demand and pricing for 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07"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As noted in the table above, we recognized a gross profit of $255.8 million for the first nine months of 2022 compared to $60.5 million for the same period in 2021, or a $195.3 million improvement. Overall, our gross profit percentage was 38.3% compared to 16.5% for the same period in 2021. Our adjusted gross profit percentage increased to 49.5% for the first nine months of 2022 from 33.0% for the first nine months of 2021.</w:t>
      </w:r>
    </w:p>
    <w:p>
      <w:pPr>
        <w:spacing w:after="0" w:line="51"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The increase in gross profit was primarily driven by higher sales prices for our products and increased UAN sales volumes partially offset by lower volumes of ammonia and acids products. The improvement in gross profit was partially offset by overall higher average natural gas costs, which averaged $6.45 per MMBtu for the first nine months of 2022 as compared to $3.20 per MMBtu for the same period of 2021. Also reducing gross profit was the Turnaround activity at our El Dorado and Pryor Facilities during the third quarter of 2022 compared to 2021 where we had a Turnaround at our Cherokee Facility.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07"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Our SG&amp;A expenses were $29.7 million for the first nine months of 2022, a slight increase of $0.8 million compared to the same period in 2021. The net increase was primarily driven by approximately $2.6 million of expenses relating to nonrecurring transaction fees, $1.6 million in insurance and other miscellaneous fees and approximately $0.4 million in other professional fees partially offset by approximately $3.8 million of expense due to change of control and anti-dilutive provisions included in certain agreements as discussed above under "Items Affecting Comparability of Results of the Third Quarter".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Interest expense for the first nine months of 2022 was $34.5 million compared to $37.6 million for the same period in 2021. The decrease relates primarily to lower interest expense incurred from the new senior secured notes held during the first quarter of 2022 which carry an interest rate of 6.25% compared to the same period in 2021 which the old senior secured notes interest rate was 9.625%.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Extinguishment of Debt – PPP Loan Forgiven</w:t>
      </w:r>
    </w:p>
    <w:p>
      <w:pPr>
        <w:spacing w:after="0" w:line="107"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In June 2021, our PPP loan was fully forgiven by the SBA and lender. As a result, we recognized a gain on the extinguishment of debt of $10 million for the second quarter of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07"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Non-operating other income for the first nine months of 2022 was $5.6 million primarily relating to a recognized settlement of our company owned life insurance from the payment by our insurer of a death benefit relating to the death of J. Golsen as discussed in Note 9 and interest income from to our short-term investments. For the same period in 2021, we had non-operating operating expense of $2.5 million which primarily related to the change in fair value of the embedded derivative included in the Series E Redeemable Preferred prior to its extinguishment through the completion of the Exchange Transaction during September 2021.</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3"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provision for income taxes for the first nine months of 2022 was $32.3 million compared to a benefit of $0.2 million for the same period in 2021. For the first nine months of 2022, the effective tax rate is less than the statutory rate primarily due to the impact of valuation allowances. For the first nine months of 2021, the effective tax rate is less than the statutory rate primarily due to the impact of the PPP loan forgiveness, state tax law changes, and valuation allowances. Also, see discussion in Note 7.</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nine months ended September 30:</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20"/>
                <w:szCs w:val="20"/>
                <w:color w:val="auto"/>
              </w:rPr>
            </w:pPr>
          </w:p>
        </w:tc>
      </w:tr>
      <w:tr>
        <w:trPr>
          <w:trHeight w:val="220"/>
        </w:trPr>
        <w:tc>
          <w:tcPr>
            <w:tcW w:w="5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6"/>
                <w:szCs w:val="16"/>
                <w:color w:val="auto"/>
                <w:w w:val="96"/>
              </w:rPr>
              <w:t>(In Thousands)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259,182</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65,471</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(392,948 )</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(25,719 )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(367,229 )</w:t>
            </w:r>
          </w:p>
        </w:tc>
      </w:tr>
      <w:tr>
        <w:trPr>
          <w:trHeight w:val="196"/>
        </w:trPr>
        <w:tc>
          <w:tcPr>
            <w:tcW w:w="59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(23,161 )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94,418</w:t>
            </w:r>
          </w:p>
        </w:tc>
        <w:tc>
          <w:tcPr>
            <w:tcW w:w="100" w:type="dxa"/>
            <w:vAlign w:val="bottom"/>
            <w:shd w:val="clear" w:color="auto" w:fill="CFF0FC"/>
          </w:tcPr>
          <w:p>
            <w:pPr>
              <w:spacing w:after="0"/>
              <w:rPr>
                <w:sz w:val="20"/>
                <w:szCs w:val="20"/>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-633095</wp:posOffset>
            </wp:positionV>
            <wp:extent cx="187515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875155" cy="17145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-324485</wp:posOffset>
            </wp:positionV>
            <wp:extent cx="1875155"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875155" cy="16256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-24765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-7620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provided by operating activities was $259.2 million for the first nine months of 2022 compared to $65.5 million for the same period of 2021, a change of $193.7 million.</w:t>
      </w:r>
    </w:p>
    <w:p>
      <w:pPr>
        <w:spacing w:after="0" w:line="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first nine months of 2022, the net cash provided is the result of a net income of $164.5 million plus adjustments of $50.0 million for depreciation and amortization of PP&amp;E, $31.2 million for deferred taxes, other adjustments of $1.6 million and cash provided of $11.9 million primarily from our working capital.</w:t>
      </w:r>
    </w:p>
    <w:p>
      <w:pPr>
        <w:spacing w:after="0" w:line="8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first nine months of 2021, the net cash provided is the result of net income of $1.5 million plus adjustments of $51.4 million for depreciation and amortization of PP&amp;E, other adjustments of $8.8 million less $10.0 million for a gain on extinguishment of debt, and net cash provided of $13.8 million primarily from our working capital.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by investing activities was $392.9 million for the first nine months 2022 compared to $25.7 million for the same period of 2021, a change of $367.2 million.</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first nine months of 2022, the net cash used primarily relates to purchases of short-term investments of $423.1 million and expenditures for PP&amp;E of $32.5 million partially offset by short-term investment maturities of $59.7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2021, the net cash used relates primarily to expenditures for PP&amp;E.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provided by financing activities was $71.3 million for the first nine months of 2022 compared to net cash used of $23.2 million for the same period of 2021, a change of $94.4 million.</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first nine months of 2022, the net cash provided primarily consists of proceeds of $200 million from the New Notes partially offset by payments for the acquisition of treasury shares of $101.9 million, payments on other long-term debt and short-term financing of $22.2 million, payments of $4.5 million for equity and debt-related cost and $0.1 million for other financing activities.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nine months of 2021, the net cash used primarily consists of payments on other long-term debt and short-term financing of $20.2 million, payments of $2.6 million for equity and debt-related cost and $0.3 million for other financing activities.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short-term investments, long-term debt and stockholders’ equity:</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99"/>
              <w:spacing w:after="0"/>
              <w:rPr>
                <w:sz w:val="20"/>
                <w:szCs w:val="20"/>
                <w:color w:val="auto"/>
              </w:rPr>
            </w:pPr>
            <w:r>
              <w:rPr>
                <w:rFonts w:ascii="Arial" w:cs="Arial" w:eastAsia="Arial" w:hAnsi="Arial"/>
                <w:sz w:val="18"/>
                <w:szCs w:val="18"/>
                <w:color w:val="auto"/>
                <w:w w:val="91"/>
              </w:rPr>
              <w:t>September 30,</w:t>
            </w: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color w:val="auto"/>
              </w:rPr>
              <w:t>(In</w:t>
            </w:r>
          </w:p>
        </w:tc>
        <w:tc>
          <w:tcPr>
            <w:tcW w:w="1720" w:type="dxa"/>
            <w:vAlign w:val="bottom"/>
            <w:gridSpan w:val="3"/>
          </w:tcPr>
          <w:p>
            <w:pPr>
              <w:jc w:val="right"/>
              <w:ind w:right="1090"/>
              <w:spacing w:after="0"/>
              <w:rPr>
                <w:sz w:val="20"/>
                <w:szCs w:val="20"/>
                <w:color w:val="auto"/>
              </w:rPr>
            </w:pPr>
            <w:r>
              <w:rPr>
                <w:rFonts w:ascii="Arial" w:cs="Arial" w:eastAsia="Arial" w:hAnsi="Arial"/>
                <w:sz w:val="16"/>
                <w:szCs w:val="16"/>
                <w:color w:val="auto"/>
                <w:w w:val="88"/>
              </w:rPr>
              <w:t>Millions)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Working Capital Revolver Loan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 xml:space="preserve">Senior Secured Notes due 2028 </w:t>
            </w: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Secured Financing due 2023</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Secured Financing due 2025</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Secured Loan Agreement due 2025</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Unamortized discount and debt issuance costs</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(12.9 )</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9"/>
        </w:trPr>
        <w:tc>
          <w:tcPr>
            <w:tcW w:w="68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714.1</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526.1</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460.5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-1899920</wp:posOffset>
            </wp:positionV>
            <wp:extent cx="1147445"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147445" cy="16256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-1600835</wp:posOffset>
            </wp:positionV>
            <wp:extent cx="68580" cy="307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-1600835</wp:posOffset>
            </wp:positionV>
            <wp:extent cx="59690" cy="3079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59690" cy="30797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-333375</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-333375</wp:posOffset>
            </wp:positionV>
            <wp:extent cx="5969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See discussion contained in Note 4.</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September 30, 2022, our Working Capital Revolver Loan was undrawn and had approximately $63.4 million of availability.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full year of 2022, we expect capital expenditures to be approximately $65 million. This capital spending is planned for reliability and maintenance capital projects.</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242424"/>
        </w:rPr>
        <w:t>From time to time, when the Company exceeds the funding threshold in our natural gas purchase commitments the Company is required to fund cash collateral to our counterparty.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short-term investments, the availability on our revolving credit facility and our cash flow from operations will be sufficient to fund our anticipated liquidity needs for the next twelve months.</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May 2022, our Board authorized a $50 million stock repurchase program. In August 2022, our Board authorized an increase in the size of the stock repurchase program to $100 million. During the third quarter of 2022, we exhausted the repurchase authorization under the stock repurchase program. In October 2022, our Board approved another expansion of the stock repurchase program, authorizing us to repurchase an additional $75 million of our outstanding common stock under the stock repurchase program.</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September 30, 2022, we have approximately $385 million of cash and short-term investments. From time to time, we may seek to deploy capital through additional share repurchases or the retirement or 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4, the Working Capital Revolver Loan requires, among other things, that we meet certain financial covenants. The Working Capital Revolver Loan does not include financial covenant requirements unless a defined covenant trigger event has occurred and is continuing. As of September 30, 2022, no trigger event had occurred.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Senior Secured Notes due 2028 – </w:t>
      </w:r>
      <w:r>
        <w:rPr>
          <w:rFonts w:ascii="Arial" w:cs="Arial" w:eastAsia="Arial" w:hAnsi="Arial"/>
          <w:sz w:val="17"/>
          <w:szCs w:val="17"/>
          <w:color w:val="auto"/>
        </w:rPr>
        <w:t>LSB has $700 million aggregate principal amount of the 6.25% Senior Secured Notes currently outstanding,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$200 million associated with the New Notes as discussed in footnote (B) of Note 4. Interest is to be paid semiannually in arrears on May 15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and October 15</w:t>
      </w:r>
      <w:r>
        <w:rPr>
          <w:rFonts w:ascii="Arial" w:cs="Arial" w:eastAsia="Arial" w:hAnsi="Arial"/>
          <w:sz w:val="19"/>
          <w:szCs w:val="19"/>
          <w:color w:val="auto"/>
          <w:vertAlign w:val="superscript"/>
        </w:rPr>
        <w:t>th</w:t>
      </w:r>
      <w:r>
        <w:rPr>
          <w:rFonts w:ascii="Arial" w:cs="Arial" w:eastAsia="Arial" w:hAnsi="Arial"/>
          <w:sz w:val="17"/>
          <w:szCs w:val="17"/>
          <w:color w:val="auto"/>
        </w:rPr>
        <w:t>, maturing October 15, 2028. The proceeds from the issuance of the New Notes were used to pay related transaction expenses, with the remainder intended to be used to pursue strategic acquisition opportunities, to fund organic growth and for general corporate purposes.</w:t>
      </w:r>
    </w:p>
    <w:p>
      <w:pPr>
        <w:spacing w:after="0" w:line="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Eldridge. Principal and interest are payable in 48 equal</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installments with a final balloon payment of approximately $3 million due in June 2023.</w:t>
      </w:r>
    </w:p>
    <w:p>
      <w:pPr>
        <w:spacing w:after="0" w:line="4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Secured Financing due 2025 – </w:t>
      </w:r>
      <w:r>
        <w:rPr>
          <w:rFonts w:ascii="Arial" w:cs="Arial" w:eastAsia="Arial" w:hAnsi="Arial"/>
          <w:sz w:val="18"/>
          <w:szCs w:val="18"/>
          <w:color w:val="auto"/>
        </w:rPr>
        <w:t>EDA is party to a $30 million secured financing arrangement with an affiliate of Eldridge. Principal and interest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60 equal monthly installments with a final balloon payment of approximately $5 million due in August 2025.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9" w:name="page30"/>
    <w:bookmarkEnd w:id="29"/>
    <w:p>
      <w:pPr>
        <w:jc w:val="both"/>
        <w:spacing w:after="0" w:line="258"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September 30, 2022, our Working Capital Revolver Loan was undrawn and had approximately $63.4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based on our eligible collateral, less outstanding letters of credit as of that date. Also see discussion above under “Compliance with Long-Term Debt Covenants.”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 First Nine Months of 2022</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first nine months of 2022, capital expenditures relating to PP&amp;E were $32.5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our expenses were $2.9 million during the first nine months of 2022 in connection with environmental projects. For the remainder of 2022, we expect to incur expenses ranging from $0.8 million to $1.1 million in connection with additional environmental projects. However, it is possible that the actual costs could be significantly different than our estimates.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fertilizer products sold to the fertilizer industry are seasonal, while sales into the industrial and mining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fertilizer markets depend upon weather conditions and other circumstances beyond our control.</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2022, we have agreed to indemnify the sureties for payments, up to $9.7 million, made by them in respect of such bonds. These insurance bonds are expected to expire or be renewed later in 2022-2023.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See “Critical Accounting Policies and Estimates,” Item 7 of our 2021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w:t>
      </w: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Income taxes are accounted for under the asset and liability method. Deferred tax assets and liabilities are measured using enacted tax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It is also reasonably possible that the estimates and assumptions utilized as of September 30, 2022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September 30, 2022, we had no embedded losses associated with sales commitments with firm sales prices.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September 30, 2022, we had no outstanding natural gas contracts which are accounted for on a mark-to-market basis.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September 30, 2022, we had no outstanding borrowings on this credit facility and no other variable rate borrowings. We currently do not hedge our interest rate risk associated with our variable interest loan.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2022. Based on this evaluation, the Company's Chief Executive Officer and Chief Financial Officer have concluded that the Company's disclosure controls and procedures were effective as of September 30, 2022, at the reasonable assurance level.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w:t>
      </w:r>
    </w:p>
    <w:p>
      <w:pPr>
        <w:spacing w:after="0" w:line="61"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Eldridge and its affiliates holding a substantial percentage of our common stock;</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34"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recent nitrogen expansion projects;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47"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35" w:lineRule="exact"/>
        <w:rPr>
          <w:rFonts w:ascii="Arial" w:cs="Arial" w:eastAsia="Arial" w:hAnsi="Arial"/>
          <w:sz w:val="18"/>
          <w:szCs w:val="18"/>
          <w:color w:val="auto"/>
        </w:rPr>
      </w:pPr>
    </w:p>
    <w:p>
      <w:pPr>
        <w:ind w:left="760" w:hanging="378"/>
        <w:spacing w:after="0" w:line="25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broaden the distribution of our products, including our ability to leverage our nitric acid production capacity at our El Dorado Facility;</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 strategy to capitalize on ammonia opportunities;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68" w:lineRule="exact"/>
        <w:rPr>
          <w:sz w:val="20"/>
          <w:szCs w:val="20"/>
          <w:color w:val="auto"/>
        </w:rPr>
      </w:pPr>
    </w:p>
    <w:p>
      <w:pPr>
        <w:ind w:left="760" w:hanging="378"/>
        <w:spacing w:after="0" w:line="25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ownership percentage of Eldridge and its affiliates resulting in them no longer collectively holding a substantial percentage of common stock;</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associated with the COVID-19 pandemic and governmental and related responses;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2" w:name="page33"/>
    <w:bookmarkEnd w:id="32"/>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widespread inflation, both domestic and foreign;</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supply chain disruptions;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including environmental regulations, or in the interpretation of such;</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23"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34"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adequately evaluate potential acquisitions of strategic assets or companies;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improve our capital structure and overall cost of capital;</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5"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other factors described in “Risk Factors” in our Form 10-K for the year ended December 31, 2021, as amended by the </w:t>
      </w:r>
      <w:hyperlink r:id="rId81">
        <w:r>
          <w:rPr>
            <w:rFonts w:ascii="Arial" w:cs="Arial" w:eastAsia="Arial" w:hAnsi="Arial"/>
            <w:sz w:val="18"/>
            <w:szCs w:val="18"/>
            <w:u w:val="single" w:color="auto"/>
            <w:color w:val="0000FF"/>
          </w:rPr>
          <w:t>Form 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6095365</wp:posOffset>
            </wp:positionH>
            <wp:positionV relativeFrom="paragraph">
              <wp:posOffset>-165100</wp:posOffset>
            </wp:positionV>
            <wp:extent cx="633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33095" cy="8255"/>
                    </a:xfrm>
                    <a:prstGeom prst="rect">
                      <a:avLst/>
                    </a:prstGeom>
                    <a:noFill/>
                  </pic:spPr>
                </pic:pic>
              </a:graphicData>
            </a:graphic>
          </wp:anchor>
        </w:drawing>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Arkansas Department of Environmental Quality.</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AN</w:t>
            </w:r>
          </w:p>
        </w:tc>
        <w:tc>
          <w:tcPr>
            <w:tcW w:w="8380" w:type="dxa"/>
            <w:vAlign w:val="bottom"/>
          </w:tcPr>
          <w:p>
            <w:pPr>
              <w:ind w:left="320"/>
              <w:spacing w:after="0"/>
              <w:rPr>
                <w:sz w:val="20"/>
                <w:szCs w:val="20"/>
                <w:color w:val="auto"/>
              </w:rPr>
            </w:pPr>
            <w:r>
              <w:rPr>
                <w:rFonts w:ascii="Arial" w:cs="Arial" w:eastAsia="Arial" w:hAnsi="Arial"/>
                <w:sz w:val="18"/>
                <w:szCs w:val="18"/>
                <w:color w:val="auto"/>
              </w:rPr>
              <w:t>- Ammonium nitrate.</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ASU</w:t>
            </w:r>
          </w:p>
        </w:tc>
        <w:tc>
          <w:tcPr>
            <w:tcW w:w="8380" w:type="dxa"/>
            <w:vAlign w:val="bottom"/>
          </w:tcPr>
          <w:p>
            <w:pPr>
              <w:ind w:left="320"/>
              <w:spacing w:after="0"/>
              <w:rPr>
                <w:sz w:val="20"/>
                <w:szCs w:val="20"/>
                <w:color w:val="auto"/>
              </w:rPr>
            </w:pPr>
            <w:r>
              <w:rPr>
                <w:rFonts w:ascii="Arial" w:cs="Arial" w:eastAsia="Arial" w:hAnsi="Arial"/>
                <w:sz w:val="18"/>
                <w:szCs w:val="18"/>
                <w:color w:val="auto"/>
              </w:rPr>
              <w:t>- Accounting Standard Update.</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CAO</w:t>
            </w:r>
          </w:p>
        </w:tc>
        <w:tc>
          <w:tcPr>
            <w:tcW w:w="8380" w:type="dxa"/>
            <w:vAlign w:val="bottom"/>
          </w:tcPr>
          <w:p>
            <w:pPr>
              <w:ind w:left="320"/>
              <w:spacing w:after="0"/>
              <w:rPr>
                <w:sz w:val="20"/>
                <w:szCs w:val="20"/>
                <w:color w:val="auto"/>
              </w:rPr>
            </w:pPr>
            <w:r>
              <w:rPr>
                <w:rFonts w:ascii="Arial" w:cs="Arial" w:eastAsia="Arial" w:hAnsi="Arial"/>
                <w:sz w:val="18"/>
                <w:szCs w:val="18"/>
                <w:color w:val="auto"/>
              </w:rPr>
              <w:t>- A consent administrative order.</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Cherokee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Chevron</w:t>
            </w:r>
          </w:p>
        </w:tc>
        <w:tc>
          <w:tcPr>
            <w:tcW w:w="8380" w:type="dxa"/>
            <w:vAlign w:val="bottom"/>
          </w:tcPr>
          <w:p>
            <w:pPr>
              <w:ind w:left="320"/>
              <w:spacing w:after="0"/>
              <w:rPr>
                <w:sz w:val="20"/>
                <w:szCs w:val="20"/>
                <w:color w:val="auto"/>
              </w:rPr>
            </w:pPr>
            <w:r>
              <w:rPr>
                <w:rFonts w:ascii="Arial" w:cs="Arial" w:eastAsia="Arial" w:hAnsi="Arial"/>
                <w:sz w:val="18"/>
                <w:szCs w:val="18"/>
                <w:color w:val="auto"/>
              </w:rPr>
              <w:t>- Chevron Environmental Management Company.</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COVID-19</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novel coronavirus disease of 2019.</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EDA</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Ammonia L.L.C.</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EDC</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Chemical Company.</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El Dorado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Eldridge</w:t>
            </w:r>
          </w:p>
        </w:tc>
        <w:tc>
          <w:tcPr>
            <w:tcW w:w="8380" w:type="dxa"/>
            <w:vAlign w:val="bottom"/>
          </w:tcPr>
          <w:p>
            <w:pPr>
              <w:ind w:left="320"/>
              <w:spacing w:after="0"/>
              <w:rPr>
                <w:sz w:val="20"/>
                <w:szCs w:val="20"/>
                <w:color w:val="auto"/>
              </w:rPr>
            </w:pPr>
            <w:r>
              <w:rPr>
                <w:rFonts w:ascii="Arial" w:cs="Arial" w:eastAsia="Arial" w:hAnsi="Arial"/>
                <w:sz w:val="18"/>
                <w:szCs w:val="18"/>
                <w:color w:val="auto"/>
              </w:rPr>
              <w:t>- Eldridge Industries, L.L.C.</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Environmental and Health Laws</w:t>
            </w:r>
          </w:p>
        </w:tc>
        <w:tc>
          <w:tcPr>
            <w:tcW w:w="8380" w:type="dxa"/>
            <w:vAlign w:val="bottom"/>
          </w:tcPr>
          <w:p>
            <w:pPr>
              <w:ind w:left="32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EUC</w:t>
            </w:r>
          </w:p>
        </w:tc>
        <w:tc>
          <w:tcPr>
            <w:tcW w:w="8380" w:type="dxa"/>
            <w:vAlign w:val="bottom"/>
          </w:tcPr>
          <w:p>
            <w:pPr>
              <w:ind w:left="320"/>
              <w:spacing w:after="0"/>
              <w:rPr>
                <w:sz w:val="20"/>
                <w:szCs w:val="20"/>
                <w:color w:val="auto"/>
              </w:rPr>
            </w:pPr>
            <w:r>
              <w:rPr>
                <w:rFonts w:ascii="Arial" w:cs="Arial" w:eastAsia="Arial" w:hAnsi="Arial"/>
                <w:sz w:val="18"/>
                <w:szCs w:val="18"/>
                <w:color w:val="auto"/>
              </w:rPr>
              <w:t>- Environmental Use Control.</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FASB</w:t>
            </w:r>
          </w:p>
        </w:tc>
        <w:tc>
          <w:tcPr>
            <w:tcW w:w="8380" w:type="dxa"/>
            <w:vAlign w:val="bottom"/>
          </w:tcPr>
          <w:p>
            <w:pPr>
              <w:ind w:left="320"/>
              <w:spacing w:after="0"/>
              <w:rPr>
                <w:sz w:val="20"/>
                <w:szCs w:val="20"/>
                <w:color w:val="auto"/>
              </w:rPr>
            </w:pPr>
            <w:r>
              <w:rPr>
                <w:rFonts w:ascii="Arial" w:cs="Arial" w:eastAsia="Arial" w:hAnsi="Arial"/>
                <w:sz w:val="18"/>
                <w:szCs w:val="18"/>
                <w:color w:val="auto"/>
              </w:rPr>
              <w:t>- Financial Accounting Standards Board.</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Financial Covenant</w:t>
            </w:r>
          </w:p>
        </w:tc>
        <w:tc>
          <w:tcPr>
            <w:tcW w:w="8380" w:type="dxa"/>
            <w:vAlign w:val="bottom"/>
          </w:tcPr>
          <w:p>
            <w:pPr>
              <w:ind w:left="32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Global</w:t>
            </w:r>
          </w:p>
        </w:tc>
        <w:tc>
          <w:tcPr>
            <w:tcW w:w="8380" w:type="dxa"/>
            <w:vAlign w:val="bottom"/>
          </w:tcPr>
          <w:p>
            <w:pPr>
              <w:ind w:left="32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Hallowell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HDAN</w:t>
            </w:r>
          </w:p>
        </w:tc>
        <w:tc>
          <w:tcPr>
            <w:tcW w:w="8380" w:type="dxa"/>
            <w:vAlign w:val="bottom"/>
          </w:tcPr>
          <w:p>
            <w:pPr>
              <w:ind w:left="32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Indenture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agreement governing the 6.25% senior secured notes.</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IRS</w:t>
            </w:r>
          </w:p>
        </w:tc>
        <w:tc>
          <w:tcPr>
            <w:tcW w:w="8380" w:type="dxa"/>
            <w:vAlign w:val="bottom"/>
          </w:tcPr>
          <w:p>
            <w:pPr>
              <w:ind w:left="320"/>
              <w:spacing w:after="0"/>
              <w:rPr>
                <w:sz w:val="20"/>
                <w:szCs w:val="20"/>
                <w:color w:val="auto"/>
              </w:rPr>
            </w:pPr>
            <w:r>
              <w:rPr>
                <w:rFonts w:ascii="Arial" w:cs="Arial" w:eastAsia="Arial" w:hAnsi="Arial"/>
                <w:sz w:val="18"/>
                <w:szCs w:val="18"/>
                <w:color w:val="auto"/>
              </w:rPr>
              <w:t>- Internal Revenue Service.</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KDHE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Kansas Department of Health and Environment.</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LDAN</w:t>
            </w:r>
          </w:p>
        </w:tc>
        <w:tc>
          <w:tcPr>
            <w:tcW w:w="8380" w:type="dxa"/>
            <w:vAlign w:val="bottom"/>
          </w:tcPr>
          <w:p>
            <w:pPr>
              <w:ind w:left="3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Leidos</w:t>
            </w:r>
          </w:p>
        </w:tc>
        <w:tc>
          <w:tcPr>
            <w:tcW w:w="8380" w:type="dxa"/>
            <w:vAlign w:val="bottom"/>
          </w:tcPr>
          <w:p>
            <w:pPr>
              <w:ind w:left="320"/>
              <w:spacing w:after="0"/>
              <w:rPr>
                <w:sz w:val="20"/>
                <w:szCs w:val="20"/>
                <w:color w:val="auto"/>
              </w:rPr>
            </w:pPr>
            <w:r>
              <w:rPr>
                <w:rFonts w:ascii="Arial" w:cs="Arial" w:eastAsia="Arial" w:hAnsi="Arial"/>
                <w:sz w:val="18"/>
                <w:szCs w:val="18"/>
                <w:color w:val="auto"/>
              </w:rPr>
              <w:t>- Leidos Constructors L.L.C.</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LSB</w:t>
            </w:r>
          </w:p>
        </w:tc>
        <w:tc>
          <w:tcPr>
            <w:tcW w:w="8380" w:type="dxa"/>
            <w:vAlign w:val="bottom"/>
          </w:tcPr>
          <w:p>
            <w:pPr>
              <w:ind w:left="320"/>
              <w:spacing w:after="0"/>
              <w:rPr>
                <w:sz w:val="20"/>
                <w:szCs w:val="20"/>
                <w:color w:val="auto"/>
              </w:rPr>
            </w:pPr>
            <w:r>
              <w:rPr>
                <w:rFonts w:ascii="Arial" w:cs="Arial" w:eastAsia="Arial" w:hAnsi="Arial"/>
                <w:sz w:val="18"/>
                <w:szCs w:val="18"/>
                <w:color w:val="auto"/>
              </w:rPr>
              <w:t>- LSB Industries, Inc.</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LSB Funding</w:t>
            </w:r>
          </w:p>
        </w:tc>
        <w:tc>
          <w:tcPr>
            <w:tcW w:w="8380" w:type="dxa"/>
            <w:vAlign w:val="bottom"/>
          </w:tcPr>
          <w:p>
            <w:pPr>
              <w:ind w:left="320"/>
              <w:spacing w:after="0"/>
              <w:rPr>
                <w:sz w:val="20"/>
                <w:szCs w:val="20"/>
                <w:color w:val="auto"/>
              </w:rPr>
            </w:pPr>
            <w:r>
              <w:rPr>
                <w:rFonts w:ascii="Arial" w:cs="Arial" w:eastAsia="Arial" w:hAnsi="Arial"/>
                <w:sz w:val="18"/>
                <w:szCs w:val="18"/>
                <w:color w:val="auto"/>
              </w:rPr>
              <w:t>- LSB Funding L.L.C., an affiliate of Eldridge.</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Maximum Revolver Amount</w:t>
            </w:r>
          </w:p>
        </w:tc>
        <w:tc>
          <w:tcPr>
            <w:tcW w:w="8380" w:type="dxa"/>
            <w:vAlign w:val="bottom"/>
          </w:tcPr>
          <w:p>
            <w:pPr>
              <w:ind w:left="320"/>
              <w:spacing w:after="0"/>
              <w:rPr>
                <w:sz w:val="20"/>
                <w:szCs w:val="20"/>
                <w:color w:val="auto"/>
              </w:rPr>
            </w:pPr>
            <w:r>
              <w:rPr>
                <w:rFonts w:ascii="Arial" w:cs="Arial" w:eastAsia="Arial" w:hAnsi="Arial"/>
                <w:sz w:val="18"/>
                <w:szCs w:val="18"/>
                <w:color w:val="auto"/>
                <w:w w:val="99"/>
              </w:rPr>
              <w:t>- The maximum amount of outstanding advances available under our Working Capital Revolver Loan.</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MD&amp;A</w:t>
            </w:r>
          </w:p>
        </w:tc>
        <w:tc>
          <w:tcPr>
            <w:tcW w:w="8380" w:type="dxa"/>
            <w:vAlign w:val="bottom"/>
          </w:tcPr>
          <w:p>
            <w:pPr>
              <w:ind w:left="3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New 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0"/>
              </w:rPr>
              <w:t>- The senior secured notes issued March 8, 2022 with an interest rate of 6.25%, which mature in October 2028.</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Note</w:t>
            </w:r>
          </w:p>
        </w:tc>
        <w:tc>
          <w:tcPr>
            <w:tcW w:w="8380" w:type="dxa"/>
            <w:vAlign w:val="bottom"/>
          </w:tcPr>
          <w:p>
            <w:pPr>
              <w:ind w:left="32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42"/>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1"/>
              </w:rPr>
              <w:t>- The senior secured notes issued on October 14, 2021 with an interest rate of 6.25%, which mature in October</w:t>
            </w:r>
          </w:p>
        </w:tc>
      </w:tr>
      <w:tr>
        <w:trPr>
          <w:trHeight w:val="230"/>
        </w:trPr>
        <w:tc>
          <w:tcPr>
            <w:tcW w:w="2860" w:type="dxa"/>
            <w:vAlign w:val="bottom"/>
          </w:tcPr>
          <w:p>
            <w:pPr>
              <w:spacing w:after="0"/>
              <w:rPr>
                <w:sz w:val="20"/>
                <w:szCs w:val="20"/>
                <w:color w:val="auto"/>
              </w:rPr>
            </w:pPr>
          </w:p>
        </w:tc>
        <w:tc>
          <w:tcPr>
            <w:tcW w:w="8380" w:type="dxa"/>
            <w:vAlign w:val="bottom"/>
          </w:tcPr>
          <w:p>
            <w:pPr>
              <w:ind w:left="440"/>
              <w:spacing w:after="0"/>
              <w:rPr>
                <w:sz w:val="20"/>
                <w:szCs w:val="20"/>
                <w:color w:val="auto"/>
              </w:rPr>
            </w:pPr>
            <w:r>
              <w:rPr>
                <w:rFonts w:ascii="Arial" w:cs="Arial" w:eastAsia="Arial" w:hAnsi="Arial"/>
                <w:sz w:val="18"/>
                <w:szCs w:val="18"/>
                <w:color w:val="auto"/>
              </w:rPr>
              <w:t>2028.</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ODEQ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Oklahoma Department of Environmental Quality.</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PCC</w:t>
            </w:r>
          </w:p>
        </w:tc>
        <w:tc>
          <w:tcPr>
            <w:tcW w:w="8380" w:type="dxa"/>
            <w:vAlign w:val="bottom"/>
          </w:tcPr>
          <w:p>
            <w:pPr>
              <w:ind w:left="320"/>
              <w:spacing w:after="0"/>
              <w:rPr>
                <w:sz w:val="20"/>
                <w:szCs w:val="20"/>
                <w:color w:val="auto"/>
              </w:rPr>
            </w:pPr>
            <w:r>
              <w:rPr>
                <w:rFonts w:ascii="Arial" w:cs="Arial" w:eastAsia="Arial" w:hAnsi="Arial"/>
                <w:sz w:val="18"/>
                <w:szCs w:val="18"/>
                <w:color w:val="auto"/>
              </w:rPr>
              <w:t>- Pryor Chemical Company.</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PP&amp;E</w:t>
            </w:r>
          </w:p>
        </w:tc>
        <w:tc>
          <w:tcPr>
            <w:tcW w:w="8380" w:type="dxa"/>
            <w:vAlign w:val="bottom"/>
          </w:tcPr>
          <w:p>
            <w:pPr>
              <w:ind w:left="320"/>
              <w:spacing w:after="0"/>
              <w:rPr>
                <w:sz w:val="20"/>
                <w:szCs w:val="20"/>
                <w:color w:val="auto"/>
              </w:rPr>
            </w:pPr>
            <w:r>
              <w:rPr>
                <w:rFonts w:ascii="Arial" w:cs="Arial" w:eastAsia="Arial" w:hAnsi="Arial"/>
                <w:sz w:val="18"/>
                <w:szCs w:val="18"/>
                <w:color w:val="auto"/>
              </w:rPr>
              <w:t>- Plant, property and equipment.</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PPP</w:t>
            </w:r>
          </w:p>
        </w:tc>
        <w:tc>
          <w:tcPr>
            <w:tcW w:w="8380" w:type="dxa"/>
            <w:vAlign w:val="bottom"/>
          </w:tcPr>
          <w:p>
            <w:pPr>
              <w:ind w:left="320"/>
              <w:spacing w:after="0"/>
              <w:rPr>
                <w:sz w:val="20"/>
                <w:szCs w:val="20"/>
                <w:color w:val="auto"/>
              </w:rPr>
            </w:pPr>
            <w:r>
              <w:rPr>
                <w:rFonts w:ascii="Arial" w:cs="Arial" w:eastAsia="Arial" w:hAnsi="Arial"/>
                <w:sz w:val="18"/>
                <w:szCs w:val="18"/>
                <w:color w:val="auto"/>
              </w:rPr>
              <w:t>- Paycheck Protection Program.</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Pryor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SBA</w:t>
            </w:r>
          </w:p>
        </w:tc>
        <w:tc>
          <w:tcPr>
            <w:tcW w:w="8380" w:type="dxa"/>
            <w:vAlign w:val="bottom"/>
          </w:tcPr>
          <w:p>
            <w:pPr>
              <w:ind w:left="320"/>
              <w:spacing w:after="0"/>
              <w:rPr>
                <w:sz w:val="20"/>
                <w:szCs w:val="20"/>
                <w:color w:val="auto"/>
              </w:rPr>
            </w:pPr>
            <w:r>
              <w:rPr>
                <w:rFonts w:ascii="Arial" w:cs="Arial" w:eastAsia="Arial" w:hAnsi="Arial"/>
                <w:sz w:val="18"/>
                <w:szCs w:val="18"/>
                <w:color w:val="auto"/>
              </w:rPr>
              <w:t>- Small Business Administration.</w:t>
            </w:r>
          </w:p>
        </w:tc>
      </w:tr>
      <w:tr>
        <w:trPr>
          <w:trHeight w:val="332"/>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SBT Investors</w:t>
            </w:r>
          </w:p>
        </w:tc>
        <w:tc>
          <w:tcPr>
            <w:tcW w:w="8380" w:type="dxa"/>
            <w:vAlign w:val="bottom"/>
          </w:tcPr>
          <w:p>
            <w:pPr>
              <w:ind w:left="340"/>
              <w:spacing w:after="0"/>
              <w:rPr>
                <w:sz w:val="20"/>
                <w:szCs w:val="20"/>
                <w:color w:val="auto"/>
              </w:rPr>
            </w:pPr>
            <w:r>
              <w:rPr>
                <w:rFonts w:ascii="Arial" w:cs="Arial" w:eastAsia="Arial" w:hAnsi="Arial"/>
                <w:sz w:val="21"/>
                <w:szCs w:val="21"/>
                <w:color w:val="auto"/>
                <w:vertAlign w:val="superscript"/>
              </w:rPr>
              <w:t>-</w:t>
            </w:r>
            <w:r>
              <w:rPr>
                <w:rFonts w:ascii="Arial" w:cs="Arial" w:eastAsia="Arial" w:hAnsi="Arial"/>
                <w:sz w:val="18"/>
                <w:szCs w:val="18"/>
                <w:color w:val="auto"/>
              </w:rPr>
              <w:t xml:space="preserve">  SBT Investors, L.L.C., an affiliate of Eldridge.</w:t>
            </w:r>
          </w:p>
        </w:tc>
      </w:tr>
      <w:tr>
        <w:trPr>
          <w:trHeight w:val="234"/>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SEC</w:t>
            </w:r>
          </w:p>
        </w:tc>
        <w:tc>
          <w:tcPr>
            <w:tcW w:w="8380" w:type="dxa"/>
            <w:vAlign w:val="bottom"/>
          </w:tcPr>
          <w:p>
            <w:pPr>
              <w:ind w:left="320"/>
              <w:spacing w:after="0"/>
              <w:rPr>
                <w:sz w:val="20"/>
                <w:szCs w:val="20"/>
                <w:color w:val="auto"/>
              </w:rPr>
            </w:pPr>
            <w:r>
              <w:rPr>
                <w:rFonts w:ascii="Arial" w:cs="Arial" w:eastAsia="Arial" w:hAnsi="Arial"/>
                <w:sz w:val="18"/>
                <w:szCs w:val="18"/>
                <w:color w:val="auto"/>
              </w:rPr>
              <w:t>- The U.S. Securities and Exchange Commission.</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Secured Financing due 2023</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A secured financing arrangement between EDC and an affiliate of Eldridge which matures in June 2023.</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Secured Financing due 2025</w:t>
            </w:r>
          </w:p>
        </w:tc>
        <w:tc>
          <w:tcPr>
            <w:tcW w:w="8380" w:type="dxa"/>
            <w:vAlign w:val="bottom"/>
          </w:tcPr>
          <w:p>
            <w:pPr>
              <w:ind w:left="320"/>
              <w:spacing w:after="0"/>
              <w:rPr>
                <w:sz w:val="20"/>
                <w:szCs w:val="20"/>
                <w:color w:val="auto"/>
              </w:rPr>
            </w:pPr>
            <w:r>
              <w:rPr>
                <w:rFonts w:ascii="Arial" w:cs="Arial" w:eastAsia="Arial" w:hAnsi="Arial"/>
                <w:sz w:val="18"/>
                <w:szCs w:val="18"/>
                <w:color w:val="auto"/>
                <w:w w:val="93"/>
              </w:rPr>
              <w:t>- A secured financing arrangement between EDA and an affiliate of Eldridge which matures in August 2025.</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The Notes and New Notes, taken together due on October 15, 2028 with a stated interest rate of 6.25%.</w:t>
            </w:r>
          </w:p>
        </w:tc>
      </w:tr>
      <w:tr>
        <w:trPr>
          <w:trHeight w:val="28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SG&amp;A</w:t>
            </w:r>
          </w:p>
        </w:tc>
        <w:tc>
          <w:tcPr>
            <w:tcW w:w="8380" w:type="dxa"/>
            <w:vAlign w:val="bottom"/>
          </w:tcPr>
          <w:p>
            <w:pPr>
              <w:ind w:left="320"/>
              <w:spacing w:after="0"/>
              <w:rPr>
                <w:sz w:val="20"/>
                <w:szCs w:val="20"/>
                <w:color w:val="auto"/>
              </w:rPr>
            </w:pPr>
            <w:r>
              <w:rPr>
                <w:rFonts w:ascii="Arial" w:cs="Arial" w:eastAsia="Arial" w:hAnsi="Arial"/>
                <w:sz w:val="18"/>
                <w:szCs w:val="18"/>
                <w:color w:val="auto"/>
              </w:rPr>
              <w:t>- Selling, general and administrative expense.</w:t>
            </w:r>
          </w:p>
        </w:tc>
      </w:tr>
      <w:tr>
        <w:trPr>
          <w:trHeight w:val="701"/>
        </w:trPr>
        <w:tc>
          <w:tcPr>
            <w:tcW w:w="2860" w:type="dxa"/>
            <w:vAlign w:val="bottom"/>
          </w:tcPr>
          <w:p>
            <w:pPr>
              <w:spacing w:after="0"/>
              <w:rPr>
                <w:sz w:val="24"/>
                <w:szCs w:val="24"/>
                <w:color w:val="auto"/>
              </w:rPr>
            </w:pPr>
          </w:p>
        </w:tc>
        <w:tc>
          <w:tcPr>
            <w:tcW w:w="8380" w:type="dxa"/>
            <w:vAlign w:val="bottom"/>
          </w:tcPr>
          <w:p>
            <w:pPr>
              <w:ind w:left="2680"/>
              <w:spacing w:after="0"/>
              <w:rPr>
                <w:sz w:val="20"/>
                <w:szCs w:val="20"/>
                <w:color w:val="auto"/>
              </w:rPr>
            </w:pPr>
            <w:r>
              <w:rPr>
                <w:rFonts w:ascii="Arial" w:cs="Arial" w:eastAsia="Arial" w:hAnsi="Arial"/>
                <w:sz w:val="18"/>
                <w:szCs w:val="18"/>
                <w:color w:val="auto"/>
              </w:rPr>
              <w:t>34</w:t>
            </w:r>
          </w:p>
        </w:tc>
      </w:tr>
      <w:tr>
        <w:trPr>
          <w:trHeight w:val="101"/>
        </w:trPr>
        <w:tc>
          <w:tcPr>
            <w:tcW w:w="2860" w:type="dxa"/>
            <w:vAlign w:val="bottom"/>
            <w:tcBorders>
              <w:bottom w:val="single" w:sz="8" w:color="9A9A9A"/>
            </w:tcBorders>
          </w:tcPr>
          <w:p>
            <w:pPr>
              <w:spacing w:after="0"/>
              <w:rPr>
                <w:sz w:val="8"/>
                <w:szCs w:val="8"/>
                <w:color w:val="auto"/>
              </w:rPr>
            </w:pPr>
          </w:p>
        </w:tc>
        <w:tc>
          <w:tcPr>
            <w:tcW w:w="8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Ton</w:t>
            </w:r>
          </w:p>
        </w:tc>
        <w:tc>
          <w:tcPr>
            <w:tcW w:w="8420" w:type="dxa"/>
            <w:vAlign w:val="bottom"/>
          </w:tcPr>
          <w:p>
            <w:pPr>
              <w:ind w:left="3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111111"/>
              </w:rPr>
              <w:t>A unit of weight equal to 2,000 pounds.</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Turnaround</w:t>
            </w:r>
          </w:p>
        </w:tc>
        <w:tc>
          <w:tcPr>
            <w:tcW w:w="8420" w:type="dxa"/>
            <w:vAlign w:val="bottom"/>
          </w:tcPr>
          <w:p>
            <w:pPr>
              <w:ind w:left="360"/>
              <w:spacing w:after="0"/>
              <w:rPr>
                <w:sz w:val="20"/>
                <w:szCs w:val="20"/>
                <w:color w:val="auto"/>
              </w:rPr>
            </w:pPr>
            <w:r>
              <w:rPr>
                <w:rFonts w:ascii="Arial" w:cs="Arial" w:eastAsia="Arial" w:hAnsi="Arial"/>
                <w:sz w:val="18"/>
                <w:szCs w:val="18"/>
                <w:color w:val="auto"/>
              </w:rPr>
              <w:t>- A planned major maintenance activity.</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UAN</w:t>
            </w:r>
          </w:p>
        </w:tc>
        <w:tc>
          <w:tcPr>
            <w:tcW w:w="8420" w:type="dxa"/>
            <w:vAlign w:val="bottom"/>
          </w:tcPr>
          <w:p>
            <w:pPr>
              <w:ind w:left="360"/>
              <w:spacing w:after="0"/>
              <w:rPr>
                <w:sz w:val="20"/>
                <w:szCs w:val="20"/>
                <w:color w:val="auto"/>
              </w:rPr>
            </w:pPr>
            <w:r>
              <w:rPr>
                <w:rFonts w:ascii="Arial" w:cs="Arial" w:eastAsia="Arial" w:hAnsi="Arial"/>
                <w:sz w:val="18"/>
                <w:szCs w:val="18"/>
                <w:color w:val="auto"/>
              </w:rPr>
              <w:t>- Urea ammonium nitrate.</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U.S.</w:t>
            </w:r>
          </w:p>
        </w:tc>
        <w:tc>
          <w:tcPr>
            <w:tcW w:w="8420" w:type="dxa"/>
            <w:vAlign w:val="bottom"/>
          </w:tcPr>
          <w:p>
            <w:pPr>
              <w:ind w:left="360"/>
              <w:spacing w:after="0"/>
              <w:rPr>
                <w:sz w:val="20"/>
                <w:szCs w:val="20"/>
                <w:color w:val="auto"/>
              </w:rPr>
            </w:pPr>
            <w:r>
              <w:rPr>
                <w:rFonts w:ascii="Arial" w:cs="Arial" w:eastAsia="Arial" w:hAnsi="Arial"/>
                <w:sz w:val="18"/>
                <w:szCs w:val="18"/>
                <w:color w:val="auto"/>
              </w:rPr>
              <w:t>- United States.</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U.S. GAAP</w:t>
            </w:r>
          </w:p>
        </w:tc>
        <w:tc>
          <w:tcPr>
            <w:tcW w:w="8420" w:type="dxa"/>
            <w:vAlign w:val="bottom"/>
          </w:tcPr>
          <w:p>
            <w:pPr>
              <w:ind w:left="360"/>
              <w:spacing w:after="0"/>
              <w:rPr>
                <w:sz w:val="20"/>
                <w:szCs w:val="20"/>
                <w:color w:val="auto"/>
              </w:rPr>
            </w:pPr>
            <w:r>
              <w:rPr>
                <w:rFonts w:ascii="Arial" w:cs="Arial" w:eastAsia="Arial" w:hAnsi="Arial"/>
                <w:sz w:val="18"/>
                <w:szCs w:val="18"/>
                <w:color w:val="auto"/>
              </w:rPr>
              <w:t>- U.S. Generally Accepted Accounting Principles.</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USDA</w:t>
            </w:r>
          </w:p>
        </w:tc>
        <w:tc>
          <w:tcPr>
            <w:tcW w:w="8420" w:type="dxa"/>
            <w:vAlign w:val="bottom"/>
          </w:tcPr>
          <w:p>
            <w:pPr>
              <w:ind w:left="360"/>
              <w:spacing w:after="0"/>
              <w:rPr>
                <w:sz w:val="20"/>
                <w:szCs w:val="20"/>
                <w:color w:val="auto"/>
              </w:rPr>
            </w:pPr>
            <w:r>
              <w:rPr>
                <w:rFonts w:ascii="Arial" w:cs="Arial" w:eastAsia="Arial" w:hAnsi="Arial"/>
                <w:sz w:val="18"/>
                <w:szCs w:val="18"/>
                <w:color w:val="auto"/>
              </w:rPr>
              <w:t>- United States Department of Agriculture.</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WASDE</w:t>
            </w:r>
          </w:p>
        </w:tc>
        <w:tc>
          <w:tcPr>
            <w:tcW w:w="8420" w:type="dxa"/>
            <w:vAlign w:val="bottom"/>
          </w:tcPr>
          <w:p>
            <w:pPr>
              <w:ind w:left="36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West Fertilizer</w:t>
            </w:r>
          </w:p>
        </w:tc>
        <w:tc>
          <w:tcPr>
            <w:tcW w:w="8420" w:type="dxa"/>
            <w:vAlign w:val="bottom"/>
          </w:tcPr>
          <w:p>
            <w:pPr>
              <w:ind w:left="360"/>
              <w:spacing w:after="0"/>
              <w:rPr>
                <w:sz w:val="20"/>
                <w:szCs w:val="20"/>
                <w:color w:val="auto"/>
              </w:rPr>
            </w:pPr>
            <w:r>
              <w:rPr>
                <w:rFonts w:ascii="Arial" w:cs="Arial" w:eastAsia="Arial" w:hAnsi="Arial"/>
                <w:sz w:val="18"/>
                <w:szCs w:val="18"/>
                <w:color w:val="auto"/>
              </w:rPr>
              <w:t>- West Fertilizer Company.</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Working Capital Revolver Loan</w:t>
            </w:r>
          </w:p>
        </w:tc>
        <w:tc>
          <w:tcPr>
            <w:tcW w:w="8420" w:type="dxa"/>
            <w:vAlign w:val="bottom"/>
          </w:tcPr>
          <w:p>
            <w:pPr>
              <w:ind w:left="360"/>
              <w:spacing w:after="0"/>
              <w:rPr>
                <w:sz w:val="20"/>
                <w:szCs w:val="20"/>
                <w:color w:val="auto"/>
              </w:rPr>
            </w:pPr>
            <w:r>
              <w:rPr>
                <w:rFonts w:ascii="Arial" w:cs="Arial" w:eastAsia="Arial" w:hAnsi="Arial"/>
                <w:sz w:val="18"/>
                <w:szCs w:val="18"/>
                <w:color w:val="auto"/>
              </w:rPr>
              <w:t>- Our secured revolving credit facility.</w:t>
            </w:r>
          </w:p>
        </w:tc>
      </w:tr>
      <w:tr>
        <w:trPr>
          <w:trHeight w:val="28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2005 Agreement</w:t>
            </w:r>
          </w:p>
        </w:tc>
        <w:tc>
          <w:tcPr>
            <w:tcW w:w="8420" w:type="dxa"/>
            <w:vAlign w:val="bottom"/>
          </w:tcPr>
          <w:p>
            <w:pPr>
              <w:ind w:left="360"/>
              <w:spacing w:after="0"/>
              <w:rPr>
                <w:sz w:val="20"/>
                <w:szCs w:val="20"/>
                <w:color w:val="auto"/>
              </w:rPr>
            </w:pPr>
            <w:r>
              <w:rPr>
                <w:rFonts w:ascii="Arial" w:cs="Arial" w:eastAsia="Arial" w:hAnsi="Arial"/>
                <w:sz w:val="18"/>
                <w:szCs w:val="18"/>
                <w:color w:val="auto"/>
              </w:rPr>
              <w:t>- A death benefit agreement with Jack E. Golsen.</w:t>
            </w:r>
          </w:p>
        </w:tc>
      </w:tr>
      <w:tr>
        <w:trPr>
          <w:trHeight w:val="242"/>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2021 Crop</w:t>
            </w:r>
          </w:p>
        </w:tc>
        <w:tc>
          <w:tcPr>
            <w:tcW w:w="8420" w:type="dxa"/>
            <w:vAlign w:val="bottom"/>
          </w:tcPr>
          <w:p>
            <w:pPr>
              <w:ind w:left="360"/>
              <w:spacing w:after="0"/>
              <w:rPr>
                <w:sz w:val="20"/>
                <w:szCs w:val="20"/>
                <w:color w:val="auto"/>
              </w:rPr>
            </w:pPr>
            <w:r>
              <w:rPr>
                <w:rFonts w:ascii="Arial" w:cs="Arial" w:eastAsia="Arial" w:hAnsi="Arial"/>
                <w:sz w:val="18"/>
                <w:szCs w:val="18"/>
                <w:color w:val="auto"/>
                <w:w w:val="92"/>
              </w:rPr>
              <w:t>- Corn crop marketing year (September 1 - August 31), which began in 2020 and ended in 2021 and primarily</w:t>
            </w:r>
          </w:p>
        </w:tc>
      </w:tr>
      <w:tr>
        <w:trPr>
          <w:trHeight w:val="230"/>
        </w:trPr>
        <w:tc>
          <w:tcPr>
            <w:tcW w:w="2820" w:type="dxa"/>
            <w:vAlign w:val="bottom"/>
          </w:tcPr>
          <w:p>
            <w:pPr>
              <w:spacing w:after="0"/>
              <w:rPr>
                <w:sz w:val="20"/>
                <w:szCs w:val="20"/>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relates to corn planted and harvested in 2020.</w:t>
            </w:r>
          </w:p>
        </w:tc>
      </w:tr>
      <w:tr>
        <w:trPr>
          <w:trHeight w:val="242"/>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2022 Crop</w:t>
            </w:r>
          </w:p>
        </w:tc>
        <w:tc>
          <w:tcPr>
            <w:tcW w:w="8420" w:type="dxa"/>
            <w:vAlign w:val="bottom"/>
          </w:tcPr>
          <w:p>
            <w:pPr>
              <w:ind w:left="360"/>
              <w:spacing w:after="0"/>
              <w:rPr>
                <w:sz w:val="20"/>
                <w:szCs w:val="20"/>
                <w:color w:val="auto"/>
              </w:rPr>
            </w:pPr>
            <w:r>
              <w:rPr>
                <w:rFonts w:ascii="Arial" w:cs="Arial" w:eastAsia="Arial" w:hAnsi="Arial"/>
                <w:sz w:val="18"/>
                <w:szCs w:val="18"/>
                <w:color w:val="auto"/>
                <w:w w:val="99"/>
              </w:rPr>
              <w:t>- Corn crop marketing year (September 1 - August 31), which began in 2021 and will end in 2022 and</w:t>
            </w:r>
          </w:p>
        </w:tc>
      </w:tr>
      <w:tr>
        <w:trPr>
          <w:trHeight w:val="230"/>
        </w:trPr>
        <w:tc>
          <w:tcPr>
            <w:tcW w:w="2820" w:type="dxa"/>
            <w:vAlign w:val="bottom"/>
          </w:tcPr>
          <w:p>
            <w:pPr>
              <w:spacing w:after="0"/>
              <w:rPr>
                <w:sz w:val="20"/>
                <w:szCs w:val="20"/>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primarily relates to corn planted and harvested in 2021.</w:t>
            </w:r>
          </w:p>
        </w:tc>
      </w:tr>
      <w:tr>
        <w:trPr>
          <w:trHeight w:val="242"/>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2023 Crop</w:t>
            </w:r>
          </w:p>
        </w:tc>
        <w:tc>
          <w:tcPr>
            <w:tcW w:w="8420" w:type="dxa"/>
            <w:vAlign w:val="bottom"/>
          </w:tcPr>
          <w:p>
            <w:pPr>
              <w:ind w:left="360"/>
              <w:spacing w:after="0"/>
              <w:rPr>
                <w:sz w:val="20"/>
                <w:szCs w:val="20"/>
                <w:color w:val="auto"/>
              </w:rPr>
            </w:pPr>
            <w:r>
              <w:rPr>
                <w:rFonts w:ascii="Arial" w:cs="Arial" w:eastAsia="Arial" w:hAnsi="Arial"/>
                <w:sz w:val="18"/>
                <w:szCs w:val="18"/>
                <w:color w:val="auto"/>
                <w:w w:val="99"/>
              </w:rPr>
              <w:t>- Corn crop marketing year (September 1 - August 31), which began in 2022 and will end in 2023 and</w:t>
            </w:r>
          </w:p>
        </w:tc>
      </w:tr>
      <w:tr>
        <w:trPr>
          <w:trHeight w:val="230"/>
        </w:trPr>
        <w:tc>
          <w:tcPr>
            <w:tcW w:w="2820" w:type="dxa"/>
            <w:vAlign w:val="bottom"/>
          </w:tcPr>
          <w:p>
            <w:pPr>
              <w:spacing w:after="0"/>
              <w:rPr>
                <w:sz w:val="20"/>
                <w:szCs w:val="20"/>
                <w:color w:val="auto"/>
              </w:rPr>
            </w:pPr>
          </w:p>
        </w:tc>
        <w:tc>
          <w:tcPr>
            <w:tcW w:w="8420" w:type="dxa"/>
            <w:vAlign w:val="bottom"/>
          </w:tcPr>
          <w:p>
            <w:pPr>
              <w:ind w:left="480"/>
              <w:spacing w:after="0"/>
              <w:rPr>
                <w:sz w:val="20"/>
                <w:szCs w:val="20"/>
                <w:color w:val="auto"/>
              </w:rPr>
            </w:pPr>
            <w:r>
              <w:rPr>
                <w:rFonts w:ascii="Arial" w:cs="Arial" w:eastAsia="Arial" w:hAnsi="Arial"/>
                <w:sz w:val="18"/>
                <w:szCs w:val="18"/>
                <w:color w:val="auto"/>
              </w:rPr>
              <w:t>primarily relates to corn planted and harvested in 2022.</w:t>
            </w:r>
          </w:p>
        </w:tc>
      </w:tr>
      <w:tr>
        <w:trPr>
          <w:trHeight w:val="634"/>
        </w:trPr>
        <w:tc>
          <w:tcPr>
            <w:tcW w:w="2820" w:type="dxa"/>
            <w:vAlign w:val="bottom"/>
          </w:tcPr>
          <w:p>
            <w:pPr>
              <w:spacing w:after="0"/>
              <w:rPr>
                <w:sz w:val="24"/>
                <w:szCs w:val="24"/>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35</w:t>
            </w:r>
          </w:p>
        </w:tc>
      </w:tr>
      <w:tr>
        <w:trPr>
          <w:trHeight w:val="101"/>
        </w:trPr>
        <w:tc>
          <w:tcPr>
            <w:tcW w:w="2820" w:type="dxa"/>
            <w:vAlign w:val="bottom"/>
            <w:tcBorders>
              <w:bottom w:val="single" w:sz="8" w:color="9A9A9A"/>
            </w:tcBorders>
          </w:tcPr>
          <w:p>
            <w:pPr>
              <w:spacing w:after="0"/>
              <w:rPr>
                <w:sz w:val="8"/>
                <w:szCs w:val="8"/>
                <w:color w:val="auto"/>
              </w:rPr>
            </w:pPr>
          </w:p>
        </w:tc>
        <w:tc>
          <w:tcPr>
            <w:tcW w:w="8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reported under this Item is not required for smaller reporting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2022, we exhausted the remaining repurchase authorization by repurchasing approximately 6.9 million shares at an average cost of approximately $13 per share, including 5.5 million shares that were repurchased at an average cost of approximately $12 per share in connection with a public offering by LSB Funding and SBT Investors, each of which is an affiliate of Eldridge.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purchase of its common stock for the quarter ended September 30, 2022:</w:t>
      </w:r>
    </w:p>
    <w:p>
      <w:pPr>
        <w:sectPr>
          <w:pgSz w:w="11900" w:h="16838" w:orient="portrait"/>
          <w:cols w:equalWidth="0" w:num="1">
            <w:col w:w="11240"/>
          </w:cols>
          <w:pgMar w:left="320" w:top="323"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(c) Total Number of Shares (or Units)</w:t>
            </w:r>
          </w:p>
        </w:tc>
        <w:tc>
          <w:tcPr>
            <w:tcW w:w="0" w:type="dxa"/>
            <w:vAlign w:val="bottom"/>
          </w:tcPr>
          <w:p>
            <w:pPr>
              <w:spacing w:after="0"/>
              <w:rPr>
                <w:sz w:val="1"/>
                <w:szCs w:val="1"/>
                <w:color w:val="auto"/>
              </w:rPr>
            </w:pPr>
          </w:p>
        </w:tc>
      </w:tr>
      <w:tr>
        <w:trPr>
          <w:trHeight w:val="158"/>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2240" w:type="dxa"/>
            <w:vAlign w:val="bottom"/>
          </w:tcPr>
          <w:p>
            <w:pPr>
              <w:jc w:val="center"/>
              <w:ind w:left="668"/>
              <w:spacing w:after="0" w:line="157" w:lineRule="exact"/>
              <w:rPr>
                <w:sz w:val="20"/>
                <w:szCs w:val="20"/>
                <w:color w:val="auto"/>
              </w:rPr>
            </w:pPr>
            <w:r>
              <w:rPr>
                <w:rFonts w:ascii="Arial" w:cs="Arial" w:eastAsia="Arial" w:hAnsi="Arial"/>
                <w:sz w:val="14"/>
                <w:szCs w:val="14"/>
                <w:b w:val="1"/>
                <w:bCs w:val="1"/>
                <w:color w:val="auto"/>
                <w:w w:val="95"/>
              </w:rPr>
              <w:t>(a) Total Number of</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(b) Average Price</w:t>
            </w:r>
          </w:p>
        </w:tc>
        <w:tc>
          <w:tcPr>
            <w:tcW w:w="2400" w:type="dxa"/>
            <w:vAlign w:val="bottom"/>
          </w:tcPr>
          <w:p>
            <w:pPr>
              <w:jc w:val="center"/>
              <w:ind w:left="48"/>
              <w:spacing w:after="0" w:line="157" w:lineRule="exact"/>
              <w:rPr>
                <w:sz w:val="20"/>
                <w:szCs w:val="20"/>
                <w:color w:val="auto"/>
              </w:rPr>
            </w:pPr>
            <w:r>
              <w:rPr>
                <w:rFonts w:ascii="Arial" w:cs="Arial" w:eastAsia="Arial" w:hAnsi="Arial"/>
                <w:sz w:val="14"/>
                <w:szCs w:val="14"/>
                <w:b w:val="1"/>
                <w:bCs w:val="1"/>
                <w:color w:val="auto"/>
                <w:w w:val="91"/>
              </w:rPr>
              <w:t>Purchased as Part of Publicly</w:t>
            </w:r>
          </w:p>
        </w:tc>
        <w:tc>
          <w:tcPr>
            <w:tcW w:w="0" w:type="dxa"/>
            <w:vAlign w:val="bottom"/>
          </w:tcPr>
          <w:p>
            <w:pPr>
              <w:spacing w:after="0"/>
              <w:rPr>
                <w:sz w:val="1"/>
                <w:szCs w:val="1"/>
                <w:color w:val="auto"/>
              </w:rPr>
            </w:pPr>
          </w:p>
        </w:tc>
      </w:tr>
      <w:tr>
        <w:trPr>
          <w:trHeight w:val="189"/>
        </w:trPr>
        <w:tc>
          <w:tcPr>
            <w:tcW w:w="1400" w:type="dxa"/>
            <w:vAlign w:val="bottom"/>
            <w:vMerge w:val="continue"/>
          </w:tcPr>
          <w:p>
            <w:pPr>
              <w:spacing w:after="0"/>
              <w:rPr>
                <w:sz w:val="16"/>
                <w:szCs w:val="16"/>
                <w:color w:val="auto"/>
              </w:rPr>
            </w:pPr>
          </w:p>
        </w:tc>
        <w:tc>
          <w:tcPr>
            <w:tcW w:w="2240" w:type="dxa"/>
            <w:vAlign w:val="bottom"/>
          </w:tcPr>
          <w:p>
            <w:pPr>
              <w:jc w:val="center"/>
              <w:ind w:left="708"/>
              <w:spacing w:after="0"/>
              <w:rPr>
                <w:sz w:val="20"/>
                <w:szCs w:val="20"/>
                <w:color w:val="auto"/>
              </w:rPr>
            </w:pPr>
            <w:r>
              <w:rPr>
                <w:rFonts w:ascii="Arial" w:cs="Arial" w:eastAsia="Arial" w:hAnsi="Arial"/>
                <w:sz w:val="14"/>
                <w:szCs w:val="14"/>
                <w:b w:val="1"/>
                <w:bCs w:val="1"/>
                <w:color w:val="auto"/>
                <w:w w:val="90"/>
              </w:rPr>
              <w:t>Shares Purchased</w:t>
            </w: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Paid per Share</w:t>
            </w:r>
          </w:p>
        </w:tc>
        <w:tc>
          <w:tcPr>
            <w:tcW w:w="24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Announced Plans or Program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0" w:right="160" w:firstLine="102"/>
        <w:spacing w:after="0" w:line="250" w:lineRule="auto"/>
        <w:tabs>
          <w:tab w:leader="none" w:pos="275"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Maximum Number (or Approximate Dollar Value) of</w:t>
      </w:r>
    </w:p>
    <w:p>
      <w:pPr>
        <w:spacing w:after="0" w:line="1" w:lineRule="exact"/>
        <w:rPr>
          <w:rFonts w:ascii="Arial" w:cs="Arial" w:eastAsia="Arial" w:hAnsi="Arial"/>
          <w:sz w:val="13"/>
          <w:szCs w:val="13"/>
          <w:b w:val="1"/>
          <w:bCs w:val="1"/>
          <w:color w:val="auto"/>
        </w:rPr>
      </w:pPr>
    </w:p>
    <w:p>
      <w:pPr>
        <w:ind w:right="200" w:firstLine="44"/>
        <w:spacing w:after="0" w:line="264" w:lineRule="auto"/>
        <w:rPr>
          <w:rFonts w:ascii="Arial" w:cs="Arial" w:eastAsia="Arial" w:hAnsi="Arial"/>
          <w:sz w:val="13"/>
          <w:szCs w:val="13"/>
          <w:b w:val="1"/>
          <w:bCs w:val="1"/>
          <w:color w:val="auto"/>
        </w:rPr>
      </w:pPr>
      <w:r>
        <w:rPr>
          <w:rFonts w:ascii="Arial" w:cs="Arial" w:eastAsia="Arial" w:hAnsi="Arial"/>
          <w:sz w:val="13"/>
          <w:szCs w:val="13"/>
          <w:b w:val="1"/>
          <w:bCs w:val="1"/>
          <w:color w:val="auto"/>
        </w:rPr>
        <w:t>Shares (or Units) that May Yet Be Purchased Under the Plans or Program</w:t>
      </w:r>
    </w:p>
    <w:p>
      <w:pPr>
        <w:spacing w:after="0" w:line="1" w:lineRule="exact"/>
        <w:rPr>
          <w:sz w:val="20"/>
          <w:szCs w:val="20"/>
          <w:color w:val="auto"/>
        </w:rPr>
      </w:pPr>
    </w:p>
    <w:p>
      <w:pPr>
        <w:sectPr>
          <w:pgSz w:w="11900" w:h="16838" w:orient="portrait"/>
          <w:cols w:equalWidth="0" w:num="2">
            <w:col w:w="9040" w:space="260"/>
            <w:col w:w="1940"/>
          </w:cols>
          <w:pgMar w:left="320" w:top="323" w:right="3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July 1 – July 31, 2022</w:t>
            </w:r>
          </w:p>
        </w:tc>
        <w:tc>
          <w:tcPr>
            <w:tcW w:w="14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125,100</w:t>
            </w:r>
          </w:p>
        </w:tc>
        <w:tc>
          <w:tcPr>
            <w:tcW w:w="54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13.59</w:t>
            </w:r>
          </w:p>
        </w:tc>
        <w:tc>
          <w:tcPr>
            <w:tcW w:w="2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125,100</w:t>
            </w:r>
          </w:p>
        </w:tc>
        <w:tc>
          <w:tcPr>
            <w:tcW w:w="68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34,907,150</w:t>
            </w:r>
          </w:p>
        </w:tc>
        <w:tc>
          <w:tcPr>
            <w:tcW w:w="100" w:type="dxa"/>
            <w:vAlign w:val="bottom"/>
            <w:shd w:val="clear" w:color="auto" w:fill="CCEEFF"/>
          </w:tcPr>
          <w:p>
            <w:pPr>
              <w:spacing w:after="0"/>
              <w:rPr>
                <w:sz w:val="17"/>
                <w:szCs w:val="17"/>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August 1 – August 31, 2022</w:t>
            </w:r>
          </w:p>
        </w:tc>
        <w:tc>
          <w:tcPr>
            <w:tcW w:w="1460" w:type="dxa"/>
            <w:vAlign w:val="bottom"/>
          </w:tcPr>
          <w:p>
            <w:pPr>
              <w:jc w:val="right"/>
              <w:spacing w:after="0"/>
              <w:rPr>
                <w:sz w:val="20"/>
                <w:szCs w:val="20"/>
                <w:color w:val="auto"/>
              </w:rPr>
            </w:pPr>
            <w:r>
              <w:rPr>
                <w:rFonts w:ascii="Arial" w:cs="Arial" w:eastAsia="Arial" w:hAnsi="Arial"/>
                <w:sz w:val="18"/>
                <w:szCs w:val="18"/>
                <w:color w:val="auto"/>
              </w:rPr>
              <w:t>6,590,288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12.57</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6,590,288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2,086,186</w:t>
            </w:r>
          </w:p>
        </w:tc>
        <w:tc>
          <w:tcPr>
            <w:tcW w:w="100" w:type="dxa"/>
            <w:vAlign w:val="bottom"/>
          </w:tcPr>
          <w:p>
            <w:pPr>
              <w:spacing w:after="0"/>
              <w:rPr>
                <w:sz w:val="18"/>
                <w:szCs w:val="18"/>
                <w:color w:val="auto"/>
              </w:rPr>
            </w:pPr>
          </w:p>
        </w:tc>
      </w:tr>
      <w:tr>
        <w:trPr>
          <w:trHeight w:val="21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 – September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139,054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139,054</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spacing w:after="0"/>
              <w:rPr>
                <w:sz w:val="20"/>
                <w:szCs w:val="20"/>
                <w:color w:val="auto"/>
              </w:rPr>
            </w:pPr>
            <w:r>
              <w:rPr>
                <w:rFonts w:ascii="Arial" w:cs="Arial" w:eastAsia="Arial" w:hAnsi="Arial"/>
                <w:sz w:val="18"/>
                <w:szCs w:val="18"/>
                <w:color w:val="auto"/>
              </w:rPr>
              <w:t>6,854,442</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12.64</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6,854,442</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8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-170815</wp:posOffset>
            </wp:positionV>
            <wp:extent cx="7683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-170815</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-170815</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5" w:lineRule="exact"/>
        <w:rPr>
          <w:sz w:val="20"/>
          <w:szCs w:val="20"/>
          <w:color w:val="auto"/>
        </w:rPr>
      </w:pPr>
    </w:p>
    <w:p>
      <w:pPr>
        <w:jc w:val="both"/>
        <w:ind w:left="380" w:hanging="372"/>
        <w:spacing w:after="0" w:line="262" w:lineRule="auto"/>
        <w:tabs>
          <w:tab w:leader="none" w:pos="380" w:val="left"/>
        </w:tabs>
        <w:numPr>
          <w:ilvl w:val="0"/>
          <w:numId w:val="19"/>
        </w:numPr>
        <w:rPr>
          <w:rFonts w:ascii="Arial" w:cs="Arial" w:eastAsia="Arial" w:hAnsi="Arial"/>
          <w:sz w:val="12"/>
          <w:szCs w:val="12"/>
          <w:color w:val="auto"/>
        </w:rPr>
      </w:pPr>
      <w:r>
        <w:rPr>
          <w:rFonts w:ascii="Arial" w:cs="Arial" w:eastAsia="Arial" w:hAnsi="Arial"/>
          <w:sz w:val="16"/>
          <w:szCs w:val="16"/>
          <w:color w:val="auto"/>
        </w:rPr>
        <w:t>During May 2022, our Board authorized a $50 million stock repurchase program. In August 2022, our Board authorized an increase in the size of the stock repurchase program to $100 million. During the third quarter of 2022, we exhausted the repurchase authorization under the stock repurchase program. In October 2022, our Board approved another expansion of the stock repurchase program</w:t>
      </w:r>
      <w:r>
        <w:rPr>
          <w:rFonts w:ascii="Arial" w:cs="Arial" w:eastAsia="Arial" w:hAnsi="Arial"/>
          <w:sz w:val="17"/>
          <w:szCs w:val="17"/>
          <w:color w:val="auto"/>
        </w:rPr>
        <w:t>, authorizing us to</w:t>
      </w:r>
      <w:r>
        <w:rPr>
          <w:rFonts w:ascii="Arial" w:cs="Arial" w:eastAsia="Arial" w:hAnsi="Arial"/>
          <w:sz w:val="16"/>
          <w:szCs w:val="16"/>
          <w:color w:val="auto"/>
        </w:rPr>
        <w:t xml:space="preserve"> repurchase an additional $75 million of our outstanding common stock under the stock repurchase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37.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0" w:type="dxa"/>
            <w:vAlign w:val="bottom"/>
            <w:gridSpan w:val="15"/>
            <w:vMerge w:val="restart"/>
          </w:tcPr>
          <w:p>
            <w:pPr>
              <w:ind w:left="840"/>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15"/>
            <w:vMerge w:val="continue"/>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290"/>
        </w:trPr>
        <w:tc>
          <w:tcPr>
            <w:tcW w:w="1140" w:type="dxa"/>
            <w:vAlign w:val="bottom"/>
          </w:tcPr>
          <w:p>
            <w:pPr>
              <w:ind w:left="120"/>
              <w:spacing w:after="0"/>
              <w:rPr>
                <w:sz w:val="20"/>
                <w:szCs w:val="20"/>
                <w:color w:val="auto"/>
              </w:rPr>
            </w:pPr>
            <w:r>
              <w:rPr>
                <w:rFonts w:ascii="Arial" w:cs="Arial" w:eastAsia="Arial" w:hAnsi="Arial"/>
                <w:sz w:val="18"/>
                <w:szCs w:val="18"/>
                <w:color w:val="auto"/>
              </w:rPr>
              <w:t>3(i).1</w:t>
            </w:r>
          </w:p>
        </w:tc>
        <w:tc>
          <w:tcPr>
            <w:tcW w:w="16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rPr>
            </w:pPr>
            <w:hyperlink r:id="rId218">
              <w:r>
                <w:rPr>
                  <w:rFonts w:ascii="Arial" w:cs="Arial" w:eastAsia="Arial" w:hAnsi="Arial"/>
                  <w:sz w:val="18"/>
                  <w:szCs w:val="18"/>
                  <w:color w:val="0000FF"/>
                </w:rPr>
                <w:t>Restated Certificate of Incorporation of LSB Industries, Inc., dated</w:t>
              </w:r>
            </w:hyperlink>
          </w:p>
        </w:tc>
        <w:tc>
          <w:tcPr>
            <w:tcW w:w="2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w w:val="93"/>
              </w:rPr>
              <w:t>Exhibit 3(i).1 to the Company’s Form 10-K filed on February</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7"/>
              </w:rPr>
            </w:pPr>
            <w:hyperlink r:id="rId218">
              <w:r>
                <w:rPr>
                  <w:rFonts w:ascii="Arial" w:cs="Arial" w:eastAsia="Arial" w:hAnsi="Arial"/>
                  <w:sz w:val="18"/>
                  <w:szCs w:val="18"/>
                  <w:color w:val="0000FF"/>
                  <w:w w:val="87"/>
                </w:rPr>
                <w:t>January 21, 1977, as amended August 27, 1987</w:t>
              </w:r>
            </w:hyperlink>
          </w:p>
        </w:tc>
        <w:tc>
          <w:tcPr>
            <w:tcW w:w="20" w:type="dxa"/>
            <w:vAlign w:val="bottom"/>
            <w:tcBorders>
              <w:top w:val="single" w:sz="8" w:color="0000FF"/>
              <w:bottom w:val="single" w:sz="8" w:color="0000EE"/>
            </w:tcBorders>
          </w:tcPr>
          <w:p>
            <w:pPr>
              <w:spacing w:after="0"/>
              <w:rPr>
                <w:sz w:val="13"/>
                <w:szCs w:val="13"/>
                <w:color w:val="auto"/>
              </w:rPr>
            </w:pPr>
          </w:p>
        </w:tc>
        <w:tc>
          <w:tcPr>
            <w:tcW w:w="142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gridSpan w:val="2"/>
          </w:tcPr>
          <w:p>
            <w:pPr>
              <w:ind w:left="40"/>
              <w:spacing w:after="0" w:line="156" w:lineRule="exact"/>
              <w:rPr>
                <w:sz w:val="20"/>
                <w:szCs w:val="20"/>
                <w:color w:val="auto"/>
              </w:rPr>
            </w:pPr>
            <w:r>
              <w:rPr>
                <w:rFonts w:ascii="Arial" w:cs="Arial" w:eastAsia="Arial" w:hAnsi="Arial"/>
                <w:sz w:val="18"/>
                <w:szCs w:val="18"/>
                <w:color w:val="auto"/>
              </w:rPr>
              <w:t>28, 2013</w:t>
            </w:r>
          </w:p>
        </w:tc>
        <w:tc>
          <w:tcPr>
            <w:tcW w:w="0" w:type="dxa"/>
            <w:vAlign w:val="bottom"/>
          </w:tcPr>
          <w:p>
            <w:pPr>
              <w:spacing w:after="0"/>
              <w:rPr>
                <w:sz w:val="1"/>
                <w:szCs w:val="1"/>
                <w:color w:val="auto"/>
              </w:rPr>
            </w:pPr>
          </w:p>
        </w:tc>
      </w:tr>
      <w:tr>
        <w:trPr>
          <w:trHeight w:val="317"/>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w w:val="95"/>
              </w:rPr>
            </w:pPr>
            <w:hyperlink r:id="rId219">
              <w:r>
                <w:rPr>
                  <w:rFonts w:ascii="Arial" w:cs="Arial" w:eastAsia="Arial" w:hAnsi="Arial"/>
                  <w:sz w:val="18"/>
                  <w:szCs w:val="18"/>
                  <w:color w:val="0000FF"/>
                  <w:w w:val="95"/>
                </w:rPr>
                <w:t>Certificate of Amendment to the Restated Certificate of Incorporation of</w:t>
              </w:r>
            </w:hyperlink>
          </w:p>
        </w:tc>
        <w:tc>
          <w:tcPr>
            <w:tcW w:w="2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w w:val="96"/>
              </w:rPr>
              <w:t>Exhibit 3(i).2 to the Company’s Registration Statement on</w:t>
            </w:r>
          </w:p>
        </w:tc>
        <w:tc>
          <w:tcPr>
            <w:tcW w:w="0" w:type="dxa"/>
            <w:vAlign w:val="bottom"/>
          </w:tcPr>
          <w:p>
            <w:pPr>
              <w:spacing w:after="0"/>
              <w:rPr>
                <w:sz w:val="1"/>
                <w:szCs w:val="1"/>
                <w:color w:val="auto"/>
              </w:rPr>
            </w:pPr>
          </w:p>
        </w:tc>
      </w:tr>
      <w:tr>
        <w:trPr>
          <w:trHeight w:val="155"/>
        </w:trPr>
        <w:tc>
          <w:tcPr>
            <w:tcW w:w="1140" w:type="dxa"/>
            <w:vAlign w:val="bottom"/>
          </w:tcPr>
          <w:p>
            <w:pPr>
              <w:ind w:left="120"/>
              <w:spacing w:after="0" w:line="156" w:lineRule="exact"/>
              <w:rPr>
                <w:sz w:val="20"/>
                <w:szCs w:val="20"/>
                <w:color w:val="auto"/>
              </w:rPr>
            </w:pPr>
            <w:r>
              <w:rPr>
                <w:rFonts w:ascii="Arial" w:cs="Arial" w:eastAsia="Arial" w:hAnsi="Arial"/>
                <w:sz w:val="18"/>
                <w:szCs w:val="18"/>
                <w:color w:val="auto"/>
              </w:rPr>
              <w:t>3(i).2</w:t>
            </w:r>
          </w:p>
        </w:tc>
        <w:tc>
          <w:tcPr>
            <w:tcW w:w="16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219">
              <w:r>
                <w:rPr>
                  <w:rFonts w:ascii="Arial" w:cs="Arial" w:eastAsia="Arial" w:hAnsi="Arial"/>
                  <w:sz w:val="18"/>
                  <w:szCs w:val="18"/>
                  <w:color w:val="0000FF"/>
                  <w:w w:val="88"/>
                </w:rPr>
                <w:t>LSB Industries, dated September 23, 2021</w:t>
              </w:r>
            </w:hyperlink>
          </w:p>
        </w:tc>
        <w:tc>
          <w:tcPr>
            <w:tcW w:w="22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ind w:left="20"/>
              <w:spacing w:after="0" w:line="156" w:lineRule="exact"/>
              <w:rPr>
                <w:sz w:val="20"/>
                <w:szCs w:val="20"/>
                <w:color w:val="auto"/>
              </w:rPr>
            </w:pPr>
            <w:r>
              <w:rPr>
                <w:rFonts w:ascii="Arial" w:cs="Arial" w:eastAsia="Arial" w:hAnsi="Arial"/>
                <w:sz w:val="18"/>
                <w:szCs w:val="18"/>
                <w:color w:val="auto"/>
              </w:rPr>
              <w:t>Form S-3 filed on November 16, 2021</w:t>
            </w:r>
          </w:p>
        </w:tc>
        <w:tc>
          <w:tcPr>
            <w:tcW w:w="0" w:type="dxa"/>
            <w:vAlign w:val="bottom"/>
          </w:tcPr>
          <w:p>
            <w:pPr>
              <w:spacing w:after="0"/>
              <w:rPr>
                <w:sz w:val="1"/>
                <w:szCs w:val="1"/>
                <w:color w:val="auto"/>
              </w:rPr>
            </w:pPr>
          </w:p>
        </w:tc>
      </w:tr>
      <w:tr>
        <w:trPr>
          <w:trHeight w:val="317"/>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3(ii)</w:t>
            </w:r>
          </w:p>
        </w:tc>
        <w:tc>
          <w:tcPr>
            <w:tcW w:w="16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w w:val="91"/>
              </w:rPr>
            </w:pPr>
            <w:hyperlink r:id="rId220">
              <w:r>
                <w:rPr>
                  <w:rFonts w:ascii="Arial" w:cs="Arial" w:eastAsia="Arial" w:hAnsi="Arial"/>
                  <w:sz w:val="18"/>
                  <w:szCs w:val="18"/>
                  <w:color w:val="0000FF"/>
                  <w:w w:val="91"/>
                </w:rPr>
                <w:t>Second Amended and Restated Bylaws of LSB Industries, Inc., dated July</w:t>
              </w:r>
            </w:hyperlink>
          </w:p>
        </w:tc>
        <w:tc>
          <w:tcPr>
            <w:tcW w:w="20" w:type="dxa"/>
            <w:vAlign w:val="bottom"/>
          </w:tcPr>
          <w:p>
            <w:pPr>
              <w:spacing w:after="0"/>
              <w:rPr>
                <w:sz w:val="24"/>
                <w:szCs w:val="24"/>
                <w:color w:val="auto"/>
              </w:rPr>
            </w:pPr>
          </w:p>
        </w:tc>
        <w:tc>
          <w:tcPr>
            <w:tcW w:w="4480" w:type="dxa"/>
            <w:vAlign w:val="bottom"/>
            <w:vMerge w:val="restart"/>
          </w:tcPr>
          <w:p>
            <w:pPr>
              <w:ind w:left="20"/>
              <w:spacing w:after="0"/>
              <w:rPr>
                <w:sz w:val="20"/>
                <w:szCs w:val="20"/>
                <w:color w:val="auto"/>
              </w:rPr>
            </w:pPr>
            <w:r>
              <w:rPr>
                <w:rFonts w:ascii="Arial" w:cs="Arial" w:eastAsia="Arial" w:hAnsi="Arial"/>
                <w:sz w:val="18"/>
                <w:szCs w:val="18"/>
                <w:color w:val="auto"/>
                <w:w w:val="96"/>
              </w:rPr>
              <w:t>Exhibit 3.1 to the Company’s Form 8-K filed July 20, 2021</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220">
              <w:r>
                <w:rPr>
                  <w:rFonts w:ascii="Arial" w:cs="Arial" w:eastAsia="Arial" w:hAnsi="Arial"/>
                  <w:sz w:val="18"/>
                  <w:szCs w:val="18"/>
                  <w:color w:val="0000FF"/>
                  <w:w w:val="85"/>
                </w:rPr>
                <w:t>19, 2021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w w:val="99"/>
              </w:rPr>
            </w:pPr>
            <w:hyperlink r:id="rId221">
              <w:r>
                <w:rPr>
                  <w:rFonts w:ascii="Arial" w:cs="Arial" w:eastAsia="Arial" w:hAnsi="Arial"/>
                  <w:sz w:val="18"/>
                  <w:szCs w:val="18"/>
                  <w:color w:val="0000FF"/>
                  <w:w w:val="99"/>
                </w:rPr>
                <w:t>The Board Representation Letter Agreement, dated as of August 10,</w:t>
              </w:r>
            </w:hyperlink>
          </w:p>
        </w:tc>
        <w:tc>
          <w:tcPr>
            <w:tcW w:w="2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w w:val="93"/>
              </w:rPr>
              <w:t>Exhibit 10.1 to the Company’s Form 8-K filed on August 15,</w:t>
            </w:r>
          </w:p>
        </w:tc>
        <w:tc>
          <w:tcPr>
            <w:tcW w:w="0" w:type="dxa"/>
            <w:vAlign w:val="bottom"/>
          </w:tcPr>
          <w:p>
            <w:pPr>
              <w:spacing w:after="0"/>
              <w:rPr>
                <w:sz w:val="1"/>
                <w:szCs w:val="1"/>
                <w:color w:val="auto"/>
              </w:rPr>
            </w:pPr>
          </w:p>
        </w:tc>
      </w:tr>
      <w:tr>
        <w:trPr>
          <w:trHeight w:val="175"/>
        </w:trPr>
        <w:tc>
          <w:tcPr>
            <w:tcW w:w="1140" w:type="dxa"/>
            <w:vAlign w:val="bottom"/>
            <w:vMerge w:val="restart"/>
          </w:tcPr>
          <w:p>
            <w:pPr>
              <w:ind w:left="1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5"/>
                <w:szCs w:val="15"/>
                <w:color w:val="auto"/>
              </w:rPr>
            </w:pPr>
          </w:p>
        </w:tc>
        <w:tc>
          <w:tcPr>
            <w:tcW w:w="4940" w:type="dxa"/>
            <w:vAlign w:val="bottom"/>
            <w:tcBorders>
              <w:top w:val="single" w:sz="8" w:color="0000FF"/>
            </w:tcBorders>
            <w:gridSpan w:val="10"/>
          </w:tcPr>
          <w:p>
            <w:pPr>
              <w:spacing w:after="0" w:line="176" w:lineRule="exact"/>
              <w:rPr>
                <w:rFonts w:ascii="Arial" w:cs="Arial" w:eastAsia="Arial" w:hAnsi="Arial"/>
                <w:sz w:val="18"/>
                <w:szCs w:val="18"/>
                <w:color w:val="0000FF"/>
                <w:w w:val="89"/>
              </w:rPr>
            </w:pPr>
            <w:hyperlink r:id="rId221">
              <w:r>
                <w:rPr>
                  <w:rFonts w:ascii="Arial" w:cs="Arial" w:eastAsia="Arial" w:hAnsi="Arial"/>
                  <w:sz w:val="18"/>
                  <w:szCs w:val="18"/>
                  <w:color w:val="0000FF"/>
                  <w:w w:val="89"/>
                </w:rPr>
                <w:t>2022, by and among the Company, LSB Funding, SBT Investors and</w:t>
              </w:r>
            </w:hyperlink>
          </w:p>
        </w:tc>
        <w:tc>
          <w:tcPr>
            <w:tcW w:w="500" w:type="dxa"/>
            <w:vAlign w:val="bottom"/>
            <w:gridSpan w:val="8"/>
          </w:tcPr>
          <w:p>
            <w:pPr>
              <w:ind w:left="40"/>
              <w:spacing w:after="0" w:line="176" w:lineRule="exact"/>
              <w:rPr>
                <w:rFonts w:ascii="Arial" w:cs="Arial" w:eastAsia="Arial" w:hAnsi="Arial"/>
                <w:sz w:val="18"/>
                <w:szCs w:val="18"/>
                <w:color w:val="0000FF"/>
              </w:rPr>
            </w:pPr>
            <w:hyperlink r:id="rId221">
              <w:r>
                <w:rPr>
                  <w:rFonts w:ascii="Arial" w:cs="Arial" w:eastAsia="Arial" w:hAnsi="Arial"/>
                  <w:sz w:val="18"/>
                  <w:szCs w:val="18"/>
                  <w:color w:val="0000FF"/>
                </w:rPr>
                <w:t>the</w:t>
              </w:r>
            </w:hyperlink>
          </w:p>
        </w:tc>
        <w:tc>
          <w:tcPr>
            <w:tcW w:w="45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6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221">
              <w:r>
                <w:rPr>
                  <w:rFonts w:ascii="Arial" w:cs="Arial" w:eastAsia="Arial" w:hAnsi="Arial"/>
                  <w:sz w:val="18"/>
                  <w:szCs w:val="18"/>
                  <w:color w:val="0000FF"/>
                </w:rPr>
                <w:t>other parties thereto</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40" w:type="dxa"/>
            <w:vAlign w:val="bottom"/>
            <w:gridSpan w:val="18"/>
          </w:tcPr>
          <w:p>
            <w:pPr>
              <w:spacing w:after="0"/>
              <w:rPr>
                <w:rFonts w:ascii="Arial" w:cs="Arial" w:eastAsia="Arial" w:hAnsi="Arial"/>
                <w:sz w:val="18"/>
                <w:szCs w:val="18"/>
                <w:color w:val="0000FF"/>
                <w:w w:val="91"/>
              </w:rPr>
            </w:pPr>
            <w:hyperlink r:id="rId222">
              <w:r>
                <w:rPr>
                  <w:rFonts w:ascii="Arial" w:cs="Arial" w:eastAsia="Arial" w:hAnsi="Arial"/>
                  <w:sz w:val="18"/>
                  <w:szCs w:val="18"/>
                  <w:color w:val="0000FF"/>
                  <w:w w:val="91"/>
                </w:rPr>
                <w:t>The Rights Letter Agreement, dated as of August 10, 2022, by and among</w:t>
              </w:r>
            </w:hyperlink>
          </w:p>
        </w:tc>
        <w:tc>
          <w:tcPr>
            <w:tcW w:w="2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w w:val="93"/>
              </w:rPr>
              <w:t>Exhibit 10.2 to the Company’s Form 8-K filed on August 15,</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4"/>
                <w:szCs w:val="14"/>
                <w:color w:val="auto"/>
              </w:rPr>
            </w:pPr>
          </w:p>
        </w:tc>
        <w:tc>
          <w:tcPr>
            <w:tcW w:w="54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222">
              <w:r>
                <w:rPr>
                  <w:rFonts w:ascii="Arial" w:cs="Arial" w:eastAsia="Arial" w:hAnsi="Arial"/>
                  <w:sz w:val="18"/>
                  <w:szCs w:val="18"/>
                  <w:color w:val="0000FF"/>
                </w:rPr>
                <w:t>the Company, LSB Funding and SBT Investors</w:t>
              </w:r>
            </w:hyperlink>
          </w:p>
        </w:tc>
        <w:tc>
          <w:tcPr>
            <w:tcW w:w="20" w:type="dxa"/>
            <w:vAlign w:val="bottom"/>
          </w:tcPr>
          <w:p>
            <w:pPr>
              <w:spacing w:after="0"/>
              <w:rPr>
                <w:sz w:val="14"/>
                <w:szCs w:val="14"/>
                <w:color w:val="auto"/>
              </w:rPr>
            </w:pPr>
          </w:p>
        </w:tc>
        <w:tc>
          <w:tcPr>
            <w:tcW w:w="450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120"/>
              <w:spacing w:after="0"/>
              <w:rPr>
                <w:sz w:val="20"/>
                <w:szCs w:val="20"/>
                <w:color w:val="auto"/>
              </w:rPr>
            </w:pPr>
            <w:r>
              <w:rPr>
                <w:rFonts w:ascii="Arial" w:cs="Arial" w:eastAsia="Arial" w:hAnsi="Arial"/>
                <w:sz w:val="18"/>
                <w:szCs w:val="18"/>
                <w:color w:val="auto"/>
              </w:rPr>
              <w:t>31.1(a)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0000FF"/>
                <w:w w:val="98"/>
              </w:rPr>
              <w:t>Certification of Mark T. Behrman, Chief Executive Officer, pursuant to</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40" w:type="dxa"/>
            <w:vAlign w:val="bottom"/>
            <w:gridSpan w:val="13"/>
          </w:tcPr>
          <w:p>
            <w:pPr>
              <w:spacing w:after="0" w:line="156" w:lineRule="exact"/>
              <w:rPr>
                <w:sz w:val="20"/>
                <w:szCs w:val="20"/>
                <w:color w:val="auto"/>
              </w:rPr>
            </w:pPr>
            <w:r>
              <w:rPr>
                <w:rFonts w:ascii="Arial" w:cs="Arial" w:eastAsia="Arial" w:hAnsi="Arial"/>
                <w:sz w:val="18"/>
                <w:szCs w:val="18"/>
                <w:color w:val="0000FF"/>
              </w:rPr>
              <w:t>Sarbanes-Oxley Act of 2002, Section 302</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4"/>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120"/>
              <w:spacing w:after="0"/>
              <w:rPr>
                <w:sz w:val="20"/>
                <w:szCs w:val="20"/>
                <w:color w:val="auto"/>
              </w:rPr>
            </w:pPr>
            <w:r>
              <w:rPr>
                <w:rFonts w:ascii="Arial" w:cs="Arial" w:eastAsia="Arial" w:hAnsi="Arial"/>
                <w:sz w:val="18"/>
                <w:szCs w:val="18"/>
                <w:color w:val="auto"/>
              </w:rPr>
              <w:t>31.2(a)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0000FF"/>
                <w:w w:val="98"/>
              </w:rPr>
              <w:t>Certification of Cheryl A. Maguire, Chief Financial Officer, pursuant to</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40" w:type="dxa"/>
            <w:vAlign w:val="bottom"/>
            <w:gridSpan w:val="8"/>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80" w:type="dxa"/>
            <w:vAlign w:val="bottom"/>
            <w:gridSpan w:val="15"/>
          </w:tcPr>
          <w:p>
            <w:pPr>
              <w:spacing w:after="0" w:line="156" w:lineRule="exact"/>
              <w:rPr>
                <w:sz w:val="20"/>
                <w:szCs w:val="20"/>
                <w:color w:val="auto"/>
              </w:rPr>
            </w:pPr>
            <w:r>
              <w:rPr>
                <w:rFonts w:ascii="Arial" w:cs="Arial" w:eastAsia="Arial" w:hAnsi="Arial"/>
                <w:sz w:val="18"/>
                <w:szCs w:val="18"/>
                <w:color w:val="0000FF"/>
              </w:rPr>
              <w:t>Sarbanes-Oxley Act of 2002, Section 302</w:t>
            </w: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4"/>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120"/>
              <w:spacing w:after="0"/>
              <w:rPr>
                <w:sz w:val="20"/>
                <w:szCs w:val="20"/>
                <w:color w:val="auto"/>
              </w:rPr>
            </w:pPr>
            <w:r>
              <w:rPr>
                <w:rFonts w:ascii="Arial" w:cs="Arial" w:eastAsia="Arial" w:hAnsi="Arial"/>
                <w:sz w:val="18"/>
                <w:szCs w:val="18"/>
                <w:color w:val="auto"/>
              </w:rPr>
              <w:t>32.1(a)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0000FF"/>
              </w:rPr>
              <w:t>Certification of Mark T. Behrman, Chief Executive Officer, furnished</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40" w:type="dxa"/>
            <w:vAlign w:val="bottom"/>
            <w:gridSpan w:val="8"/>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0" w:type="dxa"/>
            <w:vAlign w:val="bottom"/>
            <w:gridSpan w:val="16"/>
          </w:tcPr>
          <w:p>
            <w:pPr>
              <w:spacing w:after="0" w:line="156" w:lineRule="exact"/>
              <w:rPr>
                <w:sz w:val="20"/>
                <w:szCs w:val="20"/>
                <w:color w:val="auto"/>
              </w:rPr>
            </w:pPr>
            <w:r>
              <w:rPr>
                <w:rFonts w:ascii="Arial" w:cs="Arial" w:eastAsia="Arial" w:hAnsi="Arial"/>
                <w:sz w:val="18"/>
                <w:szCs w:val="18"/>
                <w:color w:val="0000FF"/>
              </w:rPr>
              <w:t>pursuant to Sarbanes-Oxley Act of 2002, Section 906</w:t>
            </w:r>
          </w:p>
        </w:tc>
        <w:tc>
          <w:tcPr>
            <w:tcW w:w="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40" w:type="dxa"/>
            <w:vAlign w:val="bottom"/>
            <w:gridSpan w:val="8"/>
            <w:shd w:val="clear" w:color="auto" w:fill="0000FF"/>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120"/>
              <w:spacing w:after="0"/>
              <w:rPr>
                <w:sz w:val="20"/>
                <w:szCs w:val="20"/>
                <w:color w:val="auto"/>
              </w:rPr>
            </w:pPr>
            <w:r>
              <w:rPr>
                <w:rFonts w:ascii="Arial" w:cs="Arial" w:eastAsia="Arial" w:hAnsi="Arial"/>
                <w:sz w:val="18"/>
                <w:szCs w:val="18"/>
                <w:color w:val="auto"/>
              </w:rPr>
              <w:t>32.2(a)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0000FF"/>
              </w:rPr>
              <w:t>Certification of Cheryl A. Maguire, Chief Financial Officer, furnished</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360" w:type="dxa"/>
            <w:vAlign w:val="bottom"/>
            <w:gridSpan w:val="14"/>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60" w:type="dxa"/>
            <w:vAlign w:val="bottom"/>
            <w:gridSpan w:val="14"/>
          </w:tcPr>
          <w:p>
            <w:pPr>
              <w:spacing w:after="0" w:line="156" w:lineRule="exact"/>
              <w:rPr>
                <w:sz w:val="20"/>
                <w:szCs w:val="20"/>
                <w:color w:val="auto"/>
              </w:rPr>
            </w:pPr>
            <w:r>
              <w:rPr>
                <w:rFonts w:ascii="Arial" w:cs="Arial" w:eastAsia="Arial" w:hAnsi="Arial"/>
                <w:sz w:val="18"/>
                <w:szCs w:val="18"/>
                <w:color w:val="0000FF"/>
              </w:rPr>
              <w:t>pursuant to Sarbanes-Oxley Act of 2002, Section 906</w:t>
            </w:r>
          </w:p>
        </w:tc>
        <w:tc>
          <w:tcPr>
            <w:tcW w:w="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40" w:type="dxa"/>
            <w:vAlign w:val="bottom"/>
            <w:gridSpan w:val="8"/>
            <w:shd w:val="clear" w:color="auto" w:fill="0000FF"/>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101.INS(a)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w w:val="91"/>
              </w:rPr>
              <w:t>Inline XBRL Instance Document – the instance document does not appear</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40" w:type="dxa"/>
            <w:vAlign w:val="bottom"/>
            <w:gridSpan w:val="18"/>
          </w:tcPr>
          <w:p>
            <w:pPr>
              <w:spacing w:after="0" w:line="176" w:lineRule="exact"/>
              <w:rPr>
                <w:sz w:val="20"/>
                <w:szCs w:val="20"/>
                <w:color w:val="auto"/>
              </w:rPr>
            </w:pPr>
            <w:r>
              <w:rPr>
                <w:rFonts w:ascii="Arial" w:cs="Arial" w:eastAsia="Arial" w:hAnsi="Arial"/>
                <w:sz w:val="18"/>
                <w:szCs w:val="18"/>
                <w:color w:val="auto"/>
                <w:w w:val="95"/>
              </w:rPr>
              <w:t>in the Interactive Data File because its XBRL tags are embedded within</w:t>
            </w:r>
          </w:p>
        </w:tc>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the Inline XBRL document.</w:t>
            </w:r>
          </w:p>
        </w:tc>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1140" w:type="dxa"/>
            <w:vAlign w:val="bottom"/>
          </w:tcPr>
          <w:p>
            <w:pPr>
              <w:ind w:left="20"/>
              <w:spacing w:after="0"/>
              <w:rPr>
                <w:sz w:val="20"/>
                <w:szCs w:val="20"/>
                <w:color w:val="auto"/>
              </w:rPr>
            </w:pPr>
            <w:r>
              <w:rPr>
                <w:rFonts w:ascii="Arial" w:cs="Arial" w:eastAsia="Arial" w:hAnsi="Arial"/>
                <w:sz w:val="18"/>
                <w:szCs w:val="18"/>
                <w:color w:val="auto"/>
              </w:rPr>
              <w:t>101.SCH(a)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ind w:left="20"/>
              <w:spacing w:after="0"/>
              <w:rPr>
                <w:sz w:val="20"/>
                <w:szCs w:val="20"/>
                <w:color w:val="auto"/>
              </w:rPr>
            </w:pPr>
            <w:r>
              <w:rPr>
                <w:rFonts w:ascii="Arial" w:cs="Arial" w:eastAsia="Arial" w:hAnsi="Arial"/>
                <w:sz w:val="18"/>
                <w:szCs w:val="18"/>
                <w:color w:val="auto"/>
              </w:rPr>
              <w:t>101.CAL(a)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ind w:left="20"/>
              <w:spacing w:after="0"/>
              <w:rPr>
                <w:sz w:val="20"/>
                <w:szCs w:val="20"/>
                <w:color w:val="auto"/>
              </w:rPr>
            </w:pPr>
            <w:r>
              <w:rPr>
                <w:rFonts w:ascii="Arial" w:cs="Arial" w:eastAsia="Arial" w:hAnsi="Arial"/>
                <w:sz w:val="18"/>
                <w:szCs w:val="18"/>
                <w:color w:val="auto"/>
              </w:rPr>
              <w:t>101.DEF(a)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ind w:left="20"/>
              <w:spacing w:after="0"/>
              <w:rPr>
                <w:sz w:val="20"/>
                <w:szCs w:val="20"/>
                <w:color w:val="auto"/>
              </w:rPr>
            </w:pPr>
            <w:r>
              <w:rPr>
                <w:rFonts w:ascii="Arial" w:cs="Arial" w:eastAsia="Arial" w:hAnsi="Arial"/>
                <w:sz w:val="18"/>
                <w:szCs w:val="18"/>
                <w:color w:val="auto"/>
              </w:rPr>
              <w:t>101.LAB(a)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ind w:left="20"/>
              <w:spacing w:after="0"/>
              <w:rPr>
                <w:sz w:val="20"/>
                <w:szCs w:val="20"/>
                <w:color w:val="auto"/>
              </w:rPr>
            </w:pPr>
            <w:r>
              <w:rPr>
                <w:rFonts w:ascii="Arial" w:cs="Arial" w:eastAsia="Arial" w:hAnsi="Arial"/>
                <w:sz w:val="18"/>
                <w:szCs w:val="18"/>
                <w:color w:val="auto"/>
              </w:rPr>
              <w:t>101.PRE(a)</w:t>
            </w:r>
          </w:p>
        </w:tc>
        <w:tc>
          <w:tcPr>
            <w:tcW w:w="160" w:type="dxa"/>
            <w:vAlign w:val="bottom"/>
          </w:tcPr>
          <w:p>
            <w:pPr>
              <w:spacing w:after="0"/>
              <w:rPr>
                <w:sz w:val="24"/>
                <w:szCs w:val="24"/>
                <w:color w:val="auto"/>
              </w:rPr>
            </w:pPr>
          </w:p>
        </w:tc>
        <w:tc>
          <w:tcPr>
            <w:tcW w:w="544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80" w:right="5000" w:hanging="1259"/>
        <w:spacing w:after="0" w:line="235" w:lineRule="auto"/>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87"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 or 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day of November 2022.</w:t>
      </w:r>
    </w:p>
    <w:p>
      <w:pPr>
        <w:spacing w:after="0" w:line="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LSB INDUSTRIES, INC.</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14605</wp:posOffset>
            </wp:positionV>
            <wp:extent cx="36302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Cheryl A. Maguire</w:t>
      </w:r>
    </w:p>
    <w:p>
      <w:pPr>
        <w:spacing w:after="0" w:line="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03"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6" w:lineRule="exact"/>
        <w:rPr>
          <w:rFonts w:ascii="Arial" w:cs="Arial" w:eastAsia="Arial" w:hAnsi="Arial"/>
          <w:sz w:val="18"/>
          <w:szCs w:val="18"/>
          <w:color w:val="auto"/>
        </w:rPr>
      </w:pPr>
    </w:p>
    <w:p>
      <w:pPr>
        <w:jc w:val="both"/>
        <w:ind w:left="520" w:hanging="512"/>
        <w:spacing w:after="0" w:line="24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20" w:hanging="512"/>
        <w:spacing w:after="0" w:line="290"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520" w:hanging="512"/>
        <w:spacing w:after="0" w:line="255"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520" w:hanging="512"/>
        <w:spacing w:after="0" w:line="290"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7"/>
          <w:szCs w:val="17"/>
          <w:color w:val="auto"/>
        </w:rPr>
      </w:pPr>
    </w:p>
    <w:p>
      <w:pPr>
        <w:ind w:left="1540" w:hanging="514"/>
        <w:spacing w:after="0" w:line="341"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 w:lineRule="exact"/>
        <w:rPr>
          <w:rFonts w:ascii="Arial" w:cs="Arial" w:eastAsia="Arial" w:hAnsi="Arial"/>
          <w:sz w:val="16"/>
          <w:szCs w:val="16"/>
          <w:color w:val="auto"/>
        </w:rPr>
      </w:pPr>
    </w:p>
    <w:p>
      <w:pPr>
        <w:ind w:left="1540" w:hanging="514"/>
        <w:spacing w:after="0" w:line="261"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11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Behrman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03"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6" w:lineRule="exact"/>
        <w:rPr>
          <w:rFonts w:ascii="Arial" w:cs="Arial" w:eastAsia="Arial" w:hAnsi="Arial"/>
          <w:sz w:val="18"/>
          <w:szCs w:val="18"/>
          <w:color w:val="auto"/>
        </w:rPr>
      </w:pPr>
    </w:p>
    <w:p>
      <w:pPr>
        <w:jc w:val="both"/>
        <w:ind w:left="520" w:hanging="512"/>
        <w:spacing w:after="0" w:line="24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20" w:hanging="512"/>
        <w:spacing w:after="0" w:line="290"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520" w:hanging="512"/>
        <w:spacing w:after="0" w:line="255"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8"/>
          <w:szCs w:val="18"/>
          <w:color w:val="auto"/>
        </w:rPr>
      </w:pPr>
    </w:p>
    <w:p>
      <w:pPr>
        <w:jc w:val="both"/>
        <w:ind w:left="1540" w:hanging="514"/>
        <w:spacing w:after="0" w:line="255"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520" w:hanging="512"/>
        <w:spacing w:after="0" w:line="290"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7"/>
          <w:szCs w:val="17"/>
          <w:color w:val="auto"/>
        </w:rPr>
      </w:pPr>
    </w:p>
    <w:p>
      <w:pPr>
        <w:ind w:left="1540" w:hanging="514"/>
        <w:spacing w:after="0" w:line="341" w:lineRule="auto"/>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 w:lineRule="exact"/>
        <w:rPr>
          <w:rFonts w:ascii="Arial" w:cs="Arial" w:eastAsia="Arial" w:hAnsi="Arial"/>
          <w:sz w:val="16"/>
          <w:szCs w:val="16"/>
          <w:color w:val="auto"/>
        </w:rPr>
      </w:pPr>
    </w:p>
    <w:p>
      <w:pPr>
        <w:ind w:left="1540" w:hanging="514"/>
        <w:spacing w:after="0" w:line="261"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11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Cheryl A. Maguire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jc w:val="center"/>
        <w:spacing w:after="0"/>
        <w:rPr>
          <w:sz w:val="20"/>
          <w:szCs w:val="20"/>
          <w:color w:val="auto"/>
        </w:rPr>
      </w:pPr>
      <w:r>
        <w:rPr>
          <w:rFonts w:ascii="Arial" w:cs="Arial" w:eastAsia="Arial" w:hAnsi="Arial"/>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2022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68"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28511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jc w:val="center"/>
        <w:spacing w:after="0"/>
        <w:rPr>
          <w:sz w:val="20"/>
          <w:szCs w:val="20"/>
          <w:color w:val="auto"/>
        </w:rPr>
      </w:pPr>
      <w:r>
        <w:rPr>
          <w:rFonts w:ascii="Arial" w:cs="Arial" w:eastAsia="Arial" w:hAnsi="Arial"/>
          <w:sz w:val="18"/>
          <w:szCs w:val="18"/>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2022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68" w:lineRule="exact"/>
        <w:rPr>
          <w:sz w:val="20"/>
          <w:szCs w:val="20"/>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03"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2851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2, 2022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upperLetter"/>
      <w:start w:val="1"/>
    </w:lvl>
  </w:abstractNum>
  <w:abstractNum w:abstractNumId="3">
    <w:nsid w:val="7FDCC233"/>
    <w:multiLevelType w:val="hybridMultilevel"/>
    <w:lvl w:ilvl="0">
      <w:lvlJc w:val="left"/>
      <w:lvlText w:val="(%1)"/>
      <w:numFmt w:val="upperLetter"/>
      <w:start w:val="2"/>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
    </w:lvl>
    <w:lvl w:ilvl="1">
      <w:lvlJc w:val="left"/>
      <w:lvlText w:val="%2."/>
      <w:numFmt w:val="decimal"/>
      <w:start w:val="1"/>
    </w:lvl>
  </w:abstractNum>
  <w:abstractNum w:abstractNumId="7">
    <w:nsid w:val="4E6AFB66"/>
    <w:multiLevelType w:val="hybridMultilevel"/>
    <w:lvl w:ilvl="0">
      <w:lvlJc w:val="left"/>
      <w:lvlText w:val="%1."/>
      <w:numFmt w:val="decimal"/>
      <w:start w:val="7"/>
    </w:lvl>
    <w:lvl w:ilvl="1">
      <w:lvlJc w:val="left"/>
      <w:lvlText w:val="%2"/>
      <w:numFmt w:val="decimal"/>
      <w:start w:val="1"/>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
      <w:numFmt w:val="bullet"/>
      <w:start w:val="1"/>
    </w:lvl>
    <w:lvl w:ilvl="1">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Letter"/>
      <w:start w:val="4"/>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lvl w:ilvl="1">
      <w:lvlJc w:val="left"/>
      <w:lvlText w:val="%2"/>
      <w:numFmt w:val="decimal"/>
      <w:start w:val="104"/>
    </w:lvl>
  </w:abstractNum>
  <w:abstractNum w:abstractNumId="20">
    <w:nsid w:val="2D1D5AE9"/>
    <w:multiLevelType w:val="hybridMultilevel"/>
    <w:lvl w:ilvl="0">
      <w:lvlJc w:val="left"/>
      <w:lvlText w:val="(%1)"/>
      <w:numFmt w:val="lowerLetter"/>
      <w:start w:val="1"/>
    </w:lvl>
    <w:lvl w:ilvl="1">
      <w:lvlJc w:val="left"/>
      <w:lvlText w:val="%2"/>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81" Type="http://schemas.openxmlformats.org/officeDocument/2006/relationships/hyperlink" Target="https://www.sec.gov/ix?doc=/Archives/edgar/data/60714/000119312522084680/d294601d10ka.htm" TargetMode="External"/><Relationship Id="rId218" Type="http://schemas.openxmlformats.org/officeDocument/2006/relationships/hyperlink" Target="https://www.sec.gov/Archives/edgar/data/60714/000119312513084410/d447083dex3i1.htm" TargetMode="External"/><Relationship Id="rId219" Type="http://schemas.openxmlformats.org/officeDocument/2006/relationships/hyperlink" Target="https://www.sec.gov/Archives/edgar/data/0000060714/000119312521331386/d173096dex3i2.htm" TargetMode="External"/><Relationship Id="rId220" Type="http://schemas.openxmlformats.org/officeDocument/2006/relationships/hyperlink" Target="https://www.sec.gov/Archives/edgar/data/60714/000119312521219140/d189542dex31.htm" TargetMode="External"/><Relationship Id="rId221" Type="http://schemas.openxmlformats.org/officeDocument/2006/relationships/hyperlink" Target="https://www.sec.gov/Archives/edgar/data/60714/000119312522221198/d15256dex101.htm" TargetMode="External"/><Relationship Id="rId222" Type="http://schemas.openxmlformats.org/officeDocument/2006/relationships/hyperlink" Target="https://www.sec.gov/Archives/edgar/data/60714/000119312522221198/d1525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2022-11-02T15:59:57Z</dcterms:created>
  <dcterms:modified xsi:type="dcterms:W3CDTF">2022-11-02T15:59:57Z</dcterms:modified>
</cp:coreProperties>
</file>