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7"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05" w:lineRule="exact"/>
        <w:rPr>
          <w:rFonts w:ascii="MS PGothic" w:cs="MS PGothic" w:eastAsia="MS PGothic" w:hAnsi="MS PGothic"/>
          <w:sz w:val="17"/>
          <w:szCs w:val="17"/>
          <w:color w:val="auto"/>
          <w:highlight w:val="black"/>
        </w:rPr>
      </w:pPr>
    </w:p>
    <w:p>
      <w:pPr>
        <w:ind w:left="364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46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71755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p>
      <w:pPr>
        <w:spacing w:after="0" w:line="142"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LSB INDUSTRIES, INC.</w:t>
      </w:r>
    </w:p>
    <w:p>
      <w:pPr>
        <w:spacing w:after="0" w:line="47" w:lineRule="exact"/>
        <w:rPr>
          <w:sz w:val="24"/>
          <w:szCs w:val="24"/>
          <w:color w:val="auto"/>
        </w:rPr>
      </w:pPr>
    </w:p>
    <w:p>
      <w:pPr>
        <w:ind w:left="376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67945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2"/>
          <w:szCs w:val="12"/>
          <w:b w:val="1"/>
          <w:bCs w:val="1"/>
          <w:color w:val="auto"/>
        </w:rPr>
        <w:t>(State of or other Jurisdiction</w:t>
      </w:r>
    </w:p>
    <w:p>
      <w:pPr>
        <w:spacing w:after="0" w:line="11" w:lineRule="exact"/>
        <w:rPr>
          <w:sz w:val="24"/>
          <w:szCs w:val="24"/>
          <w:color w:val="auto"/>
        </w:rPr>
      </w:pPr>
    </w:p>
    <w:p>
      <w:pPr>
        <w:jc w:val="center"/>
        <w:ind w:right="204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73-1015226</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83" w:lineRule="exact"/>
        <w:rPr>
          <w:sz w:val="24"/>
          <w:szCs w:val="24"/>
          <w:color w:val="auto"/>
        </w:rPr>
      </w:pPr>
    </w:p>
    <w:p>
      <w:pPr>
        <w:sectPr>
          <w:pgSz w:w="11900" w:h="16838" w:orient="portrait"/>
          <w:cols w:equalWidth="0" w:num="2">
            <w:col w:w="7580" w:space="420"/>
            <w:col w:w="3240"/>
          </w:cols>
          <w:pgMar w:left="320" w:top="543" w:right="339" w:bottom="1440" w:gutter="0" w:footer="0" w:header="0"/>
          <w:type w:val="continuous"/>
        </w:sectPr>
      </w:pPr>
    </w:p>
    <w:p>
      <w:pPr>
        <w:ind w:left="1680"/>
        <w:spacing w:after="0"/>
        <w:rPr>
          <w:sz w:val="20"/>
          <w:szCs w:val="20"/>
          <w:color w:val="auto"/>
        </w:rPr>
      </w:pPr>
      <w:r>
        <w:rPr>
          <w:rFonts w:ascii="Arial" w:cs="Arial" w:eastAsia="Arial" w:hAnsi="Arial"/>
          <w:sz w:val="16"/>
          <w:szCs w:val="16"/>
          <w:b w:val="1"/>
          <w:bCs w:val="1"/>
          <w:color w:val="auto"/>
        </w:rPr>
        <w:t>3503 NW 63</w:t>
      </w:r>
      <w:r>
        <w:rPr>
          <w:rFonts w:ascii="Arial" w:cs="Arial" w:eastAsia="Arial" w:hAnsi="Arial"/>
          <w:sz w:val="21"/>
          <w:szCs w:val="21"/>
          <w:b w:val="1"/>
          <w:bCs w:val="1"/>
          <w:color w:val="auto"/>
          <w:vertAlign w:val="superscript"/>
        </w:rPr>
        <w:t>rd</w:t>
      </w:r>
      <w:r>
        <w:rPr>
          <w:rFonts w:ascii="Arial" w:cs="Arial" w:eastAsia="Arial" w:hAnsi="Arial"/>
          <w:sz w:val="16"/>
          <w:szCs w:val="16"/>
          <w:b w:val="1"/>
          <w:bCs w:val="1"/>
          <w:color w:val="auto"/>
        </w:rPr>
        <w:t xml:space="preserve"> Street, Suite 500,</w:t>
      </w:r>
    </w:p>
    <w:p>
      <w:pPr>
        <w:ind w:left="1820"/>
        <w:spacing w:after="0"/>
        <w:tabs>
          <w:tab w:leader="none" w:pos="8280" w:val="left"/>
        </w:tabs>
        <w:rPr>
          <w:sz w:val="20"/>
          <w:szCs w:val="20"/>
          <w:color w:val="auto"/>
        </w:rPr>
      </w:pPr>
      <w:r>
        <w:rPr>
          <w:rFonts w:ascii="Arial" w:cs="Arial" w:eastAsia="Arial" w:hAnsi="Arial"/>
          <w:sz w:val="16"/>
          <w:szCs w:val="16"/>
          <w:b w:val="1"/>
          <w:bCs w:val="1"/>
          <w:color w:val="auto"/>
        </w:rPr>
        <w:t>Oklahoma City, Oklahoma</w:t>
      </w:r>
      <w:r>
        <w:rPr>
          <w:sz w:val="20"/>
          <w:szCs w:val="20"/>
          <w:color w:val="auto"/>
        </w:rPr>
        <w:tab/>
      </w:r>
      <w:r>
        <w:rPr>
          <w:rFonts w:ascii="Arial" w:cs="Arial" w:eastAsia="Arial" w:hAnsi="Arial"/>
          <w:sz w:val="13"/>
          <w:szCs w:val="13"/>
          <w:b w:val="1"/>
          <w:bCs w:val="1"/>
          <w:color w:val="auto"/>
        </w:rPr>
        <w:t>73116</w:t>
      </w:r>
    </w:p>
    <w:p>
      <w:pPr>
        <w:spacing w:after="0" w:line="23" w:lineRule="exact"/>
        <w:rPr>
          <w:sz w:val="24"/>
          <w:szCs w:val="24"/>
          <w:color w:val="auto"/>
        </w:rPr>
      </w:pPr>
    </w:p>
    <w:p>
      <w:pPr>
        <w:ind w:left="1700"/>
        <w:spacing w:after="0"/>
        <w:tabs>
          <w:tab w:leader="none" w:pos="818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7"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Registrant's Telephone Number, Including Area Code: (405) 235-4546</w:t>
      </w:r>
    </w:p>
    <w:p>
      <w:pPr>
        <w:spacing w:after="0" w:line="73"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Trading Symbol(s)</w:t>
            </w:r>
          </w:p>
        </w:tc>
        <w:tc>
          <w:tcPr>
            <w:tcW w:w="4720" w:type="dxa"/>
            <w:vAlign w:val="bottom"/>
          </w:tcPr>
          <w:p>
            <w:pPr>
              <w:jc w:val="center"/>
              <w:ind w:right="25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51"/>
        </w:trPr>
        <w:tc>
          <w:tcPr>
            <w:tcW w:w="428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1"/>
              </w:rPr>
              <w:t>Common Stock, Par Value $.10</w:t>
            </w:r>
          </w:p>
        </w:tc>
        <w:tc>
          <w:tcPr>
            <w:tcW w:w="120" w:type="dxa"/>
            <w:vAlign w:val="bottom"/>
          </w:tcPr>
          <w:p>
            <w:pPr>
              <w:spacing w:after="0"/>
              <w:rPr>
                <w:sz w:val="13"/>
                <w:szCs w:val="13"/>
                <w:color w:val="auto"/>
              </w:rPr>
            </w:pPr>
          </w:p>
        </w:tc>
        <w:tc>
          <w:tcPr>
            <w:tcW w:w="168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rPr>
              <w:t>LXU</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720" w:type="dxa"/>
            <w:vAlign w:val="bottom"/>
            <w:tcBorders>
              <w:top w:val="single" w:sz="8" w:color="auto"/>
            </w:tcBorders>
          </w:tcPr>
          <w:p>
            <w:pPr>
              <w:jc w:val="center"/>
              <w:ind w:right="290"/>
              <w:spacing w:after="0" w:line="151" w:lineRule="exact"/>
              <w:rPr>
                <w:sz w:val="20"/>
                <w:szCs w:val="20"/>
                <w:color w:val="auto"/>
              </w:rPr>
            </w:pPr>
            <w:r>
              <w:rPr>
                <w:rFonts w:ascii="Arial" w:cs="Arial" w:eastAsia="Arial" w:hAnsi="Arial"/>
                <w:sz w:val="15"/>
                <w:szCs w:val="15"/>
                <w:b w:val="1"/>
                <w:bCs w:val="1"/>
                <w:color w:val="auto"/>
                <w:w w:val="91"/>
              </w:rPr>
              <w:t>New York Stock Exchange</w:t>
            </w:r>
          </w:p>
        </w:tc>
      </w:tr>
      <w:tr>
        <w:trPr>
          <w:trHeight w:val="174"/>
        </w:trPr>
        <w:tc>
          <w:tcPr>
            <w:tcW w:w="4280" w:type="dxa"/>
            <w:vAlign w:val="bottom"/>
          </w:tcPr>
          <w:p>
            <w:pPr>
              <w:jc w:val="center"/>
              <w:spacing w:after="0"/>
              <w:rPr>
                <w:sz w:val="20"/>
                <w:szCs w:val="20"/>
                <w:color w:val="auto"/>
              </w:rPr>
            </w:pPr>
            <w:r>
              <w:rPr>
                <w:rFonts w:ascii="Arial" w:cs="Arial" w:eastAsia="Arial" w:hAnsi="Arial"/>
                <w:sz w:val="15"/>
                <w:szCs w:val="15"/>
                <w:b w:val="1"/>
                <w:bCs w:val="1"/>
                <w:color w:val="auto"/>
                <w:w w:val="91"/>
              </w:rPr>
              <w:t>Preferred Stock Purchase Rights</w:t>
            </w:r>
          </w:p>
        </w:tc>
        <w:tc>
          <w:tcPr>
            <w:tcW w:w="120" w:type="dxa"/>
            <w:vAlign w:val="bottom"/>
          </w:tcPr>
          <w:p>
            <w:pPr>
              <w:spacing w:after="0"/>
              <w:rPr>
                <w:sz w:val="15"/>
                <w:szCs w:val="15"/>
                <w:color w:val="auto"/>
              </w:rPr>
            </w:pPr>
          </w:p>
        </w:tc>
        <w:tc>
          <w:tcPr>
            <w:tcW w:w="2120" w:type="dxa"/>
            <w:vAlign w:val="bottom"/>
            <w:gridSpan w:val="3"/>
          </w:tcPr>
          <w:p>
            <w:pPr>
              <w:jc w:val="center"/>
              <w:ind w:right="420"/>
              <w:spacing w:after="0"/>
              <w:rPr>
                <w:sz w:val="20"/>
                <w:szCs w:val="20"/>
                <w:color w:val="auto"/>
              </w:rPr>
            </w:pPr>
            <w:r>
              <w:rPr>
                <w:rFonts w:ascii="Arial" w:cs="Arial" w:eastAsia="Arial" w:hAnsi="Arial"/>
                <w:sz w:val="15"/>
                <w:szCs w:val="15"/>
                <w:b w:val="1"/>
                <w:bCs w:val="1"/>
                <w:color w:val="auto"/>
              </w:rPr>
              <w:t>N/A</w:t>
            </w:r>
          </w:p>
        </w:tc>
        <w:tc>
          <w:tcPr>
            <w:tcW w:w="4720" w:type="dxa"/>
            <w:vAlign w:val="bottom"/>
          </w:tcPr>
          <w:p>
            <w:pPr>
              <w:jc w:val="center"/>
              <w:ind w:right="250"/>
              <w:spacing w:after="0"/>
              <w:rPr>
                <w:sz w:val="20"/>
                <w:szCs w:val="20"/>
                <w:color w:val="auto"/>
              </w:rPr>
            </w:pPr>
            <w:r>
              <w:rPr>
                <w:rFonts w:ascii="Arial" w:cs="Arial" w:eastAsia="Arial" w:hAnsi="Arial"/>
                <w:sz w:val="15"/>
                <w:szCs w:val="15"/>
                <w:b w:val="1"/>
                <w:bCs w:val="1"/>
                <w:color w:val="auto"/>
                <w:w w:val="91"/>
              </w:rPr>
              <w:t>New York Stock Exchange</w:t>
            </w:r>
          </w:p>
        </w:tc>
      </w:tr>
      <w:tr>
        <w:trPr>
          <w:trHeight w:val="155"/>
        </w:trPr>
        <w:tc>
          <w:tcPr>
            <w:tcW w:w="428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720" w:type="dxa"/>
            <w:vAlign w:val="bottom"/>
          </w:tcPr>
          <w:p>
            <w:pPr>
              <w:spacing w:after="0"/>
              <w:rPr>
                <w:sz w:val="13"/>
                <w:szCs w:val="13"/>
                <w:color w:val="auto"/>
              </w:rPr>
            </w:pPr>
          </w:p>
        </w:tc>
      </w:tr>
      <w:tr>
        <w:trPr>
          <w:trHeight w:val="162"/>
        </w:trPr>
        <w:tc>
          <w:tcPr>
            <w:tcW w:w="6520" w:type="dxa"/>
            <w:vAlign w:val="bottom"/>
            <w:gridSpan w:val="5"/>
          </w:tcPr>
          <w:p>
            <w:pPr>
              <w:spacing w:after="0" w:line="150" w:lineRule="exact"/>
              <w:rPr>
                <w:sz w:val="20"/>
                <w:szCs w:val="20"/>
                <w:color w:val="auto"/>
              </w:rPr>
            </w:pPr>
            <w:r>
              <w:rPr>
                <w:rFonts w:ascii="Arial" w:cs="Arial" w:eastAsia="Arial" w:hAnsi="Arial"/>
                <w:sz w:val="13"/>
                <w:szCs w:val="13"/>
                <w:color w:val="auto"/>
                <w:w w:val="89"/>
              </w:rPr>
              <w:t xml:space="preserve">Indicate by check mark if the Registrant is a well-known seasoned issuer, as defined in Rule 405 of the Securities Act.  </w:t>
            </w: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Yes</w:t>
            </w:r>
          </w:p>
        </w:tc>
        <w:tc>
          <w:tcPr>
            <w:tcW w:w="472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r>
      <w:tr>
        <w:trPr>
          <w:trHeight w:val="183"/>
        </w:trPr>
        <w:tc>
          <w:tcPr>
            <w:tcW w:w="6520" w:type="dxa"/>
            <w:vAlign w:val="bottom"/>
            <w:gridSpan w:val="5"/>
          </w:tcPr>
          <w:p>
            <w:pPr>
              <w:spacing w:after="0" w:line="150" w:lineRule="exact"/>
              <w:rPr>
                <w:sz w:val="20"/>
                <w:szCs w:val="20"/>
                <w:color w:val="auto"/>
              </w:rPr>
            </w:pPr>
            <w:r>
              <w:rPr>
                <w:rFonts w:ascii="Arial" w:cs="Arial" w:eastAsia="Arial" w:hAnsi="Arial"/>
                <w:sz w:val="13"/>
                <w:szCs w:val="13"/>
                <w:color w:val="auto"/>
                <w:w w:val="89"/>
              </w:rPr>
              <w:t xml:space="preserve">Indicate by check mark if the Registrant is not required to file reports pursuant to Section 13 or Section 15(d) of the Act. </w:t>
            </w: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Yes</w:t>
            </w:r>
          </w:p>
        </w:tc>
        <w:tc>
          <w:tcPr>
            <w:tcW w:w="4720" w:type="dxa"/>
            <w:vAlign w:val="bottom"/>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r>
    </w:tbl>
    <w:p>
      <w:pPr>
        <w:jc w:val="both"/>
        <w:spacing w:after="0" w:line="15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jc w:val="both"/>
        <w:ind w:right="20"/>
        <w:spacing w:after="0" w:line="14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jc w:val="both"/>
        <w:spacing w:after="0" w:line="22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38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12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960" w:type="dxa"/>
            <w:vAlign w:val="bottom"/>
          </w:tcPr>
          <w:p>
            <w:pPr>
              <w:ind w:left="3120"/>
              <w:spacing w:after="0"/>
              <w:rPr>
                <w:sz w:val="20"/>
                <w:szCs w:val="20"/>
                <w:color w:val="auto"/>
              </w:rPr>
            </w:pPr>
            <w:r>
              <w:rPr>
                <w:rFonts w:ascii="Arial" w:cs="Arial" w:eastAsia="Arial" w:hAnsi="Arial"/>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340"/>
        <w:spacing w:after="0" w:line="14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4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r>
        <w:rPr>
          <w:rFonts w:ascii="Arial" w:cs="Arial" w:eastAsia="Arial" w:hAnsi="Arial"/>
          <w:sz w:val="13"/>
          <w:szCs w:val="13"/>
          <w:color w:val="auto"/>
        </w:rPr>
        <w:t xml:space="preserve"> Yes No</w:t>
      </w:r>
    </w:p>
    <w:p>
      <w:pPr>
        <w:ind w:right="260"/>
        <w:spacing w:after="0" w:line="14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50" w:lineRule="exact"/>
        <w:tabs>
          <w:tab w:leader="none" w:pos="5480" w:val="left"/>
          <w:tab w:leader="none" w:pos="596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w:t>
      </w:r>
    </w:p>
    <w:p>
      <w:pPr>
        <w:spacing w:after="0" w:line="3" w:lineRule="exact"/>
        <w:rPr>
          <w:sz w:val="24"/>
          <w:szCs w:val="24"/>
          <w:color w:val="auto"/>
        </w:rPr>
      </w:pPr>
    </w:p>
    <w:p>
      <w:pPr>
        <w:jc w:val="both"/>
        <w:spacing w:after="0" w:line="234" w:lineRule="auto"/>
        <w:rPr>
          <w:sz w:val="20"/>
          <w:szCs w:val="20"/>
          <w:color w:val="auto"/>
        </w:rPr>
      </w:pPr>
      <w:r>
        <w:rPr>
          <w:rFonts w:ascii="Arial" w:cs="Arial" w:eastAsia="Arial" w:hAnsi="Arial"/>
          <w:sz w:val="12"/>
          <w:szCs w:val="12"/>
          <w:color w:val="auto"/>
        </w:rPr>
        <w:t>The aggregate market value of the Registrant’s voting common equity held by non-affiliates of the Registrant, computed by reference to the price at which the voting common stock was last sold as of June 30, 2022, was approximately $426 million. As a result, the Registrant is an accelerated filer as of December 31, 2022. For purposes of this computation, shares of the Registrant’s common stock beneficially owned by each executive officer and director of the Registrant and LSB Funding LLC were deemed to be owned by affiliates of the Registrant as of June 30, 2022. Such determination should not be deemed an admission that such executive officers, directors or entity of our common stock are, in fact, affiliates of the Registrant or affiliates as of the date of this Form 10-K.</w:t>
      </w:r>
    </w:p>
    <w:p>
      <w:pPr>
        <w:jc w:val="center"/>
        <w:ind w:right="20"/>
        <w:spacing w:after="0" w:line="223" w:lineRule="auto"/>
        <w:rPr>
          <w:sz w:val="20"/>
          <w:szCs w:val="20"/>
          <w:color w:val="auto"/>
        </w:rPr>
      </w:pPr>
      <w:r>
        <w:rPr>
          <w:rFonts w:ascii="Arial" w:cs="Arial" w:eastAsia="Arial" w:hAnsi="Arial"/>
          <w:sz w:val="13"/>
          <w:szCs w:val="13"/>
          <w:color w:val="auto"/>
        </w:rPr>
        <w:t>As of February 17, 2023, the Registrant had 76,129,079 shares of common stock outstanding.</w:t>
      </w:r>
    </w:p>
    <w:p>
      <w:pPr>
        <w:jc w:val="center"/>
        <w:spacing w:after="0" w:line="221" w:lineRule="auto"/>
        <w:rPr>
          <w:sz w:val="20"/>
          <w:szCs w:val="20"/>
          <w:color w:val="auto"/>
        </w:rPr>
      </w:pPr>
      <w:r>
        <w:rPr>
          <w:rFonts w:ascii="Arial" w:cs="Arial" w:eastAsia="Arial" w:hAnsi="Arial"/>
          <w:sz w:val="15"/>
          <w:szCs w:val="15"/>
          <w:color w:val="auto"/>
        </w:rPr>
        <w:t>DOCUMENTS INCORPORATED BY REFERENCE</w:t>
      </w:r>
    </w:p>
    <w:p>
      <w:pPr>
        <w:jc w:val="both"/>
        <w:spacing w:after="0" w:line="227" w:lineRule="auto"/>
        <w:rPr>
          <w:sz w:val="20"/>
          <w:szCs w:val="20"/>
          <w:color w:val="auto"/>
        </w:rPr>
      </w:pPr>
      <w:r>
        <w:rPr>
          <w:rFonts w:ascii="Arial" w:cs="Arial" w:eastAsia="Arial" w:hAnsi="Arial"/>
          <w:sz w:val="13"/>
          <w:szCs w:val="13"/>
          <w:color w:val="auto"/>
        </w:rPr>
        <w:t>Portions of the Registrant’s proxy statement for its annual meeting of stockholders will be filed with the Securities and Exchange Commission within 120 days after the end of its 2022 fiscal year, are incorporated by reference in Part III.</w:t>
      </w:r>
    </w:p>
    <w:p>
      <w:pPr>
        <w:spacing w:after="0" w:line="125" w:lineRule="exact"/>
        <w:rPr>
          <w:sz w:val="24"/>
          <w:szCs w:val="24"/>
          <w:color w:val="auto"/>
        </w:rPr>
      </w:pPr>
    </w:p>
    <w:p>
      <w:pPr>
        <w:ind w:left="100"/>
        <w:spacing w:after="0"/>
        <w:tabs>
          <w:tab w:leader="none" w:pos="1480" w:val="left"/>
          <w:tab w:leader="none" w:pos="3340" w:val="left"/>
          <w:tab w:leader="none" w:pos="4720" w:val="left"/>
          <w:tab w:leader="none" w:pos="6960" w:val="left"/>
          <w:tab w:leader="none" w:pos="8460" w:val="left"/>
        </w:tabs>
        <w:rPr>
          <w:sz w:val="20"/>
          <w:szCs w:val="20"/>
          <w:color w:val="auto"/>
        </w:rPr>
      </w:pPr>
      <w:r>
        <w:rPr>
          <w:rFonts w:ascii="Arial" w:cs="Arial" w:eastAsia="Arial" w:hAnsi="Arial"/>
          <w:sz w:val="13"/>
          <w:szCs w:val="13"/>
          <w:color w:val="auto"/>
        </w:rPr>
        <w:t>Auditor Firm Id:</w:t>
      </w:r>
      <w:r>
        <w:rPr>
          <w:sz w:val="20"/>
          <w:szCs w:val="20"/>
          <w:color w:val="auto"/>
        </w:rPr>
        <w:tab/>
      </w:r>
      <w:r>
        <w:rPr>
          <w:rFonts w:ascii="Arial" w:cs="Arial" w:eastAsia="Arial" w:hAnsi="Arial"/>
          <w:sz w:val="13"/>
          <w:szCs w:val="13"/>
          <w:color w:val="auto"/>
        </w:rPr>
        <w:t>00042</w:t>
      </w:r>
      <w:r>
        <w:rPr>
          <w:sz w:val="20"/>
          <w:szCs w:val="20"/>
          <w:color w:val="auto"/>
        </w:rPr>
        <w:tab/>
      </w:r>
      <w:r>
        <w:rPr>
          <w:rFonts w:ascii="Arial" w:cs="Arial" w:eastAsia="Arial" w:hAnsi="Arial"/>
          <w:sz w:val="13"/>
          <w:szCs w:val="13"/>
          <w:color w:val="auto"/>
        </w:rPr>
        <w:t>Auditor Name:</w:t>
      </w:r>
      <w:r>
        <w:rPr>
          <w:sz w:val="20"/>
          <w:szCs w:val="20"/>
          <w:color w:val="auto"/>
        </w:rPr>
        <w:tab/>
      </w:r>
      <w:r>
        <w:rPr>
          <w:rFonts w:ascii="Arial" w:cs="Arial" w:eastAsia="Arial" w:hAnsi="Arial"/>
          <w:sz w:val="13"/>
          <w:szCs w:val="13"/>
          <w:color w:val="auto"/>
        </w:rPr>
        <w:t>Ernst &amp; Young LLP</w:t>
      </w:r>
      <w:r>
        <w:rPr>
          <w:sz w:val="20"/>
          <w:szCs w:val="20"/>
          <w:color w:val="auto"/>
        </w:rPr>
        <w:tab/>
      </w:r>
      <w:r>
        <w:rPr>
          <w:rFonts w:ascii="Arial" w:cs="Arial" w:eastAsia="Arial" w:hAnsi="Arial"/>
          <w:sz w:val="13"/>
          <w:szCs w:val="13"/>
          <w:color w:val="auto"/>
        </w:rPr>
        <w:t>Auditor Location:</w:t>
      </w:r>
      <w:r>
        <w:rPr>
          <w:sz w:val="20"/>
          <w:szCs w:val="20"/>
          <w:color w:val="auto"/>
        </w:rPr>
        <w:tab/>
      </w:r>
      <w:r>
        <w:rPr>
          <w:rFonts w:ascii="Arial" w:cs="Arial" w:eastAsia="Arial" w:hAnsi="Arial"/>
          <w:sz w:val="10"/>
          <w:szCs w:val="10"/>
          <w:color w:val="auto"/>
        </w:rPr>
        <w:t>Oklahoma City, OK,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Page</w:t>
            </w:r>
          </w:p>
        </w:tc>
      </w:tr>
      <w:tr>
        <w:trPr>
          <w:trHeight w:val="182"/>
        </w:trPr>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bottom w:val="single" w:sz="8" w:color="0000FF"/>
            </w:tcBorders>
          </w:tcPr>
          <w:p>
            <w:pPr>
              <w:jc w:val="center"/>
              <w:spacing w:after="0" w:line="182" w:lineRule="exact"/>
              <w:rPr>
                <w:sz w:val="20"/>
                <w:szCs w:val="20"/>
                <w:color w:val="auto"/>
              </w:rPr>
            </w:pPr>
            <w:r>
              <w:rPr>
                <w:rFonts w:ascii="Arial" w:cs="Arial" w:eastAsia="Arial" w:hAnsi="Arial"/>
                <w:sz w:val="18"/>
                <w:szCs w:val="18"/>
                <w:color w:val="0000FF"/>
                <w:w w:val="92"/>
              </w:rPr>
              <w:t>PART I</w:t>
            </w:r>
          </w:p>
        </w:tc>
        <w:tc>
          <w:tcPr>
            <w:tcW w:w="448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1.</w:t>
            </w:r>
          </w:p>
        </w:tc>
        <w:tc>
          <w:tcPr>
            <w:tcW w:w="9420" w:type="dxa"/>
            <w:vAlign w:val="bottom"/>
            <w:gridSpan w:val="24"/>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1A.</w:t>
            </w:r>
          </w:p>
        </w:tc>
        <w:tc>
          <w:tcPr>
            <w:tcW w:w="942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1B.</w:t>
            </w:r>
          </w:p>
        </w:tc>
        <w:tc>
          <w:tcPr>
            <w:tcW w:w="942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top w:val="single" w:sz="8" w:color="0000FF"/>
              <w:bottom w:val="single" w:sz="8" w:color="0000EE"/>
            </w:tcBorders>
          </w:tcPr>
          <w:p>
            <w:pPr>
              <w:spacing w:after="0"/>
              <w:rPr>
                <w:sz w:val="24"/>
                <w:szCs w:val="24"/>
                <w:color w:val="auto"/>
              </w:rPr>
            </w:pPr>
          </w:p>
        </w:tc>
        <w:tc>
          <w:tcPr>
            <w:tcW w:w="1280" w:type="dxa"/>
            <w:vAlign w:val="bottom"/>
            <w:tcBorders>
              <w:top w:val="single" w:sz="8" w:color="0000FF"/>
            </w:tcBorders>
            <w:gridSpan w:val="8"/>
          </w:tcPr>
          <w:p>
            <w:pPr>
              <w:spacing w:after="0"/>
              <w:rPr>
                <w:sz w:val="24"/>
                <w:szCs w:val="24"/>
                <w:color w:val="auto"/>
              </w:rPr>
            </w:pPr>
          </w:p>
        </w:tc>
        <w:tc>
          <w:tcPr>
            <w:tcW w:w="738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24"/>
                <w:szCs w:val="24"/>
                <w:color w:val="auto"/>
              </w:rPr>
            </w:pPr>
          </w:p>
        </w:tc>
        <w:tc>
          <w:tcPr>
            <w:tcW w:w="80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4.</w:t>
            </w:r>
          </w:p>
        </w:tc>
        <w:tc>
          <w:tcPr>
            <w:tcW w:w="942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1"/>
        </w:trPr>
        <w:tc>
          <w:tcPr>
            <w:tcW w:w="10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gridSpan w:val="8"/>
          </w:tcPr>
          <w:p>
            <w:pPr>
              <w:jc w:val="center"/>
              <w:ind w:right="4480"/>
              <w:spacing w:after="0"/>
              <w:rPr>
                <w:sz w:val="20"/>
                <w:szCs w:val="20"/>
                <w:color w:val="auto"/>
              </w:rPr>
            </w:pPr>
            <w:r>
              <w:rPr>
                <w:rFonts w:ascii="Arial" w:cs="Arial" w:eastAsia="Arial" w:hAnsi="Arial"/>
                <w:sz w:val="18"/>
                <w:szCs w:val="18"/>
                <w:color w:val="0000FF"/>
                <w:w w:val="88"/>
              </w:rPr>
              <w:t>PART II</w:t>
            </w:r>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6.</w:t>
            </w:r>
          </w:p>
        </w:tc>
        <w:tc>
          <w:tcPr>
            <w:tcW w:w="1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3"/>
              </w:rPr>
              <w:t>[RESERVED]</w:t>
            </w:r>
          </w:p>
        </w:tc>
        <w:tc>
          <w:tcPr>
            <w:tcW w:w="20" w:type="dxa"/>
            <w:vAlign w:val="bottom"/>
            <w:tcBorders>
              <w:bottom w:val="single" w:sz="8" w:color="0000EE"/>
            </w:tcBorders>
          </w:tcPr>
          <w:p>
            <w:pPr>
              <w:spacing w:after="0"/>
              <w:rPr>
                <w:sz w:val="24"/>
                <w:szCs w:val="24"/>
                <w:color w:val="auto"/>
              </w:rPr>
            </w:pPr>
          </w:p>
        </w:tc>
        <w:tc>
          <w:tcPr>
            <w:tcW w:w="836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8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7A.</w:t>
            </w:r>
          </w:p>
        </w:tc>
        <w:tc>
          <w:tcPr>
            <w:tcW w:w="43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04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8.</w:t>
            </w:r>
          </w:p>
        </w:tc>
        <w:tc>
          <w:tcPr>
            <w:tcW w:w="9420" w:type="dxa"/>
            <w:vAlign w:val="bottom"/>
            <w:gridSpan w:val="24"/>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04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94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76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bottom w:val="single" w:sz="8" w:color="0000EE"/>
            </w:tcBorders>
          </w:tcPr>
          <w:p>
            <w:pPr>
              <w:spacing w:after="0"/>
              <w:rPr>
                <w:sz w:val="24"/>
                <w:szCs w:val="24"/>
                <w:color w:val="auto"/>
              </w:rPr>
            </w:pPr>
          </w:p>
        </w:tc>
        <w:tc>
          <w:tcPr>
            <w:tcW w:w="80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9C.</w:t>
            </w:r>
          </w:p>
        </w:tc>
        <w:tc>
          <w:tcPr>
            <w:tcW w:w="49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48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1"/>
        </w:trPr>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6"/>
              </w:rPr>
              <w:t>PART III</w:t>
            </w:r>
          </w:p>
        </w:tc>
        <w:tc>
          <w:tcPr>
            <w:tcW w:w="20" w:type="dxa"/>
            <w:vAlign w:val="bottom"/>
            <w:tcBorders>
              <w:bottom w:val="single" w:sz="8" w:color="0000EE"/>
            </w:tcBorders>
          </w:tcPr>
          <w:p>
            <w:pPr>
              <w:spacing w:after="0"/>
              <w:rPr>
                <w:sz w:val="24"/>
                <w:szCs w:val="24"/>
                <w:color w:val="auto"/>
              </w:rPr>
            </w:pPr>
          </w:p>
        </w:tc>
        <w:tc>
          <w:tcPr>
            <w:tcW w:w="44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371"/>
        </w:trPr>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10"/>
          </w:tcPr>
          <w:p>
            <w:pPr>
              <w:jc w:val="center"/>
              <w:ind w:right="3700"/>
              <w:spacing w:after="0"/>
              <w:rPr>
                <w:sz w:val="20"/>
                <w:szCs w:val="20"/>
                <w:color w:val="auto"/>
              </w:rPr>
            </w:pPr>
            <w:r>
              <w:rPr>
                <w:rFonts w:ascii="Arial" w:cs="Arial" w:eastAsia="Arial" w:hAnsi="Arial"/>
                <w:sz w:val="18"/>
                <w:szCs w:val="18"/>
                <w:color w:val="0000FF"/>
                <w:w w:val="88"/>
              </w:rPr>
              <w:t>(Items 10, 11, 12, 13, and 14)</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04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05"/>
        </w:trPr>
        <w:tc>
          <w:tcPr>
            <w:tcW w:w="1040" w:type="dxa"/>
            <w:vAlign w:val="bottom"/>
          </w:tcPr>
          <w:p>
            <w:pPr>
              <w:spacing w:after="0"/>
              <w:rPr>
                <w:sz w:val="24"/>
                <w:szCs w:val="24"/>
                <w:color w:val="auto"/>
              </w:rPr>
            </w:pPr>
          </w:p>
        </w:tc>
        <w:tc>
          <w:tcPr>
            <w:tcW w:w="9420" w:type="dxa"/>
            <w:vAlign w:val="bottom"/>
            <w:gridSpan w:val="24"/>
          </w:tcPr>
          <w:p>
            <w:pPr>
              <w:spacing w:after="0"/>
              <w:rPr>
                <w:sz w:val="20"/>
                <w:szCs w:val="20"/>
                <w:color w:val="auto"/>
              </w:rPr>
            </w:pPr>
            <w:r>
              <w:rPr>
                <w:rFonts w:ascii="Arial" w:cs="Arial" w:eastAsia="Arial" w:hAnsi="Arial"/>
                <w:sz w:val="18"/>
                <w:szCs w:val="18"/>
                <w:color w:val="auto"/>
                <w:w w:val="94"/>
              </w:rPr>
              <w:t>The information required by Part III, shall be incorporated by reference from our definitive proxy statement to be filed pursuant</w:t>
            </w:r>
          </w:p>
        </w:tc>
        <w:tc>
          <w:tcPr>
            <w:tcW w:w="78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9420" w:type="dxa"/>
            <w:vAlign w:val="bottom"/>
            <w:gridSpan w:val="24"/>
          </w:tcPr>
          <w:p>
            <w:pPr>
              <w:spacing w:after="0"/>
              <w:rPr>
                <w:sz w:val="20"/>
                <w:szCs w:val="20"/>
                <w:color w:val="auto"/>
              </w:rPr>
            </w:pPr>
            <w:r>
              <w:rPr>
                <w:rFonts w:ascii="Arial" w:cs="Arial" w:eastAsia="Arial" w:hAnsi="Arial"/>
                <w:sz w:val="18"/>
                <w:szCs w:val="18"/>
                <w:color w:val="auto"/>
              </w:rPr>
              <w:t>to Regulation 14A which involves the election of directors that we expect to be filed with the Securities and Exchange</w:t>
            </w:r>
          </w:p>
        </w:tc>
        <w:tc>
          <w:tcPr>
            <w:tcW w:w="78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9420" w:type="dxa"/>
            <w:vAlign w:val="bottom"/>
            <w:gridSpan w:val="24"/>
          </w:tcPr>
          <w:p>
            <w:pPr>
              <w:spacing w:after="0"/>
              <w:rPr>
                <w:sz w:val="20"/>
                <w:szCs w:val="20"/>
                <w:color w:val="auto"/>
              </w:rPr>
            </w:pPr>
            <w:r>
              <w:rPr>
                <w:rFonts w:ascii="Arial" w:cs="Arial" w:eastAsia="Arial" w:hAnsi="Arial"/>
                <w:sz w:val="18"/>
                <w:szCs w:val="18"/>
                <w:color w:val="auto"/>
              </w:rPr>
              <w:t>Commission not later than 120 days after the end of its 2022 fiscal year covered by this report.</w:t>
            </w:r>
          </w:p>
        </w:tc>
        <w:tc>
          <w:tcPr>
            <w:tcW w:w="780" w:type="dxa"/>
            <w:vAlign w:val="bottom"/>
          </w:tcPr>
          <w:p>
            <w:pPr>
              <w:spacing w:after="0"/>
              <w:rPr>
                <w:sz w:val="20"/>
                <w:szCs w:val="20"/>
                <w:color w:val="auto"/>
              </w:rPr>
            </w:pPr>
          </w:p>
        </w:tc>
      </w:tr>
      <w:tr>
        <w:trPr>
          <w:trHeight w:val="351"/>
        </w:trPr>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8"/>
                <w:szCs w:val="18"/>
                <w:color w:val="0000FF"/>
                <w:w w:val="94"/>
              </w:rPr>
              <w:t>PART IV</w:t>
            </w:r>
          </w:p>
        </w:tc>
        <w:tc>
          <w:tcPr>
            <w:tcW w:w="44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Item 15.</w:t>
            </w:r>
          </w:p>
        </w:tc>
        <w:tc>
          <w:tcPr>
            <w:tcW w:w="9420" w:type="dxa"/>
            <w:vAlign w:val="bottom"/>
            <w:gridSpan w:val="24"/>
          </w:tcPr>
          <w:p>
            <w:pPr>
              <w:spacing w:after="0"/>
              <w:rPr>
                <w:sz w:val="20"/>
                <w:szCs w:val="20"/>
                <w:color w:val="auto"/>
              </w:rPr>
            </w:pPr>
            <w:r>
              <w:rPr>
                <w:rFonts w:ascii="Arial" w:cs="Arial" w:eastAsia="Arial" w:hAnsi="Arial"/>
                <w:sz w:val="18"/>
                <w:szCs w:val="18"/>
                <w:color w:val="0000FF"/>
              </w:rPr>
              <w:t>Exhibits and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81"/>
        </w:trPr>
        <w:tc>
          <w:tcPr>
            <w:tcW w:w="1040" w:type="dxa"/>
            <w:vAlign w:val="bottom"/>
          </w:tcPr>
          <w:p>
            <w:pPr>
              <w:spacing w:after="0"/>
              <w:rPr>
                <w:sz w:val="24"/>
                <w:szCs w:val="24"/>
                <w:color w:val="auto"/>
              </w:rPr>
            </w:pPr>
          </w:p>
        </w:tc>
        <w:tc>
          <w:tcPr>
            <w:tcW w:w="3160" w:type="dxa"/>
            <w:vAlign w:val="bottom"/>
            <w:tcBorders>
              <w:top w:val="single" w:sz="8" w:color="0000FF"/>
            </w:tcBorders>
            <w:gridSpan w:val="12"/>
          </w:tcPr>
          <w:p>
            <w:pPr>
              <w:spacing w:after="0"/>
              <w:rPr>
                <w:sz w:val="24"/>
                <w:szCs w:val="24"/>
                <w:color w:val="auto"/>
              </w:rPr>
            </w:pPr>
          </w:p>
        </w:tc>
        <w:tc>
          <w:tcPr>
            <w:tcW w:w="1780" w:type="dxa"/>
            <w:vAlign w:val="bottom"/>
            <w:gridSpan w:val="5"/>
          </w:tcPr>
          <w:p>
            <w:pPr>
              <w:jc w:val="right"/>
              <w:ind w:right="2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was formed in 1968 as an Oklahoma corporation and became a Delaware corporation in 1977. We manufacture and market chemical products for the agricultural, industrial and mining markets. We own and operate three multi plant facilities in El Dorado, Arkansas (the “El Dorado Facility”), Cherokee, Alabama (the “Cherokee Facility”), and Pryor, Oklahoma (the “Pryor Facility”), and we operate a facility on behalf of Covestro LLC (“Covestro”) in Baytown, Texas (the “Baytown Facility”). Our products are sold through distributors and directly to end customers throughout the United States and parts of Mexico, Canada and the Caribbean.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manufactures products for three principal markets:</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Agricultural Markets: </w:t>
      </w:r>
      <w:r>
        <w:rPr>
          <w:rFonts w:ascii="Arial" w:cs="Arial" w:eastAsia="Arial" w:hAnsi="Arial"/>
          <w:sz w:val="18"/>
          <w:szCs w:val="18"/>
          <w:color w:val="auto"/>
        </w:rPr>
        <w:t>ammonia, fertilizer grade ammonium nitrate (“AN” and “HDAN”) and urea ammonia nitrate (“UAN”);</w:t>
      </w:r>
    </w:p>
    <w:p>
      <w:pPr>
        <w:spacing w:after="0" w:line="116"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Markets: </w:t>
      </w:r>
      <w:r>
        <w:rPr>
          <w:rFonts w:ascii="Arial" w:cs="Arial" w:eastAsia="Arial" w:hAnsi="Arial"/>
          <w:sz w:val="18"/>
          <w:szCs w:val="18"/>
          <w:color w:val="auto"/>
        </w:rPr>
        <w:t>high purity and commercial grade ammonia, high purity AN, sulfuric acids, concentrated, blended and regular nitric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acid, mixed nitrating acids, carbon dioxide, and diesel exhaust fluid (“DEF”);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Mining Markets: </w:t>
      </w:r>
      <w:r>
        <w:rPr>
          <w:rFonts w:ascii="Arial" w:cs="Arial" w:eastAsia="Arial" w:hAnsi="Arial"/>
          <w:sz w:val="18"/>
          <w:szCs w:val="18"/>
          <w:color w:val="auto"/>
        </w:rPr>
        <w:t>industrial grade AN (“LDAN”) and AN solutions.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products we manufacture at our facilities are primarily derived from natural gas (a raw material feedstock).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highlights representative products and applications in each of our end markets.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660" w:type="dxa"/>
            <w:vAlign w:val="bottom"/>
            <w:tcBorders>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End Market</w:t>
            </w:r>
          </w:p>
        </w:tc>
        <w:tc>
          <w:tcPr>
            <w:tcW w:w="23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Products</w:t>
            </w:r>
          </w:p>
        </w:tc>
        <w:tc>
          <w:tcPr>
            <w:tcW w:w="29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Applications</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1660" w:type="dxa"/>
            <w:vAlign w:val="bottom"/>
            <w:tcBorders>
              <w:right w:val="single" w:sz="8" w:color="auto"/>
            </w:tcBorders>
          </w:tcPr>
          <w:p>
            <w:pPr>
              <w:spacing w:after="0"/>
              <w:rPr>
                <w:sz w:val="3"/>
                <w:szCs w:val="3"/>
                <w:color w:val="auto"/>
              </w:rPr>
            </w:pPr>
          </w:p>
        </w:tc>
        <w:tc>
          <w:tcPr>
            <w:tcW w:w="2640" w:type="dxa"/>
            <w:vAlign w:val="bottom"/>
            <w:tcBorders>
              <w:top w:val="single" w:sz="8" w:color="auto"/>
              <w:bottom w:val="single" w:sz="8" w:color="auto"/>
              <w:right w:val="single" w:sz="8" w:color="auto"/>
            </w:tcBorders>
          </w:tcPr>
          <w:p>
            <w:pPr>
              <w:spacing w:after="0"/>
              <w:rPr>
                <w:sz w:val="3"/>
                <w:szCs w:val="3"/>
                <w:color w:val="auto"/>
              </w:rPr>
            </w:pPr>
          </w:p>
        </w:tc>
        <w:tc>
          <w:tcPr>
            <w:tcW w:w="2340" w:type="dxa"/>
            <w:vAlign w:val="bottom"/>
            <w:tcBorders>
              <w:top w:val="single" w:sz="8" w:color="auto"/>
              <w:bottom w:val="single" w:sz="8" w:color="auto"/>
              <w:right w:val="single" w:sz="8" w:color="auto"/>
            </w:tcBorders>
          </w:tcPr>
          <w:p>
            <w:pPr>
              <w:spacing w:after="0"/>
              <w:rPr>
                <w:sz w:val="3"/>
                <w:szCs w:val="3"/>
                <w:color w:val="auto"/>
              </w:rPr>
            </w:pPr>
          </w:p>
        </w:tc>
        <w:tc>
          <w:tcPr>
            <w:tcW w:w="298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660" w:type="dxa"/>
            <w:vAlign w:val="bottom"/>
            <w:tcBorders>
              <w:right w:val="single" w:sz="8" w:color="auto"/>
            </w:tcBorders>
          </w:tcPr>
          <w:p>
            <w:pPr>
              <w:spacing w:after="0"/>
              <w:rPr>
                <w:sz w:val="15"/>
                <w:szCs w:val="15"/>
                <w:color w:val="auto"/>
              </w:rPr>
            </w:pPr>
          </w:p>
        </w:tc>
        <w:tc>
          <w:tcPr>
            <w:tcW w:w="2640" w:type="dxa"/>
            <w:vAlign w:val="bottom"/>
            <w:tcBorders>
              <w:top w:val="single" w:sz="8" w:color="CFF0FC"/>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Agricultural</w:t>
            </w:r>
          </w:p>
        </w:tc>
        <w:tc>
          <w:tcPr>
            <w:tcW w:w="2340" w:type="dxa"/>
            <w:vAlign w:val="bottom"/>
            <w:tcBorders>
              <w:top w:val="single" w:sz="8" w:color="CFF0FC"/>
              <w:right w:val="single" w:sz="8" w:color="auto"/>
            </w:tcBorders>
            <w:shd w:val="clear" w:color="auto" w:fill="CFF0FC"/>
          </w:tcPr>
          <w:p>
            <w:pPr>
              <w:spacing w:after="0"/>
              <w:rPr>
                <w:sz w:val="15"/>
                <w:szCs w:val="15"/>
                <w:color w:val="auto"/>
              </w:rPr>
            </w:pPr>
          </w:p>
        </w:tc>
        <w:tc>
          <w:tcPr>
            <w:tcW w:w="2980" w:type="dxa"/>
            <w:vAlign w:val="bottom"/>
            <w:tcBorders>
              <w:top w:val="single" w:sz="8" w:color="CFF0FC"/>
              <w:right w:val="single" w:sz="8" w:color="auto"/>
            </w:tcBorders>
            <w:shd w:val="clear" w:color="auto" w:fill="CFF0FC"/>
          </w:tcPr>
          <w:p>
            <w:pPr>
              <w:ind w:left="100"/>
              <w:spacing w:after="0" w:line="176" w:lineRule="exact"/>
              <w:rPr>
                <w:sz w:val="20"/>
                <w:szCs w:val="20"/>
                <w:color w:val="auto"/>
              </w:rPr>
            </w:pPr>
            <w:r>
              <w:rPr>
                <w:rFonts w:ascii="Arial" w:cs="Arial" w:eastAsia="Arial" w:hAnsi="Arial"/>
                <w:sz w:val="18"/>
                <w:szCs w:val="18"/>
                <w:color w:val="auto"/>
              </w:rPr>
              <w:t>Fertilizer and fertilizer blends for</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continue"/>
            <w:shd w:val="clear" w:color="auto" w:fill="CFF0FC"/>
          </w:tcPr>
          <w:p>
            <w:pPr>
              <w:spacing w:after="0"/>
              <w:rPr>
                <w:sz w:val="18"/>
                <w:szCs w:val="18"/>
                <w:color w:val="auto"/>
              </w:rPr>
            </w:pPr>
          </w:p>
        </w:tc>
        <w:tc>
          <w:tcPr>
            <w:tcW w:w="23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UAN, HDAN and ammonia</w:t>
            </w:r>
          </w:p>
        </w:tc>
        <w:tc>
          <w:tcPr>
            <w:tcW w:w="2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corn and other crops; NPK fertilizer</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shd w:val="clear" w:color="auto" w:fill="CFF0FC"/>
          </w:tcPr>
          <w:p>
            <w:pPr>
              <w:spacing w:after="0"/>
              <w:rPr>
                <w:sz w:val="20"/>
                <w:szCs w:val="20"/>
                <w:color w:val="auto"/>
              </w:rPr>
            </w:pPr>
          </w:p>
        </w:tc>
        <w:tc>
          <w:tcPr>
            <w:tcW w:w="2340" w:type="dxa"/>
            <w:vAlign w:val="bottom"/>
            <w:tcBorders>
              <w:right w:val="single" w:sz="8" w:color="auto"/>
            </w:tcBorders>
            <w:shd w:val="clear" w:color="auto" w:fill="CFF0FC"/>
          </w:tcPr>
          <w:p>
            <w:pPr>
              <w:spacing w:after="0"/>
              <w:rPr>
                <w:sz w:val="20"/>
                <w:szCs w:val="20"/>
                <w:color w:val="auto"/>
              </w:rPr>
            </w:pPr>
          </w:p>
        </w:tc>
        <w:tc>
          <w:tcPr>
            <w:tcW w:w="2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blends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shd w:val="clear" w:color="auto" w:fill="CFF0FC"/>
          </w:tcPr>
          <w:p>
            <w:pPr>
              <w:spacing w:after="0"/>
              <w:rPr>
                <w:sz w:val="14"/>
                <w:szCs w:val="14"/>
                <w:color w:val="auto"/>
              </w:rPr>
            </w:pPr>
          </w:p>
        </w:tc>
        <w:tc>
          <w:tcPr>
            <w:tcW w:w="2340" w:type="dxa"/>
            <w:vAlign w:val="bottom"/>
            <w:tcBorders>
              <w:bottom w:val="single" w:sz="8" w:color="auto"/>
              <w:right w:val="single" w:sz="8" w:color="auto"/>
            </w:tcBorders>
            <w:shd w:val="clear" w:color="auto" w:fill="CFF0FC"/>
          </w:tcPr>
          <w:p>
            <w:pPr>
              <w:spacing w:after="0"/>
              <w:rPr>
                <w:sz w:val="14"/>
                <w:szCs w:val="14"/>
                <w:color w:val="auto"/>
              </w:rPr>
            </w:pPr>
          </w:p>
        </w:tc>
        <w:tc>
          <w:tcPr>
            <w:tcW w:w="2980" w:type="dxa"/>
            <w:vAlign w:val="bottom"/>
            <w:tcBorders>
              <w:bottom w:val="single" w:sz="8" w:color="auto"/>
              <w:right w:val="single" w:sz="8" w:color="auto"/>
            </w:tcBorders>
            <w:shd w:val="clear" w:color="auto" w:fill="CFF0FC"/>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Semi-conductor and polyurethane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intermediates, ordnance; Pulp and</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paper, alum, water treatment, metals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Nitric acid, ammonia,</w:t>
            </w: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vanadium processing; Power</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6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Industrial</w:t>
            </w:r>
          </w:p>
        </w:tc>
        <w:tc>
          <w:tcPr>
            <w:tcW w:w="234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18"/>
                <w:szCs w:val="18"/>
                <w:color w:val="auto"/>
              </w:rPr>
              <w:t>sulfuric acid, and DEF,</w:t>
            </w:r>
          </w:p>
        </w:tc>
        <w:tc>
          <w:tcPr>
            <w:tcW w:w="298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18"/>
                <w:szCs w:val="18"/>
                <w:color w:val="auto"/>
              </w:rPr>
              <w:t>plant emissions abatement, water</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660" w:type="dxa"/>
            <w:vAlign w:val="bottom"/>
            <w:tcBorders>
              <w:right w:val="single" w:sz="8" w:color="auto"/>
            </w:tcBorders>
          </w:tcPr>
          <w:p>
            <w:pPr>
              <w:spacing w:after="0"/>
              <w:rPr>
                <w:sz w:val="9"/>
                <w:szCs w:val="9"/>
                <w:color w:val="auto"/>
              </w:rPr>
            </w:pPr>
          </w:p>
        </w:tc>
        <w:tc>
          <w:tcPr>
            <w:tcW w:w="264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restart"/>
          </w:tcPr>
          <w:p>
            <w:pPr>
              <w:ind w:left="100"/>
              <w:spacing w:after="0" w:line="237" w:lineRule="exact"/>
              <w:rPr>
                <w:sz w:val="20"/>
                <w:szCs w:val="20"/>
                <w:color w:val="auto"/>
              </w:rPr>
            </w:pPr>
            <w:r>
              <w:rPr>
                <w:rFonts w:ascii="Arial" w:cs="Arial" w:eastAsia="Arial" w:hAnsi="Arial"/>
                <w:sz w:val="18"/>
                <w:szCs w:val="18"/>
                <w:color w:val="auto"/>
                <w:w w:val="99"/>
              </w:rPr>
              <w:t>ammonium nitrate and CO</w:t>
            </w:r>
            <w:r>
              <w:rPr>
                <w:rFonts w:ascii="Arial" w:cs="Arial" w:eastAsia="Arial" w:hAnsi="Arial"/>
                <w:sz w:val="24"/>
                <w:szCs w:val="24"/>
                <w:color w:val="auto"/>
                <w:w w:val="99"/>
                <w:vertAlign w:val="superscript"/>
              </w:rPr>
              <w:t>2</w:t>
            </w:r>
          </w:p>
        </w:tc>
        <w:tc>
          <w:tcPr>
            <w:tcW w:w="2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treatment, refrigerants, metals</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60" w:type="dxa"/>
            <w:vAlign w:val="bottom"/>
            <w:tcBorders>
              <w:right w:val="single" w:sz="8" w:color="auto"/>
            </w:tcBorders>
          </w:tcPr>
          <w:p>
            <w:pPr>
              <w:spacing w:after="0"/>
              <w:rPr>
                <w:sz w:val="11"/>
                <w:szCs w:val="11"/>
                <w:color w:val="auto"/>
              </w:rPr>
            </w:pPr>
          </w:p>
        </w:tc>
        <w:tc>
          <w:tcPr>
            <w:tcW w:w="2640" w:type="dxa"/>
            <w:vAlign w:val="bottom"/>
            <w:tcBorders>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2980" w:type="dxa"/>
            <w:vAlign w:val="bottom"/>
            <w:tcBorders>
              <w:right w:val="single" w:sz="8" w:color="auto"/>
            </w:tcBorders>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processing; Exhaust stream additive,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horticulture / greenhouse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applications; refrigeration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right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shd w:val="clear" w:color="auto" w:fill="CFF0FC"/>
          </w:tcPr>
          <w:p>
            <w:pPr>
              <w:spacing w:after="0"/>
              <w:rPr>
                <w:sz w:val="18"/>
                <w:szCs w:val="18"/>
                <w:color w:val="auto"/>
              </w:rPr>
            </w:pPr>
          </w:p>
        </w:tc>
        <w:tc>
          <w:tcPr>
            <w:tcW w:w="2340" w:type="dxa"/>
            <w:vAlign w:val="bottom"/>
            <w:tcBorders>
              <w:right w:val="single" w:sz="8" w:color="auto"/>
            </w:tcBorders>
            <w:shd w:val="clear" w:color="auto" w:fill="CFF0FC"/>
          </w:tcPr>
          <w:p>
            <w:pPr>
              <w:spacing w:after="0"/>
              <w:rPr>
                <w:sz w:val="18"/>
                <w:szCs w:val="18"/>
                <w:color w:val="auto"/>
              </w:rPr>
            </w:pPr>
          </w:p>
        </w:tc>
        <w:tc>
          <w:tcPr>
            <w:tcW w:w="2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Ammonium nitrate fuel oil (ANFO)</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shd w:val="clear" w:color="auto" w:fill="CFF0FC"/>
          </w:tcPr>
          <w:p>
            <w:pPr>
              <w:ind w:left="100"/>
              <w:spacing w:after="0"/>
              <w:rPr>
                <w:sz w:val="20"/>
                <w:szCs w:val="20"/>
                <w:color w:val="auto"/>
              </w:rPr>
            </w:pPr>
            <w:r>
              <w:rPr>
                <w:rFonts w:ascii="Arial" w:cs="Arial" w:eastAsia="Arial" w:hAnsi="Arial"/>
                <w:sz w:val="18"/>
                <w:szCs w:val="18"/>
                <w:color w:val="auto"/>
              </w:rPr>
              <w:t>Mining</w:t>
            </w:r>
          </w:p>
        </w:tc>
        <w:tc>
          <w:tcPr>
            <w:tcW w:w="23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LDAN, AN solution and</w:t>
            </w:r>
          </w:p>
        </w:tc>
        <w:tc>
          <w:tcPr>
            <w:tcW w:w="2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and specialty emulsions for mining</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continue"/>
            <w:shd w:val="clear" w:color="auto" w:fill="CFF0FC"/>
          </w:tcPr>
          <w:p>
            <w:pPr>
              <w:spacing w:after="0"/>
              <w:rPr>
                <w:sz w:val="18"/>
                <w:szCs w:val="18"/>
                <w:color w:val="auto"/>
              </w:rPr>
            </w:pPr>
          </w:p>
        </w:tc>
        <w:tc>
          <w:tcPr>
            <w:tcW w:w="23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HDAN</w:t>
            </w:r>
          </w:p>
        </w:tc>
        <w:tc>
          <w:tcPr>
            <w:tcW w:w="2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3"/>
              </w:rPr>
              <w:t>applications, surface mining, quarries,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shd w:val="clear" w:color="auto" w:fill="CFF0FC"/>
          </w:tcPr>
          <w:p>
            <w:pPr>
              <w:spacing w:after="0"/>
              <w:rPr>
                <w:sz w:val="20"/>
                <w:szCs w:val="20"/>
                <w:color w:val="auto"/>
              </w:rPr>
            </w:pPr>
          </w:p>
        </w:tc>
        <w:tc>
          <w:tcPr>
            <w:tcW w:w="2340" w:type="dxa"/>
            <w:vAlign w:val="bottom"/>
            <w:tcBorders>
              <w:right w:val="single" w:sz="8" w:color="auto"/>
            </w:tcBorders>
            <w:shd w:val="clear" w:color="auto" w:fill="CFF0FC"/>
          </w:tcPr>
          <w:p>
            <w:pPr>
              <w:spacing w:after="0"/>
              <w:rPr>
                <w:sz w:val="20"/>
                <w:szCs w:val="20"/>
                <w:color w:val="auto"/>
              </w:rPr>
            </w:pPr>
          </w:p>
        </w:tc>
        <w:tc>
          <w:tcPr>
            <w:tcW w:w="2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and construction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shd w:val="clear" w:color="auto" w:fill="CFF0FC"/>
          </w:tcPr>
          <w:p>
            <w:pPr>
              <w:spacing w:after="0"/>
              <w:rPr>
                <w:sz w:val="14"/>
                <w:szCs w:val="14"/>
                <w:color w:val="auto"/>
              </w:rPr>
            </w:pPr>
          </w:p>
        </w:tc>
        <w:tc>
          <w:tcPr>
            <w:tcW w:w="2340" w:type="dxa"/>
            <w:vAlign w:val="bottom"/>
            <w:tcBorders>
              <w:bottom w:val="single" w:sz="8" w:color="auto"/>
              <w:right w:val="single" w:sz="8" w:color="auto"/>
            </w:tcBorders>
            <w:shd w:val="clear" w:color="auto" w:fill="CFF0FC"/>
          </w:tcPr>
          <w:p>
            <w:pPr>
              <w:spacing w:after="0"/>
              <w:rPr>
                <w:sz w:val="14"/>
                <w:szCs w:val="14"/>
                <w:color w:val="auto"/>
              </w:rPr>
            </w:pPr>
          </w:p>
        </w:tc>
        <w:tc>
          <w:tcPr>
            <w:tcW w:w="2980" w:type="dxa"/>
            <w:vAlign w:val="bottom"/>
            <w:tcBorders>
              <w:bottom w:val="single" w:sz="8" w:color="auto"/>
              <w:right w:val="single" w:sz="8" w:color="auto"/>
            </w:tcBorders>
            <w:shd w:val="clear" w:color="auto" w:fill="CFF0FC"/>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40" w:type="dxa"/>
            <w:vAlign w:val="bottom"/>
          </w:tcPr>
          <w:p>
            <w:pPr>
              <w:ind w:left="1280"/>
              <w:spacing w:after="0"/>
              <w:rPr>
                <w:sz w:val="20"/>
                <w:szCs w:val="20"/>
                <w:color w:val="auto"/>
              </w:rPr>
            </w:pPr>
            <w:r>
              <w:rPr>
                <w:rFonts w:ascii="Arial" w:cs="Arial" w:eastAsia="Arial" w:hAnsi="Arial"/>
                <w:sz w:val="18"/>
                <w:szCs w:val="18"/>
                <w:color w:val="auto"/>
              </w:rPr>
              <w:t>3</w:t>
            </w:r>
          </w:p>
        </w:tc>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summarizes net sales information relating to our products: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consolidated net sales:</w:t>
            </w: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AN &amp; Nitric Acid</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r>
      <w:tr>
        <w:trPr>
          <w:trHeight w:val="242"/>
        </w:trPr>
        <w:tc>
          <w:tcPr>
            <w:tcW w:w="6060" w:type="dxa"/>
            <w:vAlign w:val="bottom"/>
          </w:tcPr>
          <w:p>
            <w:pPr>
              <w:ind w:left="180"/>
              <w:spacing w:after="0"/>
              <w:rPr>
                <w:sz w:val="20"/>
                <w:szCs w:val="20"/>
                <w:color w:val="auto"/>
              </w:rPr>
            </w:pPr>
            <w:r>
              <w:rPr>
                <w:rFonts w:ascii="Arial" w:cs="Arial" w:eastAsia="Arial" w:hAnsi="Arial"/>
                <w:sz w:val="18"/>
                <w:szCs w:val="18"/>
                <w:color w:val="auto"/>
              </w:rPr>
              <w:t>Urea ammonium nitrate (UAN)</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Ammonia</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28 %</w:t>
            </w:r>
          </w:p>
        </w:tc>
      </w:tr>
      <w:tr>
        <w:trPr>
          <w:trHeight w:val="249"/>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6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60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0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-650240</wp:posOffset>
            </wp:positionV>
            <wp:extent cx="570230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-341630</wp:posOffset>
            </wp:positionV>
            <wp:extent cx="5702300" cy="342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2300" cy="342265"/>
                    </a:xfrm>
                    <a:prstGeom prst="rect">
                      <a:avLst/>
                    </a:prstGeom>
                    <a:noFill/>
                  </pic:spPr>
                </pic:pic>
              </a:graphicData>
            </a:graphic>
          </wp:anchor>
        </w:drawing>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our net sales, operating results and total assets for the past three fiscal years, see the Consolidated Financial Statements included in this report.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feedstock and/or the changes in demand for our products.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strategy of developing industrial and mining customers helps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remain focused on upgrading margins by maximizing downstream production. Our strategy calls for further development of industrial customers who assume the volatility risk associated with the raw material costs and mitigate the effects of seasonality in the agricultural sector.</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also includes evaluating and pursuing acquisitions of strategic assets or companies, mergers with other companies and investment in additional production capacity where we believe those acquisitions, mergers or expansion of production capacity will enhance the value of the Company and provide appropriate returns.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2023</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more detail under “Key Operating Initiatives for 2023” of “Management’s Discussion and Analysis of Financial Condition and Results of Operations” (“MD&amp;A”) contained in Item 7 of this report, we believe our future results of operations and financial condition will depend significantly on our ability to successfully implement the following key initiatives:</w:t>
      </w:r>
    </w:p>
    <w:p>
      <w:pPr>
        <w:spacing w:after="0" w:line="75" w:lineRule="exact"/>
        <w:rPr>
          <w:sz w:val="20"/>
          <w:szCs w:val="20"/>
          <w:color w:val="auto"/>
        </w:rPr>
      </w:pPr>
    </w:p>
    <w:p>
      <w:pPr>
        <w:ind w:left="580" w:hanging="378"/>
        <w:spacing w:after="0" w:line="25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while Supplying our Customers with Products of the Highest Quality.</w:t>
      </w:r>
    </w:p>
    <w:p>
      <w:pPr>
        <w:ind w:left="580" w:hanging="37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 Broadening the Distribution and Optimization of our Product Mix.</w:t>
      </w:r>
    </w:p>
    <w:p>
      <w:pPr>
        <w:spacing w:after="0" w:line="8" w:lineRule="exact"/>
        <w:rPr>
          <w:rFonts w:ascii="Arial" w:cs="Arial" w:eastAsia="Arial" w:hAnsi="Arial"/>
          <w:sz w:val="18"/>
          <w:szCs w:val="18"/>
          <w:color w:val="auto"/>
        </w:rPr>
      </w:pPr>
    </w:p>
    <w:p>
      <w:pPr>
        <w:ind w:left="580" w:hanging="37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Development and Implementation of a Strategy to Capitalize on Low Carbon Ammonia and Clean Energy Opportunities.</w:t>
      </w:r>
    </w:p>
    <w:p>
      <w:pPr>
        <w:spacing w:after="0" w:line="8" w:lineRule="exact"/>
        <w:rPr>
          <w:rFonts w:ascii="Arial" w:cs="Arial" w:eastAsia="Arial" w:hAnsi="Arial"/>
          <w:sz w:val="18"/>
          <w:szCs w:val="18"/>
          <w:color w:val="auto"/>
        </w:rPr>
      </w:pPr>
    </w:p>
    <w:p>
      <w:pPr>
        <w:ind w:left="580" w:hanging="37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Evaluate and Pursue Organic Capacity Expansion.</w:t>
      </w:r>
    </w:p>
    <w:p>
      <w:pPr>
        <w:spacing w:after="0" w:line="8" w:lineRule="exact"/>
        <w:rPr>
          <w:rFonts w:ascii="Arial" w:cs="Arial" w:eastAsia="Arial" w:hAnsi="Arial"/>
          <w:sz w:val="18"/>
          <w:szCs w:val="18"/>
          <w:color w:val="auto"/>
        </w:rPr>
      </w:pPr>
    </w:p>
    <w:p>
      <w:pPr>
        <w:ind w:left="580" w:hanging="37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Acquisitions of Strategic Assets or Companies.</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for our liquidity, we had approximately $458.5 million of combined cash, short-term investments and borrowing capacity at the end of 2022, which we believe provides us with ample liquidity to fund our operations and meet our current obligations. Also see discussions under “Liquidity and Capital Resources” of our MD&amp;A.</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Strategically Located Chemical Assets and Long-Standing Customer Relationships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benefits from highly advantageous locations with logistical and distribution benefits. We have access to the Nustar ammonia pipeline from the U.S. Gulf at our El Dorado Facility, which provides low-cost transportation to distribution points. The El Dorado Facility also has rail access providing favorable freight logistics to our industrial and agricultural customers and cost advantaged when selling a number of our products West of the Mississippi River. Our Cherokee Facility is located east of the Mississippi River, allowing it to reach customers that are not freight logical for others. Our Cherokee Facility sits adjacent to the Tennessee River, providing barge receipt and shipping access, in addition to truck and rail delivery access. Our Pryor Facility is located in the heart of the Southern Plains with close proximity to the Port of Catoosa along with strategic rail and truck delivery access.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Advantaged Raw Material Cost Position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produce ammonia at our El Dorado, Cherokee and Pryor Facilities, which allows us to take advantage of the spread between producing and purchasing ammonia at those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Diversified Sources of Revenue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business serves a broad range of end markets, which we believe diminishes the cyclicality of our financial performance. Our business serves the agricultural, industrial and mining markets. The flexible nature of our production process and storage capability allows us the ability to shift our product mix based on end market demand.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of Multiple Facilities and High Production Capacity</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operate our business through several facilities. Operating multiple facilities diversifies the risk and impact of operational issues that may occur at a single plant, which gives us a strategic advantage over competitors that operate their company through a single facility. Additionally, our competitive production capacity of our combined plants allows us to decrease manufacturing costs, helping us to achieve enhanced margins.</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Agricultural Market Conditions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more detail under “Key Industry Factors” of MD&amp;A,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Looking forward to 2023, elevated corn prices remain a significant driver to the strength of fertilizer pricing. U.S. corn stock to use ratios are at their lowest levels in a decade reflecting the impact on global corn supplies from dry conditions in South America, the Western U.S. and parts of Europe. As a result, corn prices remain near 10-year highs suggesting that farmers will likely be incentivized to maximize yield through the coming planting season in order to capitalize on the favorable economics. Subject to supportive weather conditions, this should translate into strong demand and above historic average pricing for nitrogen fertilizers in the coming planting season. Natural gas prices in Europe were a driver of historically high nitrogen prices in 2022. While having declined in recent months, natural gas prices in European markets remain above 10-year averages keeping production costs for European producers substantially higher than those in the U.S. and allowing ammonia prices to remain at attractive levels for U.S. producers.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combined with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develop our market position in these areas by emphasizing high quality products, customer service and technical advice.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most of our agricultural products at the current spot market price in effect at the time of shipment, although we periodically enter into forward sales commitments for some of these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and Mining Market Conditions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more detail under “Key Industry Factors” of MD&amp;A, in our industrial markets, our sales volumes are typically driven by changes in general economic conditions, energy prices, metals market prices and our contractual arrangements with certain large customers. In our mining markets, our sales volumes are typically driven by changes in the overall North American consumption levels of mining products that can be impacted by weather. Additionally, changes in natural gas prices and demand in renewable power sources, such as wind and solar in the electrical generation sector, will impact demand for our mining products and impact competition within the other sectors of this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jc w:val="both"/>
        <w:spacing w:after="0" w:line="301" w:lineRule="auto"/>
        <w:rPr>
          <w:sz w:val="20"/>
          <w:szCs w:val="20"/>
          <w:color w:val="auto"/>
        </w:rPr>
      </w:pPr>
      <w:r>
        <w:rPr>
          <w:rFonts w:ascii="Arial" w:cs="Arial" w:eastAsia="Arial" w:hAnsi="Arial"/>
          <w:sz w:val="16"/>
          <w:szCs w:val="16"/>
          <w:color w:val="auto"/>
        </w:rPr>
        <w:t>Looking forward to 2023, demand from industrial markets remains generally stable with domestic end-use markets continuing to be stronger than those in Europe and Asia. Inflation and other economic pressures are impacting some parts of the chemical manufacturing industry while mining activity remains strong. While economic concerns persist for 2023, we believe that we have a meaningful degree of downside protection from the potential impacts of a recession given the nature of our contracts and our ability to shift our production mix to products where demand and pricing are strongest.</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and Mining Products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industrial and mining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the Baytown Facility on behalf of Covestro and we believe it is one of the largest and most technologically advanced nitric acid manufacturing units in the U.S. We operate and maintain this facility pursuant to a long-term operating contract. The term of this agreement runs until October 2029 with options for renewal.</w:t>
      </w:r>
    </w:p>
    <w:p>
      <w:pPr>
        <w:spacing w:after="0" w:line="7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industrial business competes based upon service, price and location of production and distribution sites, product quality and performance and provides inventory management as part of the value-added services offered to certain customers.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produce and sell LDAN, HDAN and AN solution to the mining industry, which are primarily used as AN fuel oil and specialty emulsions for usage in the quarry and the construction industries, for metals mining, and to a lesser extent, for coal mining. We have signed long-term contracts with certain customers that provide for the annual sale of LDAN, which a portion include various natural-gas-based pricing arrangements. One of our customers has a plant located at our El Dorado Facility.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products we manufacture at our facilities are primarily derived from natural gas. This raw material feedstock is a commodity and subject to price fluctuations. Natural gas is the primary raw material for producing ammonia, UAN, nitric acid and acid blends and other products at our El Dorado, Cherokee and Pryor Facilities. For 2022, we purchased approximately 27.8 million MMBtus of natural gas.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chemical facilities’ natural gas feedstock requirements are generally purchased at spot market price. Periodically, we enter into volume purchase commitments and/or forward contracts to lock in the cost of certain of the expected natural gas requirements primarily to match quantities needed to produce product that has been sold forward. At December 31, 2022, we had natural gas contracts of approximately 8.1 million MMBtus, at an average cost of $6.25 per MMBtu. These contracts extend through December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relating to the outlook for our business under “Key Industry Factors.”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in a highly competitive market with many other larger chemical companies, such as Advansix, Inc., Austin Powder Company, CF Industries Holdings, Inc., Chemtrade Logistics L.L.C., Cornerstone Chemical, CVR Partners, Dyno Nobel, a subsidiary of Incitec Pivot Limited, Ecovyst, Inc., Eurochem North America, Fertinal, Helm AG, International Raw Materials, Ltd., Interoceanic Corporation, Koch Industries, Macro-Source L.L.C., Norfalco, N-7 L.L.C., Nutrien, Orica Limited, Southern States Chemical, Trammo Inc., Veolia North America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employed 571 persons, 180 whom are represented by unions under collective bargaining agreements. We have three 3-year union contracts which were successfully ratified in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Oversight &amp; Management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on the capabilities and strength of our workforce. Our People Operations Director is responsible for developing and executing our human capital strategy. This strategy includes the acquisition, development, and retention of talent as well as the enhancement of benefits and employee experience to deliver on our overall strategy. Our Chief Executive Officer (“CEO”) regularly updates our Board of Directors (“Board”) on the operation and status of these human capital activities including:</w:t>
      </w:r>
    </w:p>
    <w:p>
      <w:pPr>
        <w:spacing w:after="0" w:line="77" w:lineRule="exact"/>
        <w:rPr>
          <w:sz w:val="20"/>
          <w:szCs w:val="20"/>
          <w:color w:val="auto"/>
        </w:rPr>
      </w:pPr>
    </w:p>
    <w:p>
      <w:pPr>
        <w:jc w:val="both"/>
        <w:ind w:left="600" w:hanging="293"/>
        <w:spacing w:after="0" w:line="263"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Training &amp; Development</w:t>
      </w:r>
      <w:r>
        <w:rPr>
          <w:rFonts w:ascii="Arial" w:cs="Arial" w:eastAsia="Arial" w:hAnsi="Arial"/>
          <w:sz w:val="18"/>
          <w:szCs w:val="18"/>
          <w:color w:val="auto"/>
        </w:rPr>
        <w:t>– We are committed to the continued development of our employees. Quarterly reviews of operations and talent occur</w:t>
      </w:r>
      <w:r>
        <w:rPr>
          <w:rFonts w:ascii="Arial" w:cs="Arial" w:eastAsia="Arial" w:hAnsi="Arial"/>
          <w:sz w:val="18"/>
          <w:szCs w:val="18"/>
          <w:i w:val="1"/>
          <w:iCs w:val="1"/>
          <w:color w:val="auto"/>
        </w:rPr>
        <w:t xml:space="preserve"> </w:t>
      </w:r>
      <w:r>
        <w:rPr>
          <w:rFonts w:ascii="Arial" w:cs="Arial" w:eastAsia="Arial" w:hAnsi="Arial"/>
          <w:sz w:val="18"/>
          <w:szCs w:val="18"/>
          <w:color w:val="auto"/>
        </w:rPr>
        <w:t>across all operational business units and corporate functions. It is the responsibility of the CEO and the executive staff to review talent data on an annual basis and plan development actions to ensure succession and continuous improvement and growth.</w:t>
      </w:r>
    </w:p>
    <w:p>
      <w:pPr>
        <w:spacing w:after="0" w:line="74" w:lineRule="exact"/>
        <w:rPr>
          <w:rFonts w:ascii="Arial" w:cs="Arial" w:eastAsia="Arial" w:hAnsi="Arial"/>
          <w:sz w:val="18"/>
          <w:szCs w:val="18"/>
          <w:color w:val="auto"/>
        </w:rPr>
      </w:pPr>
    </w:p>
    <w:p>
      <w:pPr>
        <w:jc w:val="both"/>
        <w:ind w:left="600" w:hanging="293"/>
        <w:spacing w:after="0" w:line="296"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Engagement </w:t>
      </w:r>
      <w:r>
        <w:rPr>
          <w:rFonts w:ascii="Arial" w:cs="Arial" w:eastAsia="Arial" w:hAnsi="Arial"/>
          <w:sz w:val="16"/>
          <w:szCs w:val="16"/>
          <w:color w:val="auto"/>
        </w:rPr>
        <w:t>– We believe that we have favorable relations with our employees. Approximately 32% of our employees are represented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 bargaining agreements. We take proactive measures, such as conducting employee surveys to understand and drive employee engagement. Additionally, we conduct benefit surveys annually in an effort to ensure that any changes to benefits are improvements or add value for employees. Each of our business units conducts roundtable discussions to develop action plans to improve the work environment and culture. We have continued to increase our communication and recognition efforts with employees, which our workforce has recognized favorably.</w:t>
      </w:r>
    </w:p>
    <w:p>
      <w:pPr>
        <w:spacing w:after="0" w:line="52" w:lineRule="exact"/>
        <w:rPr>
          <w:rFonts w:ascii="Arial" w:cs="Arial" w:eastAsia="Arial" w:hAnsi="Arial"/>
          <w:sz w:val="16"/>
          <w:szCs w:val="16"/>
          <w:color w:val="auto"/>
        </w:rPr>
      </w:pPr>
    </w:p>
    <w:p>
      <w:pPr>
        <w:jc w:val="both"/>
        <w:ind w:left="600" w:hanging="293"/>
        <w:spacing w:after="0" w:line="253"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Health and Safety </w:t>
      </w:r>
      <w:r>
        <w:rPr>
          <w:rFonts w:ascii="Arial" w:cs="Arial" w:eastAsia="Arial" w:hAnsi="Arial"/>
          <w:sz w:val="18"/>
          <w:szCs w:val="18"/>
          <w:color w:val="auto"/>
        </w:rPr>
        <w:t>– Our Health and Safety Management System continues to build to establish a consistent and robust approach to enhance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a culture of compliance at each business unit. This system is guided by an executive committee that provides focus and priority to compliance and industry best practices that protect our employees while performing work within our operations. Each business team is responsible for evaluating its unique operations and applying the defined controls to engage employees and manage injury risk. We use leading and lagging metrics, such as near miss tracking, assigning potential risk consequences to events, incident tracking, and releases to monitor our performance and effectiveness across our operations and individual business teams. Events are investigated based on risk using root cause analysis tools and corrective actions are tracked to ensure prevention. In addition, the management system includes periodic third-party audits and internal self-assessment to continuously improve.</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Like many other companies, we had experienced challenges resulting from the novel coronavirus of 2019 ("COVID-19") pandemic but due to our focused energy and effort on protecting our employees and their families from potential virus exposure while continuing safe and compliant operations we had no business interruptions or work stoppage in 2022.</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Government Laws and Regulations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facilities and operations are subject to numerous federal, state and local laws and regulations, including matters regarding environmental, health and safety, many of which provide for certain performance obligations, substantial fines and criminal sanctions for violations. Certain of these laws and regulations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These laws and regulations (including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these laws and regulations and are reasonably expected to do so in the future. We will also be obligated to manage certain discharge water outlets and monitor groundwater contaminants at our chemical facilities should we discontinue the operations of a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discussions concerning our risk factors under Item 1A of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available free of charge through our Internet website (www.lsbindustries.com) or by calling Investor Relations (405) 510-3550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1.Risks Relating to Our Liquidity</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may not be able to generate sufficient cash to service our debt and may be required to take other actions to satisfy the obligations under our debt agreements, which may not be successful.</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make scheduled payments on our debt obligations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$700 million principal amount of our 6.25% Senior Secured Notes due 2028 (the “New Notes”).</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cash flows and capital resources are insufficient to fund our debt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These alternative measures may not be successful, may not be completed on economically attractive terms, or may not be adequate for us to meet our debt obligations when due. Additionally, our debt agreements limit the use of the proceeds from many dispositions of assets or operations. As a result, we may not be permitted to use the proceeds from these dispositions to satisfy our debt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64"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substantial indebtedness level could limit our financial and operating activities, and adversely affect our ability to incur additional debt to fund future needs.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 substantial amount of indebtedness. As a result, this level could, among other things:</w:t>
      </w:r>
    </w:p>
    <w:p>
      <w:pPr>
        <w:spacing w:after="0" w:line="117" w:lineRule="exact"/>
        <w:rPr>
          <w:sz w:val="20"/>
          <w:szCs w:val="20"/>
          <w:color w:val="auto"/>
        </w:rPr>
      </w:pPr>
    </w:p>
    <w:p>
      <w:pPr>
        <w:ind w:left="1020" w:hanging="503"/>
        <w:spacing w:after="0" w:line="25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the payment of principal and interest, thereby reducing the funds available for operations and future business opportunities;</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ind w:left="1020" w:hanging="503"/>
        <w:spacing w:after="0" w:line="26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affect our ability to obtain financing in the future and increase the cost of such financing.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liquidity, operating results and financial condition.</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Our debt agreements and the Exchange Agreement contain covenants and restrictions that could restrict or limit our financial and business operations.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debt agreements and the Exchange Agreement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These covenants and other restrictions limit our ability to, among other things:</w:t>
      </w:r>
    </w:p>
    <w:p>
      <w:pPr>
        <w:spacing w:after="0" w:line="75"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make other restricted payments;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or certain capital expenditures;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102"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Working Capital Revolver Loan also contains certain affirmative covenants and requires the borrowers to comply with a fixed charge coverage ratio (as defined in the Working Capital Revolver Loan) if their excess availability (as defined in the Working Capital Revolver Loan) falls below a certain level.</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certain failures to make payments when due on, or the acceleration of, significant indebtedness constitutes a default under some of our debt instruments, including the indenture governing the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age of our chemical manufacturing facilities increases the risk for unplanned downtime, which may be significant.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liquidity, operating results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a holding company with no significant operations or material assets other than the equity interests it holds in its subsidiaries and conducts all of its operations through its subsidiaries. As a result, LSB’s ability to meet its obligations depends, in large part, on the operating performance and cash flows of its subsidiaries, which will be affected by general economic, industry, financial, competitive, operating and other factors beyond our control, and the ability of its subsidiaries to make distributions and pay dividends to LSB.</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LSB’s subsidiaries is a separate and distinct legal entity and, under certain circumstances, legal and contractual restrictions, as well as the financial condition and operating requirements of such subsidiaries, may limit LSB’s ability to obtain cash from its subsidiaries. Any payment of dividends, distributions, loans or advances to LSB by its subsidiaries could also be subject to taxes or restrictions on dividends or transfers under applicable local law in the jurisdictions in which LSB’s subsidiaries operate.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2.Risks Relating to Our Business</w:t>
      </w:r>
    </w:p>
    <w:p>
      <w:pPr>
        <w:spacing w:after="0" w:line="117"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Pandemics or disease outbreaks, such as COVID-19, have and may in the future disrupt our business, which could adversely affect our financial performance.</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has evolved into a global pandemic and the full extent of its impact will depend on future developments that are uncertain and cannot be accurately predicted, including new information that may emerge concerning the COVID-19 pandemic and the actions to contain the COVID-19 pandemic or treat its impact. In addition, a significant downturn in global economic growth, or recessionary conditions in major geographic regions as a result of a resurgence of the COVID-19 pandemic or the emergence of a similar pandemic,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may lead to reduced demand for a portion or all our products. Legislative, regulatory, judicial or social influences related to the COVID-19 pandemic may affect our financial performance and our ability to conduct our business.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extended period of remote work arrangements due to the COVID-19 pandemic could also exacerbate cybersecurity risks. Our business depends on the proper functioning and availability of our information technology platform, including communications and data processing systems. We are also required to effect electronic transmissions with third parties including clients, vendors and others with whom we do business, and with our Board. We believe we have implemented appropriate security measures, controls and procedures to safeguard our information technology systems and to prevent unauthorized access to such systems and any data processed or stored in such systems, and we periodically evaluate and test the adequacy of such systems, measures, controls and procedures and perform third-party risk assessments; however, there can be no guarantee that such systems, measures, controls and procedures will be effective, that we will be able to establish secure capabilities with all of third parties, or that third parties will have appropriate controls in place to protect the confidentiality of our information. Security breaches could expose us to a risk of loss or misuse of our information, litigation and potential liability.</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Terrorist attacks and other acts of violence or war, such as Russia’s occupation of Ukraine, and natural disasters (such as hurricanes, etc.), have negatively affected and could negatively affect U.S. and foreign companies, the financial markets, the industries where we operate, our operations and our profitability.</w:t>
      </w:r>
    </w:p>
    <w:p>
      <w:pPr>
        <w:spacing w:after="0" w:line="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Terrorist attacks in the U.S and elsewhere, including Russia’s occupation of Ukraine,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business, financial condition and results of operations.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A major factor underlying the current high level of demand for our nitrogen-based fertilizer products is the production of ethanol. A decrease in ethanol production or an increase in ethanol imports could have a material adverse effect on our results of operations, financial condition and ability to make cash distributions.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 Therefore, a decrease in ethanol production or an increase in ethanol imports could have a material adverse effect on our overall business, results of operations, financial condition and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reliant on a limited number of key facilities.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nitrogen production is concentrated in four separate complexes. The suspension of operations at any of these complexes, or significant impacts on any of their operations as a result of a supply chain disruption, could adversely affect our ability to produce our products and fulfill our commitments and could have a material adverse effect on liquidity, financial condition, results of operations and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can adversely affect 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Weather conditions adversely affect our business.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may adversely affect our business</w:t>
      </w:r>
      <w:r>
        <w:rPr>
          <w:rFonts w:ascii="Arial" w:cs="Arial" w:eastAsia="Arial" w:hAnsi="Arial"/>
          <w:sz w:val="18"/>
          <w:szCs w:val="18"/>
          <w:color w:val="auto"/>
        </w:rPr>
        <w: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 the course of the past several years, global climate conditions have become increasingly inconsistent, volatile and unpredictable. Many of the regions in which we do business have experienced excessive moisture, cold, drought and/or heat of an unprecedented nature at various times of the year. In some cases, these conditions have either reduced or obviated the need for our products, particularly in the agriculture space, whether pre-plant, at-plant, post-emergent or at harvest. Due to the unpredictable nature of these conditions, growers and distributors appear to have become increasingly conservative in procurement practices and the accumulation of inventory. Further, the random nature of climactic change has made it increasingly difficult to forecast market demand and, consequently, financial performance, from year-to-year. There is no guarantee that climate change will abate in the near future, and it is possible that such change will continue to hinder our ability to forecast sales performance with accuracy and otherwise adversely affect our financial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be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could adversely affect our operating results, liquidity, financial condition and capital resources.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of imported agricultural products could adversely affect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Russia, Ukraine and Trinidad have substantial capacity to produce and export fertilizers. Producers in these countries also benefit from below-market prices for natural gas, due to government regulation and other factors.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5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Russian invasion of the Ukraine may expand into a broader international conflict that could adversely affect multiple channels of commerce and markets.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occupation of Ukraine has had an effect on commodity prices and fertilizer supply (primarily ammonia and urea from Russia), there is no guarantee that the current conflict will not draw military intervention from other countries or retaliation from Russia, which, in turn, could lead to a much larger conflict. It is possible that supply chain, trade routes and the markets we currently serve could be adversely affected, which, in turn, could materially, adversely affect the our business operations and financial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is dependent upon a limited number of customers.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2022, nine customers accounted for approximately 58% of our consolidated net sales. The loss of, or a material reduction in purchase levels by, one or more of these customers could have a material adverse effect on our business, results of operations, financial condition and liquidity if we are unable to replace a customer with other sales on substantially similar terms.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jc w:val="both"/>
        <w:spacing w:after="0" w:line="265" w:lineRule="auto"/>
        <w:rPr>
          <w:sz w:val="20"/>
          <w:szCs w:val="20"/>
          <w:color w:val="auto"/>
        </w:rPr>
      </w:pPr>
      <w:r>
        <w:rPr>
          <w:rFonts w:ascii="Arial" w:cs="Arial" w:eastAsia="Arial" w:hAnsi="Arial"/>
          <w:sz w:val="18"/>
          <w:szCs w:val="18"/>
          <w:b w:val="1"/>
          <w:bCs w:val="1"/>
          <w:color w:val="auto"/>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our customers from time-to-time,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 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Domestic and regional inflation trends, increased interest rates and other factors could lead to the erosion of economies and adversely impact us.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Both the U.S. and many other countries are experiencing inflation, which, in turn, is leading to increase costs in multiple industry segments, including agriculture and related industries. The persistence of inflation has led central bankers to increase interest rates within their regions. There is no guarantee that these measures will arrest the inflationary trend. Further, these factors, taken together with reduced productivity and constraints on the labor supply could lead to recessionary periods in the regions in which the Company does business. While we will take measures within our control to manage the effects of inflation, higher interest rates and other factors, ultimately, they are outside of our control. Further, the persistence and/or severity of one or more of them could adversely affect our financial performance and/or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typically subject to considerable price volatility, and recent global supply chain disruptions and increased inflation in the United States have led to further heightened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business, financial condition, liquidity and results of operations.</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price of natural gas in North America and worldwide has been volatile in recent years and had declined on average due in part to the development of significant natural gas reserves, including shale gas, and the rapid improvement in shale gas extraction techniques, such as hydraulic fracturing and horizontal drilling. However, recent disruptions in the global supply chain and increased inflation in the United States have led to reduced availability and increased prices of natural gas and they may continue to have an impact in the near term in fiscal year 2023.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business, financial condition, liquidity and results of operations could be materially affected in the future 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lack of availability of natural gas and other key components and increase costs relating to the purchase of natural gas and other key components.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involving derivatives and the risk that our hedging activities might not be effective.</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utilize natural gas derivatives to economically hedge our financial exposure to the price volatility of natural gas, the principal raw material used in the production of nitrogen-based products. We may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 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spacing w:after="0" w:line="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transportation and distribution activities rely on third-party providers, which subject us to risks and uncertainties beyond our control that may adversely affect our operations.</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technological innovation could affect our business.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 risks could adversely affect our business.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continue to increase our dependence on information technologies to conduct our operations, including as a result of remote work environments due to COVID-19, the risks associated with cyber security also increase. We rely on our enterprise resource planning software (“ERP”) and other information systems, among other things, to manage our manufacturing, supply chain, accounting and financial functions. Additionally, third parties on whose systems we place significant reliance for the conduct of our business are also subject to cyber security risks.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business, results of operations, liquidity and financial condition.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 may engage in certain strategic transactions which may adversely affect our financial condition.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important part of our business strategy is the acquisition of strategic assets or companies. Our management is currently evaluating and pursing certain such opportunities, and from time to time separately provides indications of interest in respect of similar transactions, which may be significant. Any such discussions may or may not result in the consummation of a transaction, and we may not be able to identify or complete any of these potential acquisitions. We cannot predict the effect, if any, that any announcement or consummation of a transaction would have on the price of our securities. While the documents governing our indebtedness include certain restrictions on our ability to finance any acquisitions of new assets, such restrictions contain various exceptions and limitations.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is no guarantee that any such transactions will be successful or, even if consummated, improve our operating results. We may incur costs, breakage fees or other expenses in connection with any such transactions or may not be able to obtain the necessary financing for such transactions on acceptable terms. Accordingly, any such transactions may ultimately have a material adverse effect on our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 addition, any future acquisitions could present a number of risks, including:</w:t>
      </w:r>
    </w:p>
    <w:p>
      <w:pPr>
        <w:spacing w:after="0" w:line="23"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using management time and resources to pursue acquisitions that are not successfully completed;</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incorrect assumptions regarding the future results of acquired operations or business;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failing to integrate the operations or management of any acquired operations or assets successfully and timely; and</w:t>
      </w:r>
    </w:p>
    <w:p>
      <w:pPr>
        <w:spacing w:after="0" w:line="8" w:lineRule="exact"/>
        <w:rPr>
          <w:rFonts w:ascii="Arial" w:cs="Arial" w:eastAsia="Arial" w:hAnsi="Arial"/>
          <w:sz w:val="18"/>
          <w:szCs w:val="18"/>
          <w:color w:val="auto"/>
        </w:rPr>
      </w:pPr>
    </w:p>
    <w:p>
      <w:pPr>
        <w:ind w:left="1080" w:hanging="56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diversion of management’s attention from existing operations or other priorities.</w:t>
      </w:r>
    </w:p>
    <w:p>
      <w:pPr>
        <w:spacing w:after="0" w:line="1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are unsuccessful in integrating acquisitions in a timely and cost-effective manner, our financial condition and results of operations could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3.Risks Relating to Legal, Regulatory and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and the production and handling of our products involve significant risks and hazards.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can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leaks from our equipment. Similar events may occur in the future. As a result, such events could have a material adverse effect on our results of operations and financial condition.</w:t>
      </w:r>
    </w:p>
    <w:p>
      <w:pPr>
        <w:spacing w:after="0" w:line="5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adequate insurance.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8 to the Consolidated Financial Statements included in this report.</w:t>
      </w:r>
    </w:p>
    <w:p>
      <w:pPr>
        <w:spacing w:after="0" w:line="4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January 2017, the U.S. Environmental Protection Agency (“EPA”) finalized revisions to its Risk Management Program (“RMP”).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became required beginning in 2021. The EPA temporarily delayed the rule’s effective date however, the delay was subsequently vacated with an immediate effective date. On December 3, 2018, the EPA published a final rule that incorporates amendments to the RMP under 40 CFR Part 68. However, on November 21, 2019, EPA finalized its Risk Management Program Reconsideration Rule which rescinded third-party auditing, incident investigation and root cause analysis, and the public sharing of specific chemical and process information. The passage of the Reconsideration Rule has reduced the potential negative effect on the profitability of our AN business compared to the January 2017 RMP amendments. The Occupational Safety and Health Administration is likewise considering changes to its Process Safety Management standards. In addition, DHS, the EPA, and the Bureau of Alcohol,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4.Risks Relating to Debt</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agreements relating to our debt, including the Senior Secured Notes Indenture and the credit agreement governing our Working Capital Revolver Loan, limit but do not prohibit our ability to incur additional debt, including additional secured debt. Notwithstanding the fact that the Senior Secured Notes Indenture and the credit agreement governing our Working Capital Revolver Loan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Borrowings under our Working Capital Revolver Loan bear interest at a variable rate, which subjects us to interest rate risk and could cause our debt service obligations to increase.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All of our borrowings under our Working Capital Revolver Loan are at variable rates of interest and expose us to interest rate risk. If interest rates increase, our debt service obligations on this variable rate indebtedness would increase even though the amount borrowed remained the same. Although we may enter into interest rate swaps to reduce interest rate volatility, we cannot provide assurances that we will be able to do so or that such swaps will be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5.Risks Relating to Human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and other employees could negatively affect our business.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performance has been and will continue to be dependent upon the efforts of our principal executive officers. We cannot ensure that our principal executive officers will continue to be available. Although we have employment agreements with certain of our principal executive officers, including Mark T. Behrman and Cheryl A. Maguire, we do not have employment agreements with all of our key personnel. The loss of any of our principal executive officers could have a material adverse effect on us. We believe that our future success will depend in large part on our continued ability to attract and retain highly skilled and qualified personnel.</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recent years, as competition for employees in our industry has increased, we may experience higher than anticipated levels of employee attrition. Employee turnover and associated costs of rehiring, the loss of human capital and expertise through attrition and the reduced ability to attract talent could impair our ability to operate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collective bargaining agreements with certain employees.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Approximately 32%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6.Risks Relating to Shareholders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Affiliates of Eldridge have significant influence over us, which could limit your ability to influence the outcome of key transactions, including a change of control.</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LSB Funding and SBT Investors, each of which is an affiliate of Eldridge, beneficially own, in the aggregate approximately 26% of our outstanding common stock as of December 31, 2022. Additionally, pursuant to the Board Representation and Standstill Agreement, as amended, SBT Investors has certain board member nomination rights based on the size of our Board and its and LSB Fundings' holdings. For as long as the Eldridge-affiliated stockholders continue to beneficially own a substantial percentage of the voting power of our outstanding common stock, Eldridge and its affiliates will continue to have significant influence over us. For example, they will be able to strongly influence the election of all of the members of our board of directors and our business and affairs, including certain determinations with respect to mergers or other business combinations, the acquisition or disposition of assets, the incurrence of additional indebtedness, the issuance of additional shares of common stock or other equity securities, the repurchase or redemption of shares of our common stock and the payment of dividends.</w:t>
      </w:r>
    </w:p>
    <w:p>
      <w:pPr>
        <w:spacing w:after="0" w:line="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Additionally, Eldridge manages businesses across a range of industries and may acquire and hold interests in businesses that compete directly or indirectly with us. Eldridge may also pursue acquisition opportunities that may be complementary to our business, and, as a result, those acquisition opportunities may not be available to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authorized and unissued (including shares held in treasury) approximately 73.7 million shares of common stock and approximately 5.2 million shares of preferred stock as of December 31, 2022. These unissued shares could be used by our management to make it more difficult, and thereby discourage an attempt to acquire control of us.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Eldridge, through its affiliates, and the Golsen Holders have significant voting power and rights to designate board representatives, all of which may further discourage a third-party tender offer, proxy contest, or other attempts to acquire control of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62" w:lineRule="exact"/>
        <w:rPr>
          <w:sz w:val="20"/>
          <w:szCs w:val="20"/>
          <w:color w:val="auto"/>
        </w:rPr>
      </w:pPr>
    </w:p>
    <w:p>
      <w:pPr>
        <w:ind w:left="1020" w:right="20" w:hanging="503"/>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such time the Board of the corporation approved the business combination that results in the stockholder becoming an invested stockholder;</w:t>
      </w: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two-thirds of the stockholders, other than the acquirer, vote to approve the business combination after approval thereof by the Board; or</w:t>
      </w:r>
    </w:p>
    <w:p>
      <w:pPr>
        <w:spacing w:after="0" w:line="20"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cash dividends on our outstanding common stock in many years.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2023. In addition, there are certain limitations contained in our loan agreements that may limit our ability to pay dividends on our outstanding common stock.</w:t>
      </w:r>
    </w:p>
    <w:p>
      <w:pPr>
        <w:spacing w:after="0" w:line="52" w:lineRule="exact"/>
        <w:rPr>
          <w:sz w:val="20"/>
          <w:szCs w:val="20"/>
          <w:color w:val="auto"/>
        </w:rPr>
      </w:pPr>
    </w:p>
    <w:p>
      <w:pPr>
        <w:jc w:val="both"/>
        <w:ind w:right="20"/>
        <w:spacing w:after="0" w:line="346" w:lineRule="auto"/>
        <w:rPr>
          <w:sz w:val="20"/>
          <w:szCs w:val="20"/>
          <w:color w:val="auto"/>
        </w:rPr>
      </w:pPr>
      <w:r>
        <w:rPr>
          <w:rFonts w:ascii="Arial" w:cs="Arial" w:eastAsia="Arial" w:hAnsi="Arial"/>
          <w:sz w:val="16"/>
          <w:szCs w:val="16"/>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sales of substantial amounts of our common stock, preferred stock or equity-related securities in the public market, or the perception that such sales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or the availability of shares of common stock for future sale will have on the trading price of our common stock. Such future sales could also significantly reduce the percentage ownership and voting power of our existing common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7.General Risk Factors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Deterioration of global market and economic conditions could have a material adverse effect on our business, financial condition, results of operations and cash flow.</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68"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belief that competition is based upon service, price, location of production and distribution sites, and product quality and performance;</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volumes at our production facilities;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the ongoing COVID-19 pandemic and related response;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5"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of increases in prices of raw materials;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or in the interpretation of such laws and regulations;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increases resulting from increased inflation;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 including the effects of climate change;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supply chain disruptions;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“Risk Factors” contained in this report.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ADEQ</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The Arkansas Department of Environmental Quality.</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AN</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Ammonium nitrate.</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Ammonia Plant</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New ammonia plant at the El Dorado Facility.</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ARO</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Asset retirement obligation.</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ASC</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Accounting Standard Codification.</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ASU</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Accounting Standard Update.</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Baytown Facility</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Board</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Board of Directors</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CAO</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A consent administrative order.</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CARES</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Coronavirus Aid, Relief, and Economic Security Act.</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CEO</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Cherokee Facility</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Chevron</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Chevron Environmental Management Company.</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CoC</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Change of Control</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Covestro</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Covestro L.L.C.</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COVID-19</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The novel coronavirus disease of 2019.</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CBS</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U.S. Chemical Safety and Hazard Investigation Board.</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CVR</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Coffeyville Resources Nitrogen Fertilizers, L.L.C.</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D&amp;A</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DEF</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Diesel Exhaust Fluid.</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DHS</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The U.S. Department of Homeland Security.</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EDA</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El Dorado Ammonia L.L.C.</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EDC</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El Dorado Chemical Company.</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EDN</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El Dorado Nitrogen L.L.C.</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EIA</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U.S. Energy Information Administration</w:t>
            </w:r>
          </w:p>
        </w:tc>
      </w:tr>
      <w:tr>
        <w:trPr>
          <w:trHeight w:val="35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El Dorado Facility</w:t>
            </w:r>
          </w:p>
        </w:tc>
        <w:tc>
          <w:tcPr>
            <w:tcW w:w="9080" w:type="dxa"/>
            <w:vAlign w:val="bottom"/>
            <w:gridSpan w:val="2"/>
          </w:tcPr>
          <w:p>
            <w:pPr>
              <w:ind w:left="74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553"/>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180" w:type="dxa"/>
            <w:vAlign w:val="bottom"/>
          </w:tcPr>
          <w:p>
            <w:pPr>
              <w:ind w:left="2480"/>
              <w:spacing w:after="0"/>
              <w:rPr>
                <w:sz w:val="20"/>
                <w:szCs w:val="20"/>
                <w:color w:val="auto"/>
              </w:rPr>
            </w:pPr>
            <w:r>
              <w:rPr>
                <w:rFonts w:ascii="Arial" w:cs="Arial" w:eastAsia="Arial" w:hAnsi="Arial"/>
                <w:sz w:val="18"/>
                <w:szCs w:val="18"/>
                <w:color w:val="auto"/>
              </w:rPr>
              <w:t>21</w:t>
            </w:r>
          </w:p>
        </w:tc>
      </w:tr>
      <w:tr>
        <w:trPr>
          <w:trHeight w:val="115"/>
        </w:trPr>
        <w:tc>
          <w:tcPr>
            <w:tcW w:w="2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w w:val="98"/>
              </w:rPr>
              <w:t>Environmental and Health Laws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Numerous federal, state and local environmental, health and safety laws.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EPA</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The U.S. Environmental Protection Agency.</w:t>
            </w:r>
          </w:p>
        </w:tc>
        <w:tc>
          <w:tcPr>
            <w:tcW w:w="0" w:type="dxa"/>
            <w:vAlign w:val="bottom"/>
          </w:tcPr>
          <w:p>
            <w:pPr>
              <w:spacing w:after="0"/>
              <w:rPr>
                <w:sz w:val="1"/>
                <w:szCs w:val="1"/>
                <w:color w:val="auto"/>
              </w:rPr>
            </w:pPr>
          </w:p>
        </w:tc>
      </w:tr>
      <w:tr>
        <w:trPr>
          <w:trHeight w:val="45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ERP</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Enterprise resource planning software.</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EUC</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Environmental Use Control.</w:t>
            </w:r>
          </w:p>
        </w:tc>
        <w:tc>
          <w:tcPr>
            <w:tcW w:w="0" w:type="dxa"/>
            <w:vAlign w:val="bottom"/>
          </w:tcPr>
          <w:p>
            <w:pPr>
              <w:spacing w:after="0"/>
              <w:rPr>
                <w:sz w:val="1"/>
                <w:szCs w:val="1"/>
                <w:color w:val="auto"/>
              </w:rPr>
            </w:pPr>
          </w:p>
        </w:tc>
      </w:tr>
      <w:tr>
        <w:trPr>
          <w:trHeight w:val="243"/>
        </w:trPr>
        <w:tc>
          <w:tcPr>
            <w:tcW w:w="2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Eldridge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Eldridge Industries, L.L.C.</w:t>
            </w:r>
          </w:p>
        </w:tc>
        <w:tc>
          <w:tcPr>
            <w:tcW w:w="0" w:type="dxa"/>
            <w:vAlign w:val="bottom"/>
          </w:tcPr>
          <w:p>
            <w:pPr>
              <w:spacing w:after="0"/>
              <w:rPr>
                <w:sz w:val="1"/>
                <w:szCs w:val="1"/>
                <w:color w:val="auto"/>
              </w:rPr>
            </w:pPr>
          </w:p>
        </w:tc>
      </w:tr>
      <w:tr>
        <w:trPr>
          <w:trHeight w:val="81"/>
        </w:trPr>
        <w:tc>
          <w:tcPr>
            <w:tcW w:w="27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Exchange Agreement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w w:val="92"/>
              </w:rPr>
              <w:t>A Securities Exchange Agreement between LSB Funding L.L.C. and affiliate of Eldridge Industries, L.L.C. and</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LSB.</w:t>
            </w:r>
          </w:p>
        </w:tc>
        <w:tc>
          <w:tcPr>
            <w:tcW w:w="0" w:type="dxa"/>
            <w:vAlign w:val="bottom"/>
          </w:tcPr>
          <w:p>
            <w:pPr>
              <w:spacing w:after="0"/>
              <w:rPr>
                <w:sz w:val="1"/>
                <w:szCs w:val="1"/>
                <w:color w:val="auto"/>
              </w:rPr>
            </w:pPr>
          </w:p>
        </w:tc>
      </w:tr>
      <w:tr>
        <w:trPr>
          <w:trHeight w:val="336"/>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Exchange Transaction</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w w:val="96"/>
              </w:rPr>
              <w:t>The exchange of shares of the Series E and Series F Redeemable Preferred for shares of common stock</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pursuant to the Exchange Agreement.</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FASB</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February Report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WASDE report dated February 8, 2023.</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Financial Covenant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Certain springing financial covenants associated with the working capital revolver loan.</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GAAP</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U.S. Generally Accepted Accounting Principles.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Global</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Global Industrial, Inc., a subcontractor asserting mechanics liens for work rendered to LSB and EDC.</w:t>
            </w:r>
          </w:p>
        </w:tc>
        <w:tc>
          <w:tcPr>
            <w:tcW w:w="0" w:type="dxa"/>
            <w:vAlign w:val="bottom"/>
          </w:tcPr>
          <w:p>
            <w:pPr>
              <w:spacing w:after="0"/>
              <w:rPr>
                <w:sz w:val="1"/>
                <w:szCs w:val="1"/>
                <w:color w:val="auto"/>
              </w:rPr>
            </w:pPr>
          </w:p>
        </w:tc>
      </w:tr>
      <w:tr>
        <w:trPr>
          <w:trHeight w:val="336"/>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Golsen Holders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w w:val="90"/>
              </w:rPr>
              <w:t>Jack E. Golsen, Barry H. Golsen and certain of their related parties, as defined in the Board Representation and</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Standstill Agreement, as amended.</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Hallowell Facility</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 chemical facility previously owned by two of our subsidiaries located in Kansas.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HDAN</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High density ammonium nitrate prills used in the agricultural industry.</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Indenture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The agreement governing the 6.25% Senior Secured Notes.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J. Golsen</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Jack E. Golsen.</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KDHE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The Kansas Department of Health and Environment.</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Koch Fertilizer</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Koch Fertilizer L.L.C.</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LDAN</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Low density ammonium nitrate prills used in the mining industry.</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Leidos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Leidos Constructors L.L.C.</w:t>
            </w:r>
          </w:p>
        </w:tc>
        <w:tc>
          <w:tcPr>
            <w:tcW w:w="0" w:type="dxa"/>
            <w:vAlign w:val="bottom"/>
          </w:tcPr>
          <w:p>
            <w:pPr>
              <w:spacing w:after="0"/>
              <w:rPr>
                <w:sz w:val="1"/>
                <w:szCs w:val="1"/>
                <w:color w:val="auto"/>
              </w:rPr>
            </w:pPr>
          </w:p>
        </w:tc>
      </w:tr>
      <w:tr>
        <w:trPr>
          <w:trHeight w:val="336"/>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Liquidation Preference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w w:val="96"/>
              </w:rPr>
              <w:t>The Series E Redeemable Preferred liquidation preference of $1,000 per share plus accrued and unpaid</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dividends plus the participation rights value.</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LSB</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LSB Industries, Inc.</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LSB Funding</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LSB Funding L.L.C., an affiliate of Eldridge.</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Maximum Revolver Amount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Advances up to $65 million through the Working Capital Revolver Loan.</w:t>
            </w:r>
          </w:p>
        </w:tc>
        <w:tc>
          <w:tcPr>
            <w:tcW w:w="0" w:type="dxa"/>
            <w:vAlign w:val="bottom"/>
          </w:tcPr>
          <w:p>
            <w:pPr>
              <w:spacing w:after="0"/>
              <w:rPr>
                <w:sz w:val="1"/>
                <w:szCs w:val="1"/>
                <w:color w:val="auto"/>
              </w:rPr>
            </w:pPr>
          </w:p>
        </w:tc>
      </w:tr>
      <w:tr>
        <w:trPr>
          <w:trHeight w:val="336"/>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MD&amp;A</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w w:val="94"/>
              </w:rPr>
              <w:t>Management’s Discussion and Analysis of Financial Condition and Results of Operations found in Item 7 of</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this report.</w:t>
            </w:r>
          </w:p>
        </w:tc>
        <w:tc>
          <w:tcPr>
            <w:tcW w:w="0" w:type="dxa"/>
            <w:vAlign w:val="bottom"/>
          </w:tcPr>
          <w:p>
            <w:pPr>
              <w:spacing w:after="0"/>
              <w:rPr>
                <w:sz w:val="1"/>
                <w:szCs w:val="1"/>
                <w:color w:val="auto"/>
              </w:rPr>
            </w:pPr>
          </w:p>
        </w:tc>
      </w:tr>
      <w:tr>
        <w:trPr>
          <w:trHeight w:val="336"/>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New Notes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w w:val="91"/>
              </w:rPr>
              <w:t>The senior secured notes issued on October 14, 2021 with an interest rate of 6.250%, which mature in October</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NOL</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Net Operating Loss.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NOL Rights Agreement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Section 382 Rights Agreement.</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Note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A note in the accompanying notes to the consolidated financial statements.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NPDES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National Pollutant Discharge Elimination.</w:t>
            </w:r>
          </w:p>
        </w:tc>
        <w:tc>
          <w:tcPr>
            <w:tcW w:w="0" w:type="dxa"/>
            <w:vAlign w:val="bottom"/>
          </w:tcPr>
          <w:p>
            <w:pPr>
              <w:spacing w:after="0"/>
              <w:rPr>
                <w:sz w:val="1"/>
                <w:szCs w:val="1"/>
                <w:color w:val="auto"/>
              </w:rPr>
            </w:pPr>
          </w:p>
        </w:tc>
      </w:tr>
      <w:tr>
        <w:trPr>
          <w:trHeight w:val="319"/>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NPK</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7"/>
                <w:szCs w:val="17"/>
                <w:color w:val="auto"/>
              </w:rPr>
              <w:t>Compound fertilizer products which are a solid granular fertilizer product for which the nutrient content is a</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7"/>
                <w:szCs w:val="17"/>
                <w:color w:val="auto"/>
              </w:rPr>
              <w:t>combination of nitrogen, phosphorus, and potassium.</w:t>
            </w:r>
          </w:p>
        </w:tc>
        <w:tc>
          <w:tcPr>
            <w:tcW w:w="0" w:type="dxa"/>
            <w:vAlign w:val="bottom"/>
          </w:tcPr>
          <w:p>
            <w:pPr>
              <w:spacing w:after="0"/>
              <w:rPr>
                <w:sz w:val="1"/>
                <w:szCs w:val="1"/>
                <w:color w:val="auto"/>
              </w:rPr>
            </w:pPr>
          </w:p>
        </w:tc>
      </w:tr>
      <w:tr>
        <w:trPr>
          <w:trHeight w:val="355"/>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ODEQ</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The Oklahoma Department of Environmental Quality.</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Old Notes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The notes issued on April 28, 2018 with an interest rate of 9.625%, which mature in May 2023.</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PAR</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Permit Appeal Resolution</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PBRS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tcPr>
          <w:p>
            <w:pPr>
              <w:ind w:left="120"/>
              <w:spacing w:after="0"/>
              <w:rPr>
                <w:sz w:val="20"/>
                <w:szCs w:val="20"/>
                <w:color w:val="auto"/>
              </w:rPr>
            </w:pPr>
            <w:r>
              <w:rPr>
                <w:rFonts w:ascii="Arial" w:cs="Arial" w:eastAsia="Arial" w:hAnsi="Arial"/>
                <w:sz w:val="18"/>
                <w:szCs w:val="18"/>
                <w:color w:val="auto"/>
              </w:rPr>
              <w:t>Performance-based restricted stock.</w:t>
            </w:r>
          </w:p>
        </w:tc>
        <w:tc>
          <w:tcPr>
            <w:tcW w:w="0" w:type="dxa"/>
            <w:vAlign w:val="bottom"/>
          </w:tcPr>
          <w:p>
            <w:pPr>
              <w:spacing w:after="0"/>
              <w:rPr>
                <w:sz w:val="1"/>
                <w:szCs w:val="1"/>
                <w:color w:val="auto"/>
              </w:rPr>
            </w:pPr>
          </w:p>
        </w:tc>
      </w:tr>
      <w:tr>
        <w:trPr>
          <w:trHeight w:val="445"/>
        </w:trPr>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tcPr>
          <w:p>
            <w:pPr>
              <w:ind w:left="24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PBRSU</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PP&amp;E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Pryor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RFS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RMP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SBT Investors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2023</w:t>
      </w:r>
    </w:p>
    <w:p>
      <w:pPr>
        <w:spacing w:after="0" w:line="35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Secured Financing Agreement due 2025</w:t>
      </w:r>
    </w:p>
    <w:p>
      <w:pPr>
        <w:spacing w:after="0" w:line="82" w:lineRule="exact"/>
        <w:rPr>
          <w:sz w:val="20"/>
          <w:szCs w:val="20"/>
          <w:color w:val="auto"/>
        </w:rPr>
      </w:pPr>
    </w:p>
    <w:p>
      <w:pPr>
        <w:spacing w:after="0" w:line="406" w:lineRule="auto"/>
        <w:rPr>
          <w:sz w:val="20"/>
          <w:szCs w:val="20"/>
          <w:color w:val="auto"/>
        </w:rPr>
      </w:pPr>
      <w:r>
        <w:rPr>
          <w:rFonts w:ascii="Arial" w:cs="Arial" w:eastAsia="Arial" w:hAnsi="Arial"/>
          <w:sz w:val="18"/>
          <w:szCs w:val="18"/>
          <w:b w:val="1"/>
          <w:bCs w:val="1"/>
          <w:color w:val="auto"/>
        </w:rPr>
        <w:t>Secured Loan Agreement due 2025 Secured Promissory Note due 2021 Senior Secured Notes Series B Preferred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Redeemable Preferred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Preferred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SG&amp;A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Turnaround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WASDE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Fertilizer</w:t>
      </w:r>
    </w:p>
    <w:p>
      <w:pPr>
        <w:spacing w:after="0" w:line="144" w:lineRule="exact"/>
        <w:rPr>
          <w:sz w:val="20"/>
          <w:szCs w:val="20"/>
          <w:color w:val="auto"/>
        </w:rPr>
      </w:pPr>
    </w:p>
    <w:p>
      <w:pPr>
        <w:ind w:right="200"/>
        <w:spacing w:after="0" w:line="406" w:lineRule="auto"/>
        <w:rPr>
          <w:sz w:val="20"/>
          <w:szCs w:val="20"/>
          <w:color w:val="auto"/>
        </w:rPr>
      </w:pPr>
      <w:r>
        <w:rPr>
          <w:rFonts w:ascii="Arial" w:cs="Arial" w:eastAsia="Arial" w:hAnsi="Arial"/>
          <w:sz w:val="18"/>
          <w:szCs w:val="18"/>
          <w:b w:val="1"/>
          <w:bCs w:val="1"/>
          <w:color w:val="auto"/>
        </w:rPr>
        <w:t>Working Capital Revolver Loan 2005 Agreement 2008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Plan</w:t>
      </w:r>
    </w:p>
    <w:p>
      <w:pPr>
        <w:spacing w:after="0" w:line="20" w:lineRule="exact"/>
        <w:rPr>
          <w:sz w:val="20"/>
          <w:szCs w:val="20"/>
          <w:color w:val="auto"/>
        </w:rPr>
      </w:pPr>
      <w:r>
        <w:rPr>
          <w:sz w:val="20"/>
          <w:szCs w:val="20"/>
          <w:color w:val="auto"/>
        </w:rPr>
        <w:br w:type="column"/>
      </w: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Performance-based restricted stock unit.</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Pryor Chemical Company.</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Plant, property and equipment.</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Paycheck Protection Program</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chemical production facility located in Pryor, Oklahoma.</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Date of retirement of Jack E. Golsen as Executive Chairman of the Board, December 31, 2017.</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renewable fuel standards.</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Management Program.</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unit.</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Small Business Administration.</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SBT Investors LLC, an affiliate of Eldridge.</w:t>
      </w:r>
    </w:p>
    <w:p>
      <w:pPr>
        <w:spacing w:after="0" w:line="251"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Securities and Exchange Commission.</w:t>
      </w:r>
    </w:p>
    <w:p>
      <w:pPr>
        <w:spacing w:after="0" w:line="143" w:lineRule="exact"/>
        <w:rPr>
          <w:rFonts w:ascii="Arial" w:cs="Arial" w:eastAsia="Arial" w:hAnsi="Arial"/>
          <w:sz w:val="18"/>
          <w:szCs w:val="18"/>
          <w:color w:val="auto"/>
        </w:rPr>
      </w:pPr>
    </w:p>
    <w:p>
      <w:pPr>
        <w:ind w:left="287" w:hanging="287"/>
        <w:spacing w:after="0" w:line="277" w:lineRule="auto"/>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secured financing arrangement between EDC and an affiliate of LSB Funding L.L.C. which matures in June 2023.</w:t>
      </w:r>
    </w:p>
    <w:p>
      <w:pPr>
        <w:spacing w:after="0" w:line="88" w:lineRule="exact"/>
        <w:rPr>
          <w:rFonts w:ascii="Arial" w:cs="Arial" w:eastAsia="Arial" w:hAnsi="Arial"/>
          <w:sz w:val="18"/>
          <w:szCs w:val="18"/>
          <w:color w:val="auto"/>
        </w:rPr>
      </w:pPr>
    </w:p>
    <w:p>
      <w:pPr>
        <w:ind w:left="287" w:hanging="287"/>
        <w:spacing w:after="0" w:line="277" w:lineRule="auto"/>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secured financing arrangement between EDA and an affiliate of LSB Funding L.L.C. which matures in August 2025.</w:t>
      </w:r>
    </w:p>
    <w:p>
      <w:pPr>
        <w:spacing w:after="0" w:line="88"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secured loan agreement between EDC and an affiliate of LSB Funding L.L.C. which matures in March 2025.</w:t>
      </w:r>
    </w:p>
    <w:p>
      <w:pPr>
        <w:spacing w:after="0" w:line="166" w:lineRule="exact"/>
        <w:rPr>
          <w:rFonts w:ascii="Arial" w:cs="Arial" w:eastAsia="Arial" w:hAnsi="Arial"/>
          <w:sz w:val="16"/>
          <w:szCs w:val="16"/>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matured in March 2021.</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secured notes with a stated interest rate of 9.625%, which were redeemed in October 2021.</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Series B 12% cumulative convertible Class C Preferred stock.</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Series D 6% cumulative convertible Class C preferred stock.</w:t>
      </w:r>
    </w:p>
    <w:p>
      <w:pPr>
        <w:spacing w:after="0" w:line="143" w:lineRule="exact"/>
        <w:rPr>
          <w:rFonts w:ascii="Arial" w:cs="Arial" w:eastAsia="Arial" w:hAnsi="Arial"/>
          <w:sz w:val="18"/>
          <w:szCs w:val="18"/>
          <w:color w:val="auto"/>
        </w:rPr>
      </w:pPr>
    </w:p>
    <w:p>
      <w:pPr>
        <w:ind w:left="287" w:hanging="287"/>
        <w:spacing w:after="0" w:line="277" w:lineRule="auto"/>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14% Series E Redeemable Preferred stock with participating rights and liquidating distributions based on a certain number of shares of our common stock.</w:t>
      </w:r>
    </w:p>
    <w:p>
      <w:pPr>
        <w:spacing w:after="0" w:line="88" w:lineRule="exact"/>
        <w:rPr>
          <w:rFonts w:ascii="Arial" w:cs="Arial" w:eastAsia="Arial" w:hAnsi="Arial"/>
          <w:sz w:val="18"/>
          <w:szCs w:val="18"/>
          <w:color w:val="auto"/>
        </w:rPr>
      </w:pPr>
    </w:p>
    <w:p>
      <w:pPr>
        <w:ind w:left="287" w:hanging="287"/>
        <w:spacing w:after="0" w:line="277" w:lineRule="auto"/>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Series F Redeemable Preferred stock with one share to vote as a single class on all matters with our common stock equal to 456,225 shares of our common stock.</w:t>
      </w:r>
    </w:p>
    <w:p>
      <w:pPr>
        <w:spacing w:after="0" w:line="88"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stock split in the form of a common stock dividend declared by our Board.</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of our stockholders held during the third quarter of 2021.</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agreement between Jack E. Golsen and LSB, dated June 30, 2017.</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planned major maintenance activity.</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Urea ammonia nitrate.</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Department of Agriculture.</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World Agricultural Supply and Demand Estimates Report.</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West Fertilizer Company.</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secured revolving credit facility.</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death benefit agreement with Jack E. Golsen.</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2008 Incentive Stock Plan.</w:t>
      </w:r>
    </w:p>
    <w:p>
      <w:pPr>
        <w:spacing w:after="0" w:line="143" w:lineRule="exact"/>
        <w:rPr>
          <w:rFonts w:ascii="Arial" w:cs="Arial" w:eastAsia="Arial" w:hAnsi="Arial"/>
          <w:sz w:val="18"/>
          <w:szCs w:val="18"/>
          <w:color w:val="auto"/>
        </w:rPr>
      </w:pPr>
    </w:p>
    <w:p>
      <w:pPr>
        <w:ind w:left="287" w:hanging="287"/>
        <w:spacing w:after="0"/>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2016 Long Term Incentive Plan.</w:t>
      </w:r>
    </w:p>
    <w:p>
      <w:pPr>
        <w:spacing w:after="0" w:line="346" w:lineRule="exact"/>
        <w:rPr>
          <w:sz w:val="20"/>
          <w:szCs w:val="20"/>
          <w:color w:val="auto"/>
        </w:rPr>
      </w:pPr>
    </w:p>
    <w:p>
      <w:pPr>
        <w:ind w:left="2647"/>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680" w:space="193"/>
            <w:col w:w="8327"/>
          </w:cols>
          <w:pgMar w:left="340" w:top="458"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2021 Crop</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gridSpan w:val="11"/>
          </w:tcPr>
          <w:p>
            <w:pPr>
              <w:ind w:left="120"/>
              <w:spacing w:after="0"/>
              <w:rPr>
                <w:sz w:val="20"/>
                <w:szCs w:val="20"/>
                <w:color w:val="auto"/>
              </w:rPr>
            </w:pPr>
            <w:r>
              <w:rPr>
                <w:rFonts w:ascii="Arial" w:cs="Arial" w:eastAsia="Arial" w:hAnsi="Arial"/>
                <w:sz w:val="18"/>
                <w:szCs w:val="18"/>
                <w:color w:val="auto"/>
                <w:w w:val="93"/>
              </w:rPr>
              <w:t>Corn crop marketing year (September 1 - August 31), which began in 2020 and ended in 2021 and primarily</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60" w:type="dxa"/>
            <w:vAlign w:val="bottom"/>
            <w:gridSpan w:val="5"/>
          </w:tcPr>
          <w:p>
            <w:pPr>
              <w:ind w:left="120"/>
              <w:spacing w:after="0"/>
              <w:rPr>
                <w:sz w:val="20"/>
                <w:szCs w:val="20"/>
                <w:color w:val="auto"/>
              </w:rPr>
            </w:pPr>
            <w:r>
              <w:rPr>
                <w:rFonts w:ascii="Arial" w:cs="Arial" w:eastAsia="Arial" w:hAnsi="Arial"/>
                <w:sz w:val="18"/>
                <w:szCs w:val="18"/>
                <w:color w:val="auto"/>
              </w:rPr>
              <w:t>relates to corn planted and harvested in 2020.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2022 Crop</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gridSpan w:val="11"/>
          </w:tcPr>
          <w:p>
            <w:pPr>
              <w:ind w:left="120"/>
              <w:spacing w:after="0"/>
              <w:rPr>
                <w:sz w:val="20"/>
                <w:szCs w:val="20"/>
                <w:color w:val="auto"/>
              </w:rPr>
            </w:pPr>
            <w:r>
              <w:rPr>
                <w:rFonts w:ascii="Arial" w:cs="Arial" w:eastAsia="Arial" w:hAnsi="Arial"/>
                <w:sz w:val="18"/>
                <w:szCs w:val="18"/>
                <w:color w:val="auto"/>
                <w:w w:val="93"/>
              </w:rPr>
              <w:t>Corn crop marketing year (September 1 - August 31), which began in 2021 and ended in 2022 and primarily</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60" w:type="dxa"/>
            <w:vAlign w:val="bottom"/>
            <w:gridSpan w:val="5"/>
          </w:tcPr>
          <w:p>
            <w:pPr>
              <w:ind w:left="120"/>
              <w:spacing w:after="0"/>
              <w:rPr>
                <w:sz w:val="20"/>
                <w:szCs w:val="20"/>
                <w:color w:val="auto"/>
              </w:rPr>
            </w:pPr>
            <w:r>
              <w:rPr>
                <w:rFonts w:ascii="Arial" w:cs="Arial" w:eastAsia="Arial" w:hAnsi="Arial"/>
                <w:sz w:val="18"/>
                <w:szCs w:val="18"/>
                <w:color w:val="auto"/>
              </w:rPr>
              <w:t>relates to corn planted and harvested in 2021.</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2023 Crop</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180" w:type="dxa"/>
            <w:vAlign w:val="bottom"/>
            <w:gridSpan w:val="11"/>
          </w:tcPr>
          <w:p>
            <w:pPr>
              <w:ind w:left="120"/>
              <w:spacing w:after="0"/>
              <w:rPr>
                <w:sz w:val="20"/>
                <w:szCs w:val="20"/>
                <w:color w:val="auto"/>
              </w:rPr>
            </w:pPr>
            <w:r>
              <w:rPr>
                <w:rFonts w:ascii="Arial" w:cs="Arial" w:eastAsia="Arial" w:hAnsi="Arial"/>
                <w:sz w:val="18"/>
                <w:szCs w:val="18"/>
                <w:color w:val="auto"/>
                <w:w w:val="92"/>
              </w:rPr>
              <w:t>Corn crop marketing year (September 1 - August 31), which began in 2022 and will end in 2023 and primarily</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60" w:type="dxa"/>
            <w:vAlign w:val="bottom"/>
            <w:gridSpan w:val="5"/>
          </w:tcPr>
          <w:p>
            <w:pPr>
              <w:ind w:left="120"/>
              <w:spacing w:after="0"/>
              <w:rPr>
                <w:sz w:val="20"/>
                <w:szCs w:val="20"/>
                <w:color w:val="auto"/>
              </w:rPr>
            </w:pPr>
            <w:r>
              <w:rPr>
                <w:rFonts w:ascii="Arial" w:cs="Arial" w:eastAsia="Arial" w:hAnsi="Arial"/>
                <w:sz w:val="18"/>
                <w:szCs w:val="18"/>
                <w:color w:val="auto"/>
              </w:rPr>
              <w:t>relates to corn planted and harvested in 2022.</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040" w:type="dxa"/>
            <w:vAlign w:val="bottom"/>
            <w:gridSpan w:val="5"/>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 applicable.</w:t>
            </w:r>
          </w:p>
        </w:tc>
        <w:tc>
          <w:tcPr>
            <w:tcW w:w="1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ITEM 2. PROPERTIES</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40" w:type="dxa"/>
            <w:vAlign w:val="bottom"/>
            <w:gridSpan w:val="5"/>
          </w:tcPr>
          <w:p>
            <w:pPr>
              <w:spacing w:after="0"/>
              <w:rPr>
                <w:sz w:val="20"/>
                <w:szCs w:val="20"/>
                <w:color w:val="auto"/>
              </w:rPr>
            </w:pPr>
            <w:r>
              <w:rPr>
                <w:rFonts w:ascii="Arial" w:cs="Arial" w:eastAsia="Arial" w:hAnsi="Arial"/>
                <w:sz w:val="18"/>
                <w:szCs w:val="18"/>
                <w:color w:val="auto"/>
              </w:rPr>
              <w:t>The following table presents our significant properties for 2022:</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El Dorado</w:t>
            </w:r>
          </w:p>
        </w:tc>
        <w:tc>
          <w:tcPr>
            <w:tcW w:w="160" w:type="dxa"/>
            <w:vAlign w:val="bottom"/>
          </w:tcPr>
          <w:p>
            <w:pPr>
              <w:spacing w:after="0"/>
              <w:rPr>
                <w:sz w:val="24"/>
                <w:szCs w:val="2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Cherokee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Baytown</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Chemical</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85"/>
        </w:trPr>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Facility</w:t>
            </w: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Pryor Facility</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36"/>
        </w:trPr>
        <w:tc>
          <w:tcPr>
            <w:tcW w:w="1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Location</w:t>
            </w:r>
          </w:p>
        </w:tc>
        <w:tc>
          <w:tcPr>
            <w:tcW w:w="1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El Dorado, AR</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Cherokee, AL</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Pryor, OK</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Baytown, TX</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38"/>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Plant Area (acres)</w:t>
            </w:r>
          </w:p>
        </w:tc>
        <w:tc>
          <w:tcPr>
            <w:tcW w:w="1200" w:type="dxa"/>
            <w:vAlign w:val="bottom"/>
          </w:tcPr>
          <w:p>
            <w:pPr>
              <w:spacing w:after="0"/>
              <w:rPr>
                <w:sz w:val="20"/>
                <w:szCs w:val="20"/>
                <w:color w:val="auto"/>
              </w:rPr>
            </w:pP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Site Area (acres)</w:t>
            </w:r>
          </w:p>
        </w:tc>
        <w:tc>
          <w:tcPr>
            <w:tcW w:w="1200" w:type="dxa"/>
            <w:vAlign w:val="bottom"/>
            <w:shd w:val="clear" w:color="auto" w:fill="CFF0FC"/>
          </w:tcPr>
          <w:p>
            <w:pPr>
              <w:spacing w:after="0"/>
              <w:rPr>
                <w:sz w:val="21"/>
                <w:szCs w:val="21"/>
                <w:color w:val="auto"/>
              </w:rPr>
            </w:pPr>
          </w:p>
        </w:tc>
        <w:tc>
          <w:tcPr>
            <w:tcW w:w="2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(B)</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Site Status</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Agreement</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22"/>
        </w:trPr>
        <w:tc>
          <w:tcPr>
            <w:tcW w:w="30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w w:val="95"/>
              </w:rPr>
              <w:t>Ammonia Production Capacity (tons)</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493,000 (C)</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188,000 (D)</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246,000 (E)</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Applicable</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20" w:hanging="512"/>
        <w:spacing w:after="0" w:line="25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distribute our agricultural products through 7 wholesale and retail distribution centers, with 6 of the centers located in Texas (5 of which we own and 1 of which we lease); and 1 center located in Missouri (owned).</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facility is located within a chemical production complex owned by Covestro.</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ammonia production capacity is based on optimal 1,350 tons per day of production for the year but excludes 27 Turnaround days during 2022.</w:t>
      </w:r>
    </w:p>
    <w:p>
      <w:pPr>
        <w:spacing w:after="0" w:line="31" w:lineRule="exact"/>
        <w:rPr>
          <w:rFonts w:ascii="Arial" w:cs="Arial" w:eastAsia="Arial" w:hAnsi="Arial"/>
          <w:sz w:val="16"/>
          <w:szCs w:val="16"/>
          <w:color w:val="auto"/>
        </w:rPr>
      </w:pPr>
    </w:p>
    <w:p>
      <w:pPr>
        <w:ind w:left="52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ammonia production capacity is based on 515 tons per day of production for the year. The Cherokee Facility did not perform a Turnaround during 2022.</w:t>
      </w:r>
    </w:p>
    <w:p>
      <w:pPr>
        <w:ind w:left="520" w:hanging="512"/>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ammonia production capacity is based on 675 tons per day of production for the year but excludes 38 Turnaround days during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 2022, our facilities produced approximately 732,000 tons of ammonia.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Legal Matters under Note 8 to the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February 17, 2023, we had approximately 335 record holders of our common stock which was obtained from our transfer agent. This number does not include investors whose ownership is recorded in the name of their brokerage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relating to our equity compensation plans under Item 12 of Part III are incorporated by reference to our definitive proxy statement which we intend to file with the SEC on or before March 28,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we completed the repurchase authorizations by repurchasing approximately 13.2 million shares at an average cost of approximately $13 per share, including fees, including 9.0 million shares that were repurchased at an average cost of approximately $13 per share in connection with public offerings by LSB Funding and SBT Investors, each of which is an affiliate of Eldridge.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purchase of its common stock for the year ended December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 Total Number of Shares (or Units)</w:t>
            </w:r>
          </w:p>
        </w:tc>
        <w:tc>
          <w:tcPr>
            <w:tcW w:w="100" w:type="dxa"/>
            <w:vAlign w:val="bottom"/>
          </w:tcPr>
          <w:p>
            <w:pPr>
              <w:spacing w:after="0"/>
              <w:rPr>
                <w:sz w:val="12"/>
                <w:szCs w:val="12"/>
                <w:color w:val="auto"/>
              </w:rPr>
            </w:pPr>
          </w:p>
        </w:tc>
        <w:tc>
          <w:tcPr>
            <w:tcW w:w="2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 Total Number of</w:t>
            </w:r>
          </w:p>
        </w:tc>
        <w:tc>
          <w:tcPr>
            <w:tcW w:w="1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(b) Average Price</w:t>
            </w:r>
          </w:p>
        </w:tc>
        <w:tc>
          <w:tcPr>
            <w:tcW w:w="12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Shares (or Units) that May</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1680"/>
              <w:spacing w:after="0"/>
              <w:rPr>
                <w:sz w:val="20"/>
                <w:szCs w:val="20"/>
                <w:color w:val="auto"/>
              </w:rPr>
            </w:pPr>
            <w:r>
              <w:rPr>
                <w:rFonts w:ascii="Arial" w:cs="Arial" w:eastAsia="Arial" w:hAnsi="Arial"/>
                <w:sz w:val="18"/>
                <w:szCs w:val="18"/>
                <w:b w:val="1"/>
                <w:bCs w:val="1"/>
                <w:color w:val="auto"/>
              </w:rPr>
              <w:t>Period</w:t>
            </w: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460" w:type="dxa"/>
            <w:vAlign w:val="bottom"/>
          </w:tcPr>
          <w:p>
            <w:pPr>
              <w:jc w:val="right"/>
              <w:ind w:right="93"/>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Paid per Share</w:t>
            </w:r>
          </w:p>
        </w:tc>
        <w:tc>
          <w:tcPr>
            <w:tcW w:w="1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 Plans or Program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Plans or Program</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 – May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49,416,245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June 1 – June 30, 2022</w:t>
            </w:r>
          </w:p>
        </w:tc>
        <w:tc>
          <w:tcPr>
            <w:tcW w:w="1460" w:type="dxa"/>
            <w:vAlign w:val="bottom"/>
          </w:tcPr>
          <w:p>
            <w:pPr>
              <w:jc w:val="right"/>
              <w:spacing w:after="0"/>
              <w:rPr>
                <w:sz w:val="20"/>
                <w:szCs w:val="20"/>
                <w:color w:val="auto"/>
              </w:rPr>
            </w:pPr>
            <w:r>
              <w:rPr>
                <w:rFonts w:ascii="Arial" w:cs="Arial" w:eastAsia="Arial" w:hAnsi="Arial"/>
                <w:sz w:val="18"/>
                <w:szCs w:val="18"/>
                <w:color w:val="auto"/>
              </w:rPr>
              <w:t>719,224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17.81</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719,224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36,606,634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July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34,907,150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August 1 – August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6,590,288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6,590,288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2,086,186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September 30,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October 1 - October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 November 30,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3,871,516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3,871,516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24,483,801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December 1 - December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1,693,399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1,693,399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13,167,794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13,167,794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jc w:val="both"/>
        <w:ind w:left="1140" w:right="20" w:hanging="383"/>
        <w:spacing w:after="0" w:line="271" w:lineRule="auto"/>
        <w:tabs>
          <w:tab w:leader="none" w:pos="1140" w:val="left"/>
        </w:tabs>
        <w:numPr>
          <w:ilvl w:val="0"/>
          <w:numId w:val="16"/>
        </w:numPr>
        <w:rPr>
          <w:rFonts w:ascii="Arial" w:cs="Arial" w:eastAsia="Arial" w:hAnsi="Arial"/>
          <w:sz w:val="12"/>
          <w:szCs w:val="12"/>
          <w:color w:val="auto"/>
        </w:rPr>
      </w:pPr>
      <w:r>
        <w:rPr>
          <w:rFonts w:ascii="Arial" w:cs="Arial" w:eastAsia="Arial" w:hAnsi="Arial"/>
          <w:sz w:val="16"/>
          <w:szCs w:val="16"/>
          <w:color w:val="auto"/>
        </w:rPr>
        <w:t>During May 2022, our Board authorized a $50 million stock repurchase program. In August 2022, our Board authorized an increase in the size of the stock repurchase program to $100 million. In October 2022, our Board approved another expansion of the stock repurchase program</w:t>
      </w:r>
      <w:r>
        <w:rPr>
          <w:rFonts w:ascii="Arial" w:cs="Arial" w:eastAsia="Arial" w:hAnsi="Arial"/>
          <w:sz w:val="17"/>
          <w:szCs w:val="17"/>
          <w:color w:val="auto"/>
        </w:rPr>
        <w:t>, authorizing us to</w:t>
      </w:r>
      <w:r>
        <w:rPr>
          <w:rFonts w:ascii="Arial" w:cs="Arial" w:eastAsia="Arial" w:hAnsi="Arial"/>
          <w:sz w:val="16"/>
          <w:szCs w:val="16"/>
          <w:color w:val="auto"/>
        </w:rPr>
        <w:t xml:space="preserve"> repurchase an additional $75 million of our outstanding common stock under the stock repurchase program.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MD&amp;A should be read in conjunction with a review of the other Items included in this Form 10-K and our December 31, 2022 consolidated financial statements included elsewhere in this report. A reference to a “Note” relates to a note in the accompanying notes to the consolidated financial statements. Certain statements contained in this MD&amp;A may be deemed to be forward-looking statements. See “Special Note Regarding Forward-Looking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our subsidiaries, we manufacture and sell chemical products for the agricultural, mining, and industrial markets. We own and operate three multi plant facilities in Cherokee, Alabama, El Dorado, Arkansas and Pryor, Oklahoma, and operate a facility on behalf of Covestro in Baytown, Texas. Our products are sold through distributors and directly to end customers, primarily throughout the U.S. and parts of Mexico, Canada and the Caribbean.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the following key initiatives:</w:t>
      </w:r>
    </w:p>
    <w:p>
      <w:pPr>
        <w:spacing w:after="0" w:line="102" w:lineRule="exact"/>
        <w:rPr>
          <w:sz w:val="20"/>
          <w:szCs w:val="20"/>
          <w:color w:val="auto"/>
        </w:rPr>
      </w:pPr>
    </w:p>
    <w:p>
      <w:pPr>
        <w:ind w:left="660" w:hanging="50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while Supplying our Customers with Products of the Highest Quality.</w:t>
      </w:r>
    </w:p>
    <w:p>
      <w:pPr>
        <w:spacing w:after="0" w:line="75" w:lineRule="exact"/>
        <w:rPr>
          <w:rFonts w:ascii="Arial" w:cs="Arial" w:eastAsia="Arial" w:hAnsi="Arial"/>
          <w:sz w:val="18"/>
          <w:szCs w:val="18"/>
          <w:color w:val="auto"/>
        </w:rPr>
      </w:pPr>
    </w:p>
    <w:p>
      <w:pPr>
        <w:jc w:val="both"/>
        <w:ind w:left="1020" w:hanging="504"/>
        <w:spacing w:after="0" w:line="256"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In 2023 we remain focused on our efforts to further the progress we’ve made with our safety programs to move closer to attaining zero injuries. We plan to invest additional capital at all three of our facilities during 2023 to build upon the success we have had in implementing enhanced safety programs during the last several years.</w:t>
      </w:r>
    </w:p>
    <w:p>
      <w:pPr>
        <w:spacing w:after="0" w:line="82" w:lineRule="exact"/>
        <w:rPr>
          <w:rFonts w:ascii="Arial" w:cs="Arial" w:eastAsia="Arial" w:hAnsi="Arial"/>
          <w:sz w:val="18"/>
          <w:szCs w:val="18"/>
          <w:color w:val="auto"/>
        </w:rPr>
      </w:pPr>
    </w:p>
    <w:p>
      <w:pPr>
        <w:jc w:val="both"/>
        <w:ind w:left="1020" w:hanging="504"/>
        <w:spacing w:after="0" w:line="259"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have multiple initiatives currently underway focused on continuing to improve the reliability of our plants as we advance towards our 95% on-stream operating rate goal. Progress towards this goal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w:t>
      </w:r>
    </w:p>
    <w:p>
      <w:pPr>
        <w:spacing w:after="0" w:line="77" w:lineRule="exact"/>
        <w:rPr>
          <w:rFonts w:ascii="Arial" w:cs="Arial" w:eastAsia="Arial" w:hAnsi="Arial"/>
          <w:sz w:val="18"/>
          <w:szCs w:val="18"/>
          <w:color w:val="auto"/>
        </w:rPr>
      </w:pPr>
    </w:p>
    <w:p>
      <w:pPr>
        <w:jc w:val="both"/>
        <w:ind w:left="660" w:hanging="503"/>
        <w:spacing w:after="0" w:line="29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Continue Broadening the Distribution and Optimization of our Product Mix. </w:t>
      </w:r>
      <w:r>
        <w:rPr>
          <w:rFonts w:ascii="Arial" w:cs="Arial" w:eastAsia="Arial" w:hAnsi="Arial"/>
          <w:sz w:val="16"/>
          <w:szCs w:val="16"/>
          <w:color w:val="auto"/>
        </w:rPr>
        <w:t>Over the course of 2022, we were successful in improving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capacity of our plants, particularly through Turnarounds at two of our facilities. We plan to continue to expand the distribution of our products by partnering with customers to take product into different markets, while also focusing on opportunities to upgrade our margins through the optimization of our product mix. In January of 2023, we took over direct distribution of our Pryor facility’s UAN production following several years of working with a third party to sell the product. We believe that this, combined with continued expansion of our customer relationships and the robust market analysis capabilities we have developed, will make us more effective in identifying and capitalizing on the most profitable distribution opportunities for our products. Additionally, we will continue to progress several capital improvement projects during 2023 that are related to our storage and distribution capabilities that we believe will assist us in improving our overall margins.</w:t>
      </w:r>
    </w:p>
    <w:p>
      <w:pPr>
        <w:spacing w:after="0" w:line="55" w:lineRule="exact"/>
        <w:rPr>
          <w:rFonts w:ascii="Arial" w:cs="Arial" w:eastAsia="Arial" w:hAnsi="Arial"/>
          <w:sz w:val="16"/>
          <w:szCs w:val="16"/>
          <w:color w:val="auto"/>
        </w:rPr>
      </w:pPr>
    </w:p>
    <w:p>
      <w:pPr>
        <w:jc w:val="both"/>
        <w:ind w:left="660" w:hanging="503"/>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Implementation of a Strategy to Capitalize on Low Carbon Ammonia and Clean Energy Opportunities. </w:t>
      </w:r>
      <w:r>
        <w:rPr>
          <w:rFonts w:ascii="Arial" w:cs="Arial" w:eastAsia="Arial" w:hAnsi="Arial"/>
          <w:sz w:val="17"/>
          <w:szCs w:val="17"/>
          <w:color w:val="auto"/>
        </w:rPr>
        <w:t>The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particularly related to carbon dioxide, has been and we expect will increasingly become a global environmental priority as part of efforts to stem the harmful effects of climate change. Ammonia has continued to emerge as one of the more viable alternatives to serve as a hydrogen-based energy source for a variety of applications due to its higher energy density and ease of storage relative to hydrogen gas. Blue and green ammonia can be used as zero carbon fuel in the maritime sector, as a carbon free fertilizer and as a coal substitute in power generation. If ammonia were to be adopted for these and other energy needs globally, some studies have indicated that future demand could increase significantly from current levels of global annual production of ammonia.</w:t>
      </w:r>
    </w:p>
    <w:p>
      <w:pPr>
        <w:spacing w:after="0" w:line="7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agricultural, industrial, 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spacing w:after="0" w:line="84"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We believe we are well-positioned to capitalize on this opportunity and become a market leader given our potential to retrofit our existing plants rather than needing to invest entirely in greenfield projects, which we believe can reduce our time to market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660"/>
        <w:spacing w:after="0" w:line="277" w:lineRule="auto"/>
        <w:rPr>
          <w:sz w:val="20"/>
          <w:szCs w:val="20"/>
          <w:color w:val="auto"/>
        </w:rPr>
      </w:pPr>
      <w:r>
        <w:rPr>
          <w:rFonts w:ascii="Arial" w:cs="Arial" w:eastAsia="Arial" w:hAnsi="Arial"/>
          <w:sz w:val="18"/>
          <w:szCs w:val="18"/>
          <w:color w:val="auto"/>
        </w:rPr>
        <w:t>for this product and also reduce the upfront capital expenditures necessary to enable us to produce this product, thereby enhancing the economic attractiveness for us to such investments.</w:t>
      </w:r>
    </w:p>
    <w:p>
      <w:pPr>
        <w:spacing w:after="0" w:line="62" w:lineRule="exact"/>
        <w:rPr>
          <w:sz w:val="20"/>
          <w:szCs w:val="20"/>
          <w:color w:val="auto"/>
        </w:rPr>
      </w:pPr>
    </w:p>
    <w:p>
      <w:pPr>
        <w:jc w:val="both"/>
        <w:ind w:left="660" w:hanging="503"/>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Evaluate and Pursue Organic Capacity Expansion. </w:t>
      </w:r>
      <w:r>
        <w:rPr>
          <w:rFonts w:ascii="Arial" w:cs="Arial" w:eastAsia="Arial" w:hAnsi="Arial"/>
          <w:sz w:val="17"/>
          <w:szCs w:val="17"/>
          <w:color w:val="auto"/>
        </w:rPr>
        <w:t>We are evaluating opportunities across all of our facilities to increase production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implementation of several potential debottlenecking projects. Our initial calculations suggest that, assuming mid-market pricing for Tampa ammonia, UAN and natural gas, these projects could potentially represent significant incremental annual profitability. We expect to progress our evaluations during 2023 with the goal of making a recommendation to our Board by mid-year 2023.</w:t>
      </w:r>
    </w:p>
    <w:p>
      <w:pPr>
        <w:spacing w:after="0" w:line="61" w:lineRule="exact"/>
        <w:rPr>
          <w:rFonts w:ascii="Arial" w:cs="Arial" w:eastAsia="Arial" w:hAnsi="Arial"/>
          <w:sz w:val="17"/>
          <w:szCs w:val="17"/>
          <w:color w:val="auto"/>
        </w:rPr>
      </w:pPr>
    </w:p>
    <w:p>
      <w:pPr>
        <w:jc w:val="both"/>
        <w:ind w:left="660" w:hanging="503"/>
        <w:spacing w:after="0" w:line="30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Pursue Acquisitions of Strategic Assets or Companies. </w:t>
      </w:r>
      <w:r>
        <w:rPr>
          <w:rFonts w:ascii="Arial" w:cs="Arial" w:eastAsia="Arial" w:hAnsi="Arial"/>
          <w:sz w:val="16"/>
          <w:szCs w:val="16"/>
          <w:color w:val="auto"/>
        </w:rPr>
        <w:t>We are actively engaged in evaluating and pursuing various opportunities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assets or companies, where we believe those acquisitions will enhance the value of the Company and provide attractive returns. We evaluate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Signed Agreements for Low and No Carbon Ammonia Projects</w:t>
      </w:r>
    </w:p>
    <w:p>
      <w:pPr>
        <w:spacing w:after="0" w:line="5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April 2022 we entered into an agreement with Lapis Energy to develop a project to capture and permanently sequester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at our El Dorado, Arkansas facility. Lapis, backed by Cresta Fund Management, a Dallas-based middle-market infrastructure investment firm, will make 100% of the capital investment required for the project development. The project is expected to be completed by 2025, subject to the approval of a Class VI permit, at which time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injections are expected to begin. Once operational, the project at the El Dorado site will initially capture and permanently sequester more than 450,000 metric tons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per year in underground saline aquifers, with the potential to increase this quantity based on a potential debottlenecking project at the facility. The permanently sequestered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generated from the facility’s ammonia production is expected to qualify for federal tax credits under Internal Revenue Code Section 45Q, which are $85 per metric ton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captured beginning in 2026. Once in operation, the sequestered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is expected to reduce LSB’s scope 1 GHG emissions by approximately 25% from current levels. In addition, sequestering more than 450,000 metric tons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annually is expected to enable LSB to produce over 375,000 metric tons of blue ammonia annually, a product that could potentially be sold at higher price levels than conventional ammonia. We recently achieved a key milestone in the advancement of our blue ammonia project at El Dorado by filing a permit application with the U.S. Environmental Protection Agency to develop a Class VI well. Upon approval of the Class VI permit, construction will begin on the infrastructure required to capture and sequester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at El Dorado.</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2022 we entered into agreements with Thyssenkrupp Uhde USA, LLC and Bloom Energy, (NYSE:BE) to develop a project to produce approximately 30,000 metric tons of zero-carbon or “green” ammonia per year at our Pryor, Oklahoma facility. Thyssenkrupp Uhde will develop the engineering design to convert a small portion of Pryor’s existing conventional or “grey” ammonia capacity into green ammonia. Pending results of the feasibility study currently underway and subsequent board approval, the project is planned to be constructed in two phases: first with Bloom supplying a 10-megawatt solid oxide electrolyzer, followed by the installation of an additional 20-megawatt alkaline electrolyzer unit, which we plan to source from a leading manufacturer. Bloom will operate and maintain the solid oxide electrolyzer. The green hydrogen produced from the electrolyzers is expected to qualify for federal incentive programs such as the production and tax credit under Internal Revenue Code Section 45V, which are up to $3 per kilogram of clean hydrogen beginning in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sales and profitability increased significantly in 2022 as compared to 2021. We generated these improved results despite conducting Turnarounds at two of our facilities while we conducted only one Turnaround in 2021. Selling prices for all of our major products were higher for 2022 as compared to last year due to a combination of supply and demand factors.</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Elevated corn prices remain a significant driver to the strength of fertilizer pricing. Current U.S. corn prices reflect the impact on global corn supplies of dry conditions in South America, the Western U.S. and parts of Europe. Recent U.S. Department of Agriculture (“USDA”) forecasts point to U.S. corn acreage to be planted in the 2022-2023 planting season to be approximately 88.6 million acres, lower than the 2021-2022 estimate of 93.3 million acres, due largely to the impact of wet weather throughout the Midwest during the spring planting season. As a result of the reduction in acres planted for the 2022-2023 season and the impact on global corn stocks which remain below usage levels, we believe that acres planted for the 2023-2024 season could increase to approximately 92 million acres, which we would expect to drive increased demand for fertilizers.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Also supporting the strength in fertilizer prices has been the high cost of natural gas in Europe. Natural gas is the primary feedstock for the production of ammonia. While currently down from levels seen throughout much of 2022, natural gas prices in European markets remain above 10-year averages which has impacted the economics of ammonia production in that region, prompting producers to cease operations at some Europe-based facilities at various points throughout 2022. The resultant decrease in global production of ammonia has supported the strength in nitrogen-based fertilizer prices.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ind w:right="100"/>
        <w:spacing w:after="0" w:line="277" w:lineRule="auto"/>
        <w:rPr>
          <w:sz w:val="20"/>
          <w:szCs w:val="20"/>
          <w:color w:val="auto"/>
        </w:rPr>
      </w:pPr>
      <w:r>
        <w:rPr>
          <w:rFonts w:ascii="Arial" w:cs="Arial" w:eastAsia="Arial" w:hAnsi="Arial"/>
          <w:sz w:val="18"/>
          <w:szCs w:val="18"/>
          <w:color w:val="auto"/>
        </w:rPr>
        <w:t>As a result of the factors discussed above, we anticipate a strong application of agricultural ammonia and UAN in the 2023 planting season as farmers seek to maximize yields to capitalize on attractive corn pricing.</w:t>
      </w:r>
    </w:p>
    <w:p>
      <w:pPr>
        <w:spacing w:after="0" w:line="6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With respect to our industrial products, selling prices remain higher than a year ago largely as a result of the aforementioned factors pertaining to natural gas. The Tampa ammonia benchmark price remains above its average price level of the past ten years, which is favorable for selling prices as many of our industrial contracts are indexed to this benchmark price. While economic concerns persist for 2023, we believe that we have a meaningful degree of downside protection from the potential impacts of a recession given the nature of our contracts and our ability to shift our production mix to products where demand and pricing are strongest.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Fertilizer</w:t>
      </w:r>
    </w:p>
    <w:p>
      <w:pPr>
        <w:spacing w:after="0" w:line="11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E2E2E"/>
        </w:rPr>
        <w:t>price at which our agricultural products are ultimately sold depends on numerous factors, including the supply and demand for nitrogen fertilizers</w:t>
      </w:r>
      <w:r>
        <w:rPr>
          <w:rFonts w:ascii="Arial" w:cs="Arial" w:eastAsia="Arial" w:hAnsi="Arial"/>
          <w:sz w:val="18"/>
          <w:szCs w:val="18"/>
          <w:color w:val="auto"/>
        </w:rPr>
        <w:t xml:space="preserve"> </w:t>
      </w:r>
      <w:r>
        <w:rPr>
          <w:rFonts w:ascii="Arial" w:cs="Arial" w:eastAsia="Arial" w:hAnsi="Arial"/>
          <w:sz w:val="18"/>
          <w:szCs w:val="18"/>
          <w:color w:val="2E2E2E"/>
        </w:rPr>
        <w:t>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According to the February Report, farmers planted approximately 88.6 million acres of corn in 2022, down 5% compared to the 2021 planting season. In addition, the USDA estimates the U.S. ending stocks for the 2022 Harvest will be approximately 32 million metric tons, an 8% decrease from the 2021 Harvest. The USDA also lowered the expected yield for the 2022 Harvest, down approximately 2% from a year ago.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February 2023 estimates are associated with the corn market: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2023 Crop</w:t>
            </w:r>
          </w:p>
        </w:tc>
        <w:tc>
          <w:tcPr>
            <w:tcW w:w="2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2022 Crop</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2021 Crop</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(2022 Harvest)</w:t>
            </w:r>
          </w:p>
        </w:tc>
        <w:tc>
          <w:tcPr>
            <w:tcW w:w="2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(2021 Harvest)</w:t>
            </w:r>
          </w:p>
        </w:tc>
        <w:tc>
          <w:tcPr>
            <w:tcW w:w="200" w:type="dxa"/>
            <w:vAlign w:val="bottom"/>
          </w:tcPr>
          <w:p>
            <w:pPr>
              <w:spacing w:after="0"/>
              <w:rPr>
                <w:sz w:val="15"/>
                <w:szCs w:val="15"/>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Percentage</w:t>
            </w:r>
          </w:p>
        </w:tc>
        <w:tc>
          <w:tcPr>
            <w:tcW w:w="15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(2020 Harvest)</w:t>
            </w:r>
          </w:p>
        </w:tc>
        <w:tc>
          <w:tcPr>
            <w:tcW w:w="220" w:type="dxa"/>
            <w:vAlign w:val="bottom"/>
          </w:tcPr>
          <w:p>
            <w:pPr>
              <w:spacing w:after="0"/>
              <w:rPr>
                <w:sz w:val="15"/>
                <w:szCs w:val="15"/>
                <w:color w:val="auto"/>
              </w:rPr>
            </w:pPr>
          </w:p>
        </w:tc>
        <w:tc>
          <w:tcPr>
            <w:tcW w:w="13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Report (1)</w:t>
            </w:r>
          </w:p>
        </w:tc>
        <w:tc>
          <w:tcPr>
            <w:tcW w:w="24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February Report (1)</w:t>
            </w:r>
          </w:p>
        </w:tc>
        <w:tc>
          <w:tcPr>
            <w:tcW w:w="200" w:type="dxa"/>
            <w:vAlign w:val="bottom"/>
          </w:tcPr>
          <w:p>
            <w:pPr>
              <w:spacing w:after="0"/>
              <w:rPr>
                <w:sz w:val="16"/>
                <w:szCs w:val="16"/>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 (2)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February Report (1)</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 (3)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68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2"/>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680" w:type="dxa"/>
            <w:vAlign w:val="bottom"/>
          </w:tcPr>
          <w:p>
            <w:pPr>
              <w:jc w:val="right"/>
              <w:spacing w:after="0"/>
              <w:rPr>
                <w:sz w:val="20"/>
                <w:szCs w:val="20"/>
                <w:color w:val="auto"/>
              </w:rPr>
            </w:pPr>
            <w:r>
              <w:rPr>
                <w:rFonts w:ascii="Arial" w:cs="Arial" w:eastAsia="Arial" w:hAnsi="Arial"/>
                <w:sz w:val="18"/>
                <w:szCs w:val="18"/>
                <w:color w:val="auto"/>
              </w:rPr>
              <w:t>173.3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(1.9 %)</w:t>
            </w:r>
          </w:p>
        </w:tc>
        <w:tc>
          <w:tcPr>
            <w:tcW w:w="1540" w:type="dxa"/>
            <w:vAlign w:val="bottom"/>
          </w:tcPr>
          <w:p>
            <w:pPr>
              <w:jc w:val="right"/>
              <w:spacing w:after="0"/>
              <w:rPr>
                <w:sz w:val="20"/>
                <w:szCs w:val="20"/>
                <w:color w:val="auto"/>
              </w:rPr>
            </w:pPr>
            <w:r>
              <w:rPr>
                <w:rFonts w:ascii="Arial" w:cs="Arial" w:eastAsia="Arial" w:hAnsi="Arial"/>
                <w:sz w:val="18"/>
                <w:szCs w:val="18"/>
                <w:color w:val="auto"/>
              </w:rPr>
              <w:t>171.4</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680" w:type="dxa"/>
            <w:vAlign w:val="bottom"/>
          </w:tcPr>
          <w:p>
            <w:pPr>
              <w:jc w:val="right"/>
              <w:spacing w:after="0"/>
              <w:rPr>
                <w:sz w:val="20"/>
                <w:szCs w:val="20"/>
                <w:color w:val="auto"/>
              </w:rPr>
            </w:pPr>
            <w:r>
              <w:rPr>
                <w:rFonts w:ascii="Arial" w:cs="Arial" w:eastAsia="Arial" w:hAnsi="Arial"/>
                <w:sz w:val="18"/>
                <w:szCs w:val="18"/>
                <w:color w:val="auto"/>
              </w:rPr>
              <w:t>13,730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15,074</w:t>
            </w: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(8.9 %)</w:t>
            </w:r>
          </w:p>
        </w:tc>
        <w:tc>
          <w:tcPr>
            <w:tcW w:w="1540" w:type="dxa"/>
            <w:vAlign w:val="bottom"/>
          </w:tcPr>
          <w:p>
            <w:pPr>
              <w:jc w:val="right"/>
              <w:spacing w:after="0"/>
              <w:rPr>
                <w:sz w:val="20"/>
                <w:szCs w:val="20"/>
                <w:color w:val="auto"/>
              </w:rPr>
            </w:pPr>
            <w:r>
              <w:rPr>
                <w:rFonts w:ascii="Arial" w:cs="Arial" w:eastAsia="Arial" w:hAnsi="Arial"/>
                <w:sz w:val="18"/>
                <w:szCs w:val="18"/>
                <w:color w:val="auto"/>
              </w:rPr>
              <w:t>14,111</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680" w:type="dxa"/>
            <w:vAlign w:val="bottom"/>
          </w:tcPr>
          <w:p>
            <w:pPr>
              <w:jc w:val="right"/>
              <w:spacing w:after="0"/>
              <w:rPr>
                <w:sz w:val="20"/>
                <w:szCs w:val="20"/>
                <w:color w:val="auto"/>
              </w:rPr>
            </w:pPr>
            <w:r>
              <w:rPr>
                <w:rFonts w:ascii="Arial" w:cs="Arial" w:eastAsia="Arial" w:hAnsi="Arial"/>
                <w:sz w:val="18"/>
                <w:szCs w:val="18"/>
                <w:color w:val="auto"/>
              </w:rPr>
              <w:t>32.2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(8.0 %)</w:t>
            </w:r>
          </w:p>
        </w:tc>
        <w:tc>
          <w:tcPr>
            <w:tcW w:w="1540" w:type="dxa"/>
            <w:vAlign w:val="bottom"/>
          </w:tcPr>
          <w:p>
            <w:pPr>
              <w:jc w:val="right"/>
              <w:spacing w:after="0"/>
              <w:rPr>
                <w:sz w:val="20"/>
                <w:szCs w:val="20"/>
                <w:color w:val="auto"/>
              </w:rPr>
            </w:pPr>
            <w:r>
              <w:rPr>
                <w:rFonts w:ascii="Arial" w:cs="Arial" w:eastAsia="Arial" w:hAnsi="Arial"/>
                <w:sz w:val="18"/>
                <w:szCs w:val="18"/>
                <w:color w:val="auto"/>
              </w:rPr>
              <w:t>31.4</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4"/>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295.3</w:t>
            </w:r>
          </w:p>
        </w:tc>
        <w:tc>
          <w:tcPr>
            <w:tcW w:w="1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306.3</w:t>
            </w:r>
          </w:p>
        </w:tc>
        <w:tc>
          <w:tcPr>
            <w:tcW w:w="17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(3.6 %)</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292.8</w:t>
            </w: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tons)</w:t>
            </w:r>
          </w:p>
        </w:tc>
        <w:tc>
          <w:tcPr>
            <w:tcW w:w="1680" w:type="dxa"/>
            <w:vAlign w:val="bottom"/>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700" w:type="dxa"/>
            <w:vAlign w:val="bottom"/>
            <w:gridSpan w:val="4"/>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48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08" w:lineRule="exact"/>
        <w:rPr>
          <w:sz w:val="20"/>
          <w:szCs w:val="20"/>
          <w:color w:val="auto"/>
        </w:rPr>
      </w:pPr>
    </w:p>
    <w:p>
      <w:pPr>
        <w:jc w:val="both"/>
        <w:ind w:left="760" w:right="100" w:hanging="378"/>
        <w:spacing w:after="0" w:line="25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obtained from WASDE report dated February 8, 2023 (“February Report”) for the 2022/2023 (“2023 Crop”), 2021/2022 (“2022 Crop”) and 2020/2021 (“2021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2022 Crop amounts.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2021 Crop amounts.</w:t>
      </w:r>
    </w:p>
    <w:p>
      <w:pPr>
        <w:spacing w:after="0" w:line="10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current USDA corn outlook for the U.S. is for slightly higher corn ending stocks by 25 million bushels and lower ethanol usage by 25 million bushels and left production and export estimates unchanged. From a demand perspective, corn prices remain well above historical 5-year averages and remain significantly higher than $4 per bushel, the level that we believe represent a key threshold as it relates to favorable farmer economics.</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Industrial and Mining Products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w:t>
      </w:r>
    </w:p>
    <w:p>
      <w:pPr>
        <w:spacing w:after="0" w:line="4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mining products are LDAN and AN solution, which are primarily used as AN fuel oil and specialty emulsions for usage in the quarry and the construction industries, for metals mining and to a lesser extent, for coal. Although our AN product is primarily sold for use in aggregates and precious metals mining operations, overall, we have been experiencing favorable trends in our mining business as rising global consumption of coal for energy has strengthened demand and pricing for AN. Overall, despite growing global recessionary forces, our industrial and mining business remains stable.</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70"/>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980" w:type="dxa"/>
            <w:vAlign w:val="bottom"/>
            <w:tcBorders>
              <w:bottom w:val="single" w:sz="8" w:color="auto"/>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Natural gas average cost per MMBtu</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6.58</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-205105</wp:posOffset>
            </wp:positionV>
            <wp:extent cx="112141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1410" cy="205740"/>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were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79" w:lineRule="exact"/>
        <w:rPr>
          <w:sz w:val="20"/>
          <w:szCs w:val="20"/>
          <w:color w:val="auto"/>
        </w:rPr>
      </w:pPr>
    </w:p>
    <w:p>
      <w:pPr>
        <w:jc w:val="right"/>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right"/>
        <w:ind w:right="936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with the next ammonia plant Turnaround planned in the third quarter of 2024.</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El Dorado Facility completed its scheduled ammonia plant Turnaround during the third quarter of 2022. Our Pryor Facility started its scheduled ammonia plant Turnaround during the third quarter which was completed in mid-October. Following those Turnarounds, they will be on a three-year and two-year ammonia plant Turnaround cycle, respectively.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Total ammonia production in 2022 was 732,000 tons. For 2023, we are targeting total ammonia production of approximately 830,000 tons to 850,000 tons.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year-over-year improvement in ammonia production for 2023.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for 2022</w:t>
      </w:r>
    </w:p>
    <w:p>
      <w:pPr>
        <w:spacing w:after="0" w:line="12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Our consolidated net sales for 2022 were $901.7 million compared to $556.2 million for 2021. Our consolidated operating income for 2022 was $308.4 million compared to $101.0 million for 2021. The items affecting our operating results are discussed below and under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2022 average selling prices for our ammonia, AN &amp; Nitric Acid, and UAN increased 102%, 61% and 90%, respectively, compared to 2021. As discussed above under “Recent Business Developments,” increased demand, higher corn prices and tighter supplies of nitrogen products contributed to the improved pricing.</w:t>
      </w:r>
    </w:p>
    <w:p>
      <w:pPr>
        <w:spacing w:after="0" w:line="75"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Our 2022 average industrial selling prices for most of our products were also higher compared to the same period of 2021, primarily driven by the $573 per metric ton increase in the Tampa Ammonia benchmark price, as many of our industrial contracts are indexed to the Tampa Ammonia benchmark price.</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Settlement of Life Insurance (2022 only)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we recognized a settlement on our company owned life insurance resulting from the approval by our insurer of a death benefit relating to the death of J. Golsen as discussed in Note 12.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Turnaround Activities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When a Turnaround is performed, overall results for the period are negatively impacted. This impact includes lost contribution margin from lost sales, lost fixed cost absorption from lower production, and increased costs associated with repairs and maintenance. The effects of our Turnaround, exclusive of the impacts due to lost ammonia production during the downtime, are shown below and do not reflect all Turnaround activity during 2022 and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Turnaround Expense</w:t>
            </w:r>
          </w:p>
        </w:tc>
        <w:tc>
          <w:tcPr>
            <w:tcW w:w="2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Estimated Lost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Turnaround</w:t>
            </w:r>
          </w:p>
        </w:tc>
        <w:tc>
          <w:tcPr>
            <w:tcW w:w="1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0"/>
              </w:rPr>
              <w:t>Production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Related Period</w:t>
            </w:r>
          </w:p>
        </w:tc>
        <w:tc>
          <w:tcPr>
            <w:tcW w:w="18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Downtime</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(In Thousands)</w:t>
            </w:r>
          </w:p>
        </w:tc>
        <w:tc>
          <w:tcPr>
            <w:tcW w:w="200" w:type="dxa"/>
            <w:vAlign w:val="bottom"/>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 Tons)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 Dorado</w:t>
            </w:r>
          </w:p>
        </w:tc>
        <w:tc>
          <w:tcPr>
            <w:tcW w:w="180" w:type="dxa"/>
            <w:vAlign w:val="bottom"/>
            <w:shd w:val="clear" w:color="auto" w:fill="CFF0FC"/>
          </w:tcPr>
          <w:p>
            <w:pPr>
              <w:spacing w:after="0"/>
              <w:rPr>
                <w:sz w:val="21"/>
                <w:szCs w:val="21"/>
                <w:color w:val="auto"/>
              </w:rPr>
            </w:pPr>
          </w:p>
        </w:tc>
        <w:tc>
          <w:tcPr>
            <w:tcW w:w="1980" w:type="dxa"/>
            <w:vAlign w:val="bottom"/>
            <w:shd w:val="clear" w:color="auto" w:fill="CFF0FC"/>
          </w:tcPr>
          <w:p>
            <w:pPr>
              <w:jc w:val="center"/>
              <w:spacing w:after="0" w:line="243" w:lineRule="exact"/>
              <w:rPr>
                <w:sz w:val="20"/>
                <w:szCs w:val="20"/>
                <w:color w:val="auto"/>
              </w:rPr>
            </w:pPr>
            <w:r>
              <w:rPr>
                <w:rFonts w:ascii="Arial" w:cs="Arial" w:eastAsia="Arial" w:hAnsi="Arial"/>
                <w:sz w:val="18"/>
                <w:szCs w:val="18"/>
                <w:color w:val="auto"/>
                <w:w w:val="88"/>
              </w:rPr>
              <w:t>3</w:t>
            </w:r>
            <w:r>
              <w:rPr>
                <w:rFonts w:ascii="Arial" w:cs="Arial" w:eastAsia="Arial" w:hAnsi="Arial"/>
                <w:sz w:val="24"/>
                <w:szCs w:val="24"/>
                <w:color w:val="auto"/>
                <w:w w:val="88"/>
                <w:vertAlign w:val="superscript"/>
              </w:rPr>
              <w:t>rd</w:t>
            </w:r>
            <w:r>
              <w:rPr>
                <w:rFonts w:ascii="Arial" w:cs="Arial" w:eastAsia="Arial" w:hAnsi="Arial"/>
                <w:sz w:val="18"/>
                <w:szCs w:val="18"/>
                <w:color w:val="auto"/>
                <w:w w:val="88"/>
              </w:rPr>
              <w:t xml:space="preserve"> Quarter 2022</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27 days</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w:t>
            </w:r>
          </w:p>
        </w:tc>
        <w:tc>
          <w:tcPr>
            <w:tcW w:w="2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Pryor</w:t>
            </w:r>
          </w:p>
        </w:tc>
        <w:tc>
          <w:tcPr>
            <w:tcW w:w="180" w:type="dxa"/>
            <w:vAlign w:val="bottom"/>
          </w:tcPr>
          <w:p>
            <w:pPr>
              <w:spacing w:after="0"/>
              <w:rPr>
                <w:sz w:val="21"/>
                <w:szCs w:val="21"/>
                <w:color w:val="auto"/>
              </w:rPr>
            </w:pPr>
          </w:p>
        </w:tc>
        <w:tc>
          <w:tcPr>
            <w:tcW w:w="1980" w:type="dxa"/>
            <w:vAlign w:val="bottom"/>
          </w:tcPr>
          <w:p>
            <w:pPr>
              <w:jc w:val="center"/>
              <w:spacing w:after="0" w:line="243" w:lineRule="exact"/>
              <w:rPr>
                <w:sz w:val="20"/>
                <w:szCs w:val="20"/>
                <w:color w:val="auto"/>
              </w:rPr>
            </w:pPr>
            <w:r>
              <w:rPr>
                <w:rFonts w:ascii="Arial" w:cs="Arial" w:eastAsia="Arial" w:hAnsi="Arial"/>
                <w:sz w:val="18"/>
                <w:szCs w:val="18"/>
                <w:color w:val="auto"/>
                <w:w w:val="87"/>
              </w:rPr>
              <w:t>3</w:t>
            </w:r>
            <w:r>
              <w:rPr>
                <w:rFonts w:ascii="Arial" w:cs="Arial" w:eastAsia="Arial" w:hAnsi="Arial"/>
                <w:sz w:val="24"/>
                <w:szCs w:val="24"/>
                <w:color w:val="auto"/>
                <w:w w:val="87"/>
                <w:vertAlign w:val="superscript"/>
              </w:rPr>
              <w:t>rd</w:t>
            </w:r>
            <w:r>
              <w:rPr>
                <w:rFonts w:ascii="Arial" w:cs="Arial" w:eastAsia="Arial" w:hAnsi="Arial"/>
                <w:sz w:val="18"/>
                <w:szCs w:val="18"/>
                <w:color w:val="auto"/>
                <w:w w:val="87"/>
              </w:rPr>
              <w:t xml:space="preserve"> &amp; 4</w:t>
            </w:r>
            <w:r>
              <w:rPr>
                <w:rFonts w:ascii="Arial" w:cs="Arial" w:eastAsia="Arial" w:hAnsi="Arial"/>
                <w:sz w:val="24"/>
                <w:szCs w:val="24"/>
                <w:color w:val="auto"/>
                <w:w w:val="87"/>
                <w:vertAlign w:val="superscript"/>
              </w:rPr>
              <w:t>th</w:t>
            </w:r>
            <w:r>
              <w:rPr>
                <w:rFonts w:ascii="Arial" w:cs="Arial" w:eastAsia="Arial" w:hAnsi="Arial"/>
                <w:sz w:val="18"/>
                <w:szCs w:val="18"/>
                <w:color w:val="auto"/>
                <w:w w:val="87"/>
              </w:rPr>
              <w:t xml:space="preserve"> Quarter 2022</w:t>
            </w:r>
          </w:p>
        </w:tc>
        <w:tc>
          <w:tcPr>
            <w:tcW w:w="1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38 days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14,952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9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23,366</w:t>
            </w:r>
          </w:p>
        </w:tc>
        <w:tc>
          <w:tcPr>
            <w:tcW w:w="20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40" w:type="dxa"/>
            <w:vAlign w:val="bottom"/>
          </w:tcPr>
          <w:p>
            <w:pPr>
              <w:spacing w:after="0"/>
              <w:rPr>
                <w:sz w:val="19"/>
                <w:szCs w:val="19"/>
                <w:color w:val="auto"/>
              </w:rPr>
            </w:pPr>
          </w:p>
        </w:tc>
        <w:tc>
          <w:tcPr>
            <w:tcW w:w="19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Cherokee</w:t>
            </w:r>
          </w:p>
        </w:tc>
        <w:tc>
          <w:tcPr>
            <w:tcW w:w="18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shd w:val="clear" w:color="auto" w:fill="CFF0FC"/>
          </w:tcPr>
          <w:p>
            <w:pPr>
              <w:jc w:val="center"/>
              <w:spacing w:after="0" w:line="243" w:lineRule="exact"/>
              <w:rPr>
                <w:sz w:val="20"/>
                <w:szCs w:val="20"/>
                <w:color w:val="auto"/>
              </w:rPr>
            </w:pPr>
            <w:r>
              <w:rPr>
                <w:rFonts w:ascii="Arial" w:cs="Arial" w:eastAsia="Arial" w:hAnsi="Arial"/>
                <w:sz w:val="18"/>
                <w:szCs w:val="18"/>
                <w:color w:val="auto"/>
                <w:w w:val="88"/>
              </w:rPr>
              <w:t>3</w:t>
            </w:r>
            <w:r>
              <w:rPr>
                <w:rFonts w:ascii="Arial" w:cs="Arial" w:eastAsia="Arial" w:hAnsi="Arial"/>
                <w:sz w:val="24"/>
                <w:szCs w:val="24"/>
                <w:color w:val="auto"/>
                <w:w w:val="88"/>
                <w:vertAlign w:val="superscript"/>
              </w:rPr>
              <w:t>rd</w:t>
            </w:r>
            <w:r>
              <w:rPr>
                <w:rFonts w:ascii="Arial" w:cs="Arial" w:eastAsia="Arial" w:hAnsi="Arial"/>
                <w:sz w:val="18"/>
                <w:szCs w:val="18"/>
                <w:color w:val="auto"/>
                <w:w w:val="88"/>
              </w:rPr>
              <w:t xml:space="preserve"> Quarter 2021</w:t>
            </w:r>
          </w:p>
        </w:tc>
        <w:tc>
          <w:tcPr>
            <w:tcW w:w="1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5"/>
              </w:rPr>
              <w:t>40 days</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2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7,976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-521970</wp:posOffset>
            </wp:positionV>
            <wp:extent cx="132715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7150" cy="17970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 of Natural Gas Contracts (2021 only)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2021, we settled all of our natural gas forward contracts and certain volume purchase commitments and recognized a realized gain of approximately $6.8 million, which was classified as a reduction to cost of sales. As a result of the settlement of these natural gas contracts, we were able to significantly mitigate the impact from lost production, lost sales and higher costs resulting from the impact of the natural gas shortage caused by the February 2021 cold weather event.</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of Control and Special Dividend (2021 only)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result of the exchange transaction completed during the third quarter of 2021 a change of control event occurred as defined in certain agreements, including certain stock-based awards and cash-based awards. As a result, additional expense was recognized due to the change of control event. In addition, pursuant to anti-dilutive terms included in the cash-based awards, the number of units of cash-based awards increased due to the Special Dividend, also resulting in additional expense being recognized. In summary, we recognized approximately $5.0 million in additional expense, of which $1.2 million is classified as cost of sales and $3.8 million is classified as selling, general and administrative expense.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Net Loss on Extinguishments of Debt (2021 only)</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discussed in Note 6, we redeemed all of the Senior Secured Notes due 2023 and recognized a loss on extinguishment of debt of approximately $20.3 million. Partially offsetting this loss was a gain on extinguishment of debt of $10 million associated with the PPP loan that was fully forgiven by the SBA and lender.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10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following Results of Operations should be read in conjunction with our consolidated financial statements for the years ended December 31, 2022 and 2021 and accompanying notes and the discussions under “Overview” and “Liquidity and Capital Resources” included in this MD&amp;A. You should carefully review and consider the information in the MD&amp;A of our 2021 Form 10-K, filed with the SEC on February 24, 2022, as amended by the </w:t>
      </w:r>
      <w:hyperlink r:id="rId65">
        <w:r>
          <w:rPr>
            <w:rFonts w:ascii="Arial" w:cs="Arial" w:eastAsia="Arial" w:hAnsi="Arial"/>
            <w:sz w:val="17"/>
            <w:szCs w:val="17"/>
            <w:u w:val="single" w:color="auto"/>
            <w:color w:val="0000FF"/>
          </w:rPr>
          <w:t>Form 10-K/A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March 25, 2022 for an understanding of our results of operations and liquidity discussions and analysis comparing 2021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-182245</wp:posOffset>
            </wp:positionV>
            <wp:extent cx="6242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4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Year Ended December 31, 2022 Compared to Year Ended December 31,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r>
      <w:tr>
        <w:trPr>
          <w:trHeight w:val="185"/>
        </w:trPr>
        <w:tc>
          <w:tcPr>
            <w:tcW w:w="55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gridSpan w:val="2"/>
          </w:tcPr>
          <w:p>
            <w:pPr>
              <w:spacing w:after="0"/>
              <w:rPr>
                <w:sz w:val="16"/>
                <w:szCs w:val="16"/>
                <w:color w:val="auto"/>
              </w:rPr>
            </w:pPr>
          </w:p>
        </w:tc>
      </w:tr>
      <w:tr>
        <w:trPr>
          <w:trHeight w:val="169"/>
        </w:trPr>
        <w:tc>
          <w:tcPr>
            <w:tcW w:w="5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gridSpan w:val="3"/>
          </w:tcPr>
          <w:p>
            <w:pPr>
              <w:jc w:val="right"/>
              <w:ind w:right="191"/>
              <w:spacing w:after="0"/>
              <w:rPr>
                <w:sz w:val="20"/>
                <w:szCs w:val="20"/>
                <w:color w:val="auto"/>
              </w:rPr>
            </w:pPr>
            <w:r>
              <w:rPr>
                <w:rFonts w:ascii="Arial" w:cs="Arial" w:eastAsia="Arial" w:hAnsi="Arial"/>
                <w:sz w:val="14"/>
                <w:szCs w:val="14"/>
                <w:color w:val="auto"/>
                <w:w w:val="97"/>
              </w:rPr>
              <w:t>(Dollars In 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AN &amp; Nitric Acid</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315,679</w:t>
            </w:r>
          </w:p>
        </w:tc>
        <w:tc>
          <w:tcPr>
            <w:tcW w:w="2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228,754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86,925</w:t>
            </w: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38 %</w:t>
            </w:r>
          </w:p>
        </w:tc>
      </w:tr>
      <w:tr>
        <w:trPr>
          <w:trHeight w:val="242"/>
        </w:trPr>
        <w:tc>
          <w:tcPr>
            <w:tcW w:w="5520" w:type="dxa"/>
            <w:vAlign w:val="bottom"/>
          </w:tcPr>
          <w:p>
            <w:pPr>
              <w:ind w:left="120"/>
              <w:spacing w:after="0"/>
              <w:rPr>
                <w:sz w:val="20"/>
                <w:szCs w:val="20"/>
                <w:color w:val="auto"/>
              </w:rPr>
            </w:pPr>
            <w:r>
              <w:rPr>
                <w:rFonts w:ascii="Arial" w:cs="Arial" w:eastAsia="Arial" w:hAnsi="Arial"/>
                <w:sz w:val="18"/>
                <w:szCs w:val="18"/>
                <w:color w:val="auto"/>
              </w:rPr>
              <w:t>Urea ammonium nitrate (UAN)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239,463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123,840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115,623</w:t>
            </w: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93 %</w:t>
            </w: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Ammonia</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284,005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155,159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128,846</w:t>
            </w: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83 %</w:t>
            </w:r>
          </w:p>
        </w:tc>
      </w:tr>
      <w:tr>
        <w:trPr>
          <w:trHeight w:val="256"/>
        </w:trPr>
        <w:tc>
          <w:tcPr>
            <w:tcW w:w="5520" w:type="dxa"/>
            <w:vAlign w:val="bottom"/>
          </w:tcPr>
          <w:p>
            <w:pPr>
              <w:ind w:left="1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62,564</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48,486</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180" w:type="dxa"/>
            <w:vAlign w:val="bottom"/>
          </w:tcPr>
          <w:p>
            <w:pPr>
              <w:spacing w:after="0"/>
              <w:rPr>
                <w:sz w:val="22"/>
                <w:szCs w:val="2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r>
      <w:tr>
        <w:trPr>
          <w:trHeight w:val="236"/>
        </w:trPr>
        <w:tc>
          <w:tcPr>
            <w:tcW w:w="552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901,711</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556,239</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345,472</w:t>
            </w: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62 %</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520" w:type="dxa"/>
            <w:vAlign w:val="bottom"/>
          </w:tcPr>
          <w:p>
            <w:pPr>
              <w:ind w:left="12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444,384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217,515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226,869</w:t>
            </w: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104 %</w:t>
            </w:r>
          </w:p>
        </w:tc>
      </w:tr>
      <w:tr>
        <w:trPr>
          <w:trHeight w:val="249"/>
        </w:trPr>
        <w:tc>
          <w:tcPr>
            <w:tcW w:w="5520" w:type="dxa"/>
            <w:vAlign w:val="bottom"/>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900" w:type="dxa"/>
            <w:vAlign w:val="bottom"/>
          </w:tcPr>
          <w:p>
            <w:pPr>
              <w:spacing w:after="0"/>
              <w:rPr>
                <w:sz w:val="21"/>
                <w:szCs w:val="21"/>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w w:val="91"/>
              </w:rPr>
              <w:t>(66,782 )</w:t>
            </w:r>
          </w:p>
        </w:tc>
        <w:tc>
          <w:tcPr>
            <w:tcW w:w="3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(68,583 )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w:t>
            </w:r>
          </w:p>
        </w:tc>
        <w:tc>
          <w:tcPr>
            <w:tcW w:w="1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49"/>
        </w:trPr>
        <w:tc>
          <w:tcPr>
            <w:tcW w:w="5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Turnaround expense</w:t>
            </w:r>
          </w:p>
        </w:tc>
        <w:tc>
          <w:tcPr>
            <w:tcW w:w="9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91"/>
              </w:rPr>
              <w:t>(29,235 )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(9,953 )</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(19,282 )</w:t>
            </w: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520" w:type="dxa"/>
            <w:vAlign w:val="bottom"/>
          </w:tcPr>
          <w:p>
            <w:pPr>
              <w:ind w:left="200"/>
              <w:spacing w:after="0"/>
              <w:rPr>
                <w:sz w:val="20"/>
                <w:szCs w:val="20"/>
                <w:color w:val="auto"/>
              </w:rPr>
            </w:pPr>
            <w:r>
              <w:rPr>
                <w:rFonts w:ascii="Arial" w:cs="Arial" w:eastAsia="Arial" w:hAnsi="Arial"/>
                <w:sz w:val="18"/>
                <w:szCs w:val="18"/>
                <w:color w:val="auto"/>
              </w:rPr>
              <w:t>Total gross profit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348,367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138,979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209,388</w:t>
            </w:r>
          </w:p>
        </w:tc>
        <w:tc>
          <w:tcPr>
            <w:tcW w:w="1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151 %</w:t>
            </w:r>
          </w:p>
        </w:tc>
      </w:tr>
      <w:tr>
        <w:trPr>
          <w:trHeight w:val="242"/>
        </w:trPr>
        <w:tc>
          <w:tcPr>
            <w:tcW w:w="55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39,428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4 %</w:t>
            </w:r>
          </w:p>
        </w:tc>
      </w:tr>
      <w:tr>
        <w:trPr>
          <w:trHeight w:val="256"/>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(97 )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55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308,378</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101,048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207,330</w:t>
            </w:r>
          </w:p>
        </w:tc>
        <w:tc>
          <w:tcPr>
            <w:tcW w:w="1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205 %</w:t>
            </w:r>
          </w:p>
        </w:tc>
      </w:tr>
      <w:tr>
        <w:trPr>
          <w:trHeight w:val="249"/>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46,827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(2,551 )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on extinguishments of debt</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(10,146 )</w:t>
            </w: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color w:val="auto"/>
              </w:rPr>
              <w:t>Non-operating other income (expense), net</w:t>
            </w:r>
          </w:p>
        </w:tc>
        <w:tc>
          <w:tcPr>
            <w:tcW w:w="900" w:type="dxa"/>
            <w:vAlign w:val="bottom"/>
          </w:tcPr>
          <w:p>
            <w:pPr>
              <w:spacing w:after="0"/>
              <w:rPr>
                <w:sz w:val="20"/>
                <w:szCs w:val="20"/>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(8,083 )</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(10,505 )</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(4,556 )</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43,730</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5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230,347</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43,545</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186,802</w:t>
            </w: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429 %</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5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9"/>
        </w:trPr>
        <w:tc>
          <w:tcPr>
            <w:tcW w:w="5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90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38.6 %</w:t>
            </w:r>
          </w:p>
        </w:tc>
        <w:tc>
          <w:tcPr>
            <w:tcW w:w="360" w:type="dxa"/>
            <w:vAlign w:val="bottom"/>
            <w:shd w:val="clear" w:color="auto" w:fill="CFF0FC"/>
          </w:tcPr>
          <w:p>
            <w:pPr>
              <w:spacing w:after="0"/>
              <w:rPr>
                <w:sz w:val="23"/>
                <w:szCs w:val="23"/>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25.0 %</w:t>
            </w:r>
          </w:p>
        </w:tc>
        <w:tc>
          <w:tcPr>
            <w:tcW w:w="20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13.6 %</w:t>
            </w:r>
          </w:p>
        </w:tc>
        <w:tc>
          <w:tcPr>
            <w:tcW w:w="9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tcPr>
          <w:p>
            <w:pPr>
              <w:spacing w:after="0"/>
              <w:rPr>
                <w:sz w:val="23"/>
                <w:szCs w:val="23"/>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tcPr>
          <w:p>
            <w:pPr>
              <w:ind w:left="12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9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xml:space="preserve">49.3 </w:t>
            </w:r>
            <w:r>
              <w:rPr>
                <w:rFonts w:ascii="Arial" w:cs="Arial" w:eastAsia="Arial" w:hAnsi="Arial"/>
                <w:sz w:val="18"/>
                <w:szCs w:val="18"/>
                <w:color w:val="auto"/>
                <w:highlight w:val="white"/>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39.1 </w:t>
            </w:r>
            <w:r>
              <w:rPr>
                <w:rFonts w:ascii="Arial" w:cs="Arial" w:eastAsia="Arial" w:hAnsi="Arial"/>
                <w:sz w:val="18"/>
                <w:szCs w:val="18"/>
                <w:color w:val="auto"/>
                <w:highlight w:val="white"/>
              </w:rPr>
              <w:t>%</w:t>
            </w: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color w:val="auto"/>
                <w:highlight w:val="white"/>
              </w:rPr>
              <w: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223"/>
        </w:trPr>
        <w:tc>
          <w:tcPr>
            <w:tcW w:w="5520" w:type="dxa"/>
            <w:vAlign w:val="bottom"/>
          </w:tcPr>
          <w:p>
            <w:pPr>
              <w:ind w:left="120"/>
              <w:spacing w:after="0"/>
              <w:rPr>
                <w:sz w:val="20"/>
                <w:szCs w:val="20"/>
                <w:color w:val="auto"/>
              </w:rPr>
            </w:pPr>
            <w:r>
              <w:rPr>
                <w:rFonts w:ascii="Arial" w:cs="Arial" w:eastAsia="Arial" w:hAnsi="Arial"/>
                <w:sz w:val="18"/>
                <w:szCs w:val="18"/>
                <w:color w:val="auto"/>
              </w:rPr>
              <w:t>Property, plant and equipment expenditures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45,833</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w:t>
            </w:r>
          </w:p>
        </w:tc>
        <w:tc>
          <w:tcPr>
            <w:tcW w:w="1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30 %</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-3707130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-3398520</wp:posOffset>
            </wp:positionV>
            <wp:extent cx="7132320" cy="342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-2747645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-2285365</wp:posOffset>
            </wp:positionV>
            <wp:extent cx="7132320" cy="316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-1805940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-1035685</wp:posOffset>
            </wp:positionV>
            <wp:extent cx="7683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-1035685</wp:posOffset>
            </wp:positionV>
            <wp:extent cx="7683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-1035685</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-384810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-384810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-384810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8" w:lineRule="exact"/>
        <w:rPr>
          <w:sz w:val="20"/>
          <w:szCs w:val="20"/>
          <w:color w:val="auto"/>
        </w:rPr>
      </w:pPr>
    </w:p>
    <w:p>
      <w:pPr>
        <w:ind w:left="520" w:right="100" w:hanging="512"/>
        <w:spacing w:after="0" w:line="266"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non-GAAP measure. The amounts exclude unallocated depreciation and amortization and Turnaround expenses which we believe are not reflective of our operating performance in a given period.</w:t>
      </w: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percentage of total net sales.</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gridSpan w:val="4"/>
          </w:tcPr>
          <w:p>
            <w:pPr>
              <w:spacing w:after="0"/>
              <w:rPr>
                <w:sz w:val="20"/>
                <w:szCs w:val="20"/>
                <w:color w:val="auto"/>
              </w:rPr>
            </w:pPr>
            <w:r>
              <w:rPr>
                <w:rFonts w:ascii="Arial" w:cs="Arial" w:eastAsia="Arial" w:hAnsi="Arial"/>
                <w:sz w:val="14"/>
                <w:szCs w:val="14"/>
                <w:b w:val="1"/>
                <w:bCs w:val="1"/>
                <w:color w:val="auto"/>
              </w:rPr>
              <w:t>Product (tons sold)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140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AN &amp; Nitric Acid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589,081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689,990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(100,909</w:t>
            </w: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Urea ammonium nitrate (UAN)</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448,978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440,270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Ammonia</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276,176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304,589</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(28,413 )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1,314,235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1,434,849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(120,614 )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Gross Average Selling Prices (price per ton)</w:t>
            </w:r>
          </w:p>
        </w:tc>
        <w:tc>
          <w:tcPr>
            <w:tcW w:w="2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6"/>
                <w:szCs w:val="16"/>
                <w:color w:val="auto"/>
              </w:rPr>
            </w:pPr>
          </w:p>
        </w:tc>
        <w:tc>
          <w:tcPr>
            <w:tcW w:w="14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AN &amp; Nitric Acid</w:t>
            </w:r>
          </w:p>
        </w:tc>
        <w:tc>
          <w:tcPr>
            <w:tcW w:w="3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Urea ammonium nitrate (UAN)</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Ammonia</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ind w:right="11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4"/>
          </w:tcPr>
          <w:p>
            <w:pPr>
              <w:spacing w:after="0"/>
              <w:rPr>
                <w:sz w:val="20"/>
                <w:szCs w:val="20"/>
                <w:color w:val="auto"/>
              </w:rPr>
            </w:pPr>
            <w:r>
              <w:rPr>
                <w:rFonts w:ascii="Arial" w:cs="Arial" w:eastAsia="Arial" w:hAnsi="Arial"/>
                <w:sz w:val="14"/>
                <w:szCs w:val="14"/>
                <w:color w:val="auto"/>
              </w:rPr>
              <w:t>Average Benchmark Prices (price per ton)</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73"/>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center"/>
              <w:ind w:right="233"/>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22"/>
                <w:szCs w:val="22"/>
                <w:color w:val="auto"/>
              </w:rPr>
            </w:pPr>
          </w:p>
        </w:tc>
        <w:tc>
          <w:tcPr>
            <w:tcW w:w="1400" w:type="dxa"/>
            <w:vAlign w:val="bottom"/>
            <w:gridSpan w:val="2"/>
          </w:tcPr>
          <w:p>
            <w:pPr>
              <w:jc w:val="center"/>
              <w:ind w:right="11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5"/>
              </w:rPr>
              <w:t>Tampa Ammonia Benchmark</w:t>
            </w:r>
          </w:p>
        </w:tc>
        <w:tc>
          <w:tcPr>
            <w:tcW w:w="2800" w:type="dxa"/>
            <w:vAlign w:val="bottom"/>
            <w:gridSpan w:val="2"/>
          </w:tcPr>
          <w:p>
            <w:pPr>
              <w:spacing w:after="0"/>
              <w:rPr>
                <w:sz w:val="18"/>
                <w:szCs w:val="18"/>
                <w:color w:val="auto"/>
              </w:rPr>
            </w:pPr>
          </w:p>
        </w:tc>
        <w:tc>
          <w:tcPr>
            <w:tcW w:w="3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20" w:type="dxa"/>
            <w:vAlign w:val="bottom"/>
            <w:gridSpan w:val="4"/>
          </w:tcPr>
          <w:p>
            <w:pPr>
              <w:ind w:left="180"/>
              <w:spacing w:after="0"/>
              <w:rPr>
                <w:sz w:val="20"/>
                <w:szCs w:val="20"/>
                <w:color w:val="auto"/>
              </w:rPr>
            </w:pPr>
            <w:r>
              <w:rPr>
                <w:rFonts w:ascii="Arial" w:cs="Arial" w:eastAsia="Arial" w:hAnsi="Arial"/>
                <w:sz w:val="18"/>
                <w:szCs w:val="18"/>
                <w:color w:val="auto"/>
              </w:rPr>
              <w:t>UAN Southern Plains</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-2251075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32320" cy="342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Agricultural product sales increased driven primarily by higher sales prices for all of our agricultural products partially offset by lower sales volumes of HDAN, which is included in AN &amp; Nitric Acid above and ammonia. Also lowering sales volume in 2022 was the activity from two Turnarounds at our El Dorado and Pryor Facilities compared to one Turnaround at our Cherokee Facility during 2021. Historically, we have built inventory of HDAN used for fertilizer in the second half of the year, to sell in season, during the first nine months of the following year. Due to a shift in product mix to nitric acid volumes beginning in the second quarter of 2021, which are more ratable, we did not have significant inventory build of AN over the latter half of 2021 to sell during the fertilizer season in 2022. As discussed above under “Recent Business Developments,” increased demand, higher corn prices and tighter supplies of nitrogen products contributed to the improved pricing.</w:t>
      </w:r>
    </w:p>
    <w:p>
      <w:pPr>
        <w:spacing w:after="0" w:line="1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Demand for our industrial and mining products remains stable despite growing global recessionary forces. Our contractual agreements with industrial customers that specify minimum volumes and our product mix flexibility helps us mitigate the impact of a reduction in demand from certain end markets by shifting production to products with stronger demand. Our AN product is primarily sold for use in aggregates and precious metals mining operations, overall, we have been experiencing favorable trends in our mining business as rising global consumption of coal for energy has strengthened demand and pricing for 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noted in the table above, we recognized a gross profit of $348 million for 2022 compared to $139 million for the same period in 2021, or a $209 million improvement. Overall, our gross profit percentage was 39% for 2022 compared to 25% for 2021. Our adjusted gross profit percentage increased to 49% for 2022 from 39% for 2021.</w:t>
      </w:r>
    </w:p>
    <w:p>
      <w:pPr>
        <w:spacing w:after="0" w:line="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increase in gross profit was primarily driven by higher sales prices for our products and increased UAN sales volumes partially offset by lower volumes of ammonia and acids products. The improvement in gross profit was partially offset by overall higher average natural gas costs, which averaged $6.58 per MMBtu for 2022 as compared to $3.51 per MMBtu for 2021. Also reducing gross profit was the Turnaround activity at our El Dorado and Pryor Facilities during 2022 compared to 2021 where we had a Turnaround at our Cherokee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Interest expense for 2022 was $46.8 million compared to $49.4 million for 2021. The decrease relates primarily to lower interest expense incurred from the new senior secured notes held during the first quarter of 2022 which carry an interest rate of 6.25% compared to the same period in 2021 which the old senior secured notes interest rate was 9.625%.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on Extinguishments of Debt</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2021, we redeemed all of the Senior Secured Notes due 2023 and recognized a loss on extinguishment of debt of approximately $20.3 million. Partially offsetting this loss was a gain on extinguishment of debt of $10 million associated with the PPP loan that was fully forgiven by the SBA and lender.</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Non-operating other income for 2022 was $8.1 million primarily relating to a recognized settlement of our company owned life insurance from the payment by our insurer of a death benefit relating to the death of J. Golsen as discussed in Note 12 and interest income from our short-term investments. For 2021, we had non-operating operating expense of $2.5 million which primarily related to the change in fair value of the embedded derivative included in the Series E Redeemable Preferred prior to its extinguishment through the completion of the exchange transaction completed in 2021.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provision for income taxes for 2022 was $39.2 million expense compared to a benefit of $4.6 million for 2021. The resulting effective tax rate for 2022 was 14.6% on pre-tax income compared to (11.7)% for 2021 on pre-tax income. For 2022, the effective tax rate is less than the statutory rate primarily due to the impact of valuation allowances releases. For 2021, the negative effective tax rate on pre-tax income was driven by the benefit from the exclusion of</w:t>
      </w:r>
    </w:p>
    <w:p>
      <w:pPr>
        <w:spacing w:after="0" w:line="2" w:lineRule="exact"/>
        <w:rPr>
          <w:sz w:val="20"/>
          <w:szCs w:val="20"/>
          <w:color w:val="auto"/>
        </w:rPr>
      </w:pPr>
    </w:p>
    <w:p>
      <w:pPr>
        <w:ind w:right="120" w:firstLine="8"/>
        <w:spacing w:after="0" w:line="281" w:lineRule="auto"/>
        <w:tabs>
          <w:tab w:leader="none" w:pos="3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Loan forgiveness income from taxable income, tax credits, and the impact of adjustments made to valuation allowances, partially offset by the impact of state law changes. Also see discussion in Note 7.</w:t>
      </w: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2022 and 2021:</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6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76"/>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345,654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87,627</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r>
      <w:tr>
        <w:trPr>
          <w:trHeight w:val="27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(369,735 )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(34,694 )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(335,041 )</w:t>
            </w:r>
          </w:p>
        </w:tc>
      </w:tr>
      <w:tr>
        <w:trPr>
          <w:trHeight w:val="229"/>
        </w:trPr>
        <w:tc>
          <w:tcPr>
            <w:tcW w:w="46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5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(7,241 )</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-692785</wp:posOffset>
            </wp:positionV>
            <wp:extent cx="248285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482850" cy="17970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-358775</wp:posOffset>
            </wp:positionV>
            <wp:extent cx="248285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482850" cy="17970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$345.7 million for 2022 compared to $87.6 million for 2021, a change of $258.0 million.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2022, net cash provided is the result of a net income of $230.3 million plus adjustments of $66.9 million for depreciation and amortization of property, plant and equipment (“PP&amp;E”), $36.9 million for deferred taxes and other adjustments of $2.7 million and net cash provided of $8.9 million primarily from our working capital.</w:t>
      </w:r>
    </w:p>
    <w:p>
      <w:pPr>
        <w:spacing w:after="0" w:line="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2021, net cash provided is the result of a net income of $43.5 million plus adjustments of $68.7 million for depreciation and amortization of PP&amp;E, net loss on extinguishments of debt of $10.3 million and other adjustments of $8.4 million and net cash used of $43.3 million primarily from our working capital, including accounts receivable.</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investing activities was $369.7 million for 2022 compared to $34.7 million for 2021, a change of $335.0 million.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2022, net cash used primarily relates to purchases of short-term investments of $486.1 million and expenditures for PP&amp;E of $45.8 million partially offset by short-term investment maturities of $158.9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2021, net cash used relates primarily to expenditures for PP&amp;E.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$5.7 million for 2022 compared to $12.9 million for 2021, a change of $7.2 million.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2022, net cash provided primarily consists of proceeds of $200 million from the New Notes and $20.1 million from proceeds from short-term financing partially offset by payments for the acquisition of treasury shares of $179.0 million, payments on other long-term debt and short-term financing of $30.5 million, payments of $4.9 million for payments of debt-related and exchange related costs.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2021, net cash provided primarily consists of proceeds of $500 million from the New Notes, $16.7 million from insurance premium short-term financing partially offset by $435 million redemption of the Old Notes, payments of debt-related costs of $27.3 million, payments on other long-term debt and short-term financing of $28.0 million, payments of costs of $7.4 million related to the Exchange Transaction, and payments of $6.1 million for other financing activities.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cash equivalents and short-term investments long-term debt and stockholders’ equity:</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1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1"/>
                <w:szCs w:val="21"/>
                <w:color w:val="auto"/>
              </w:rPr>
            </w:pPr>
          </w:p>
        </w:tc>
      </w:tr>
      <w:tr>
        <w:trPr>
          <w:trHeight w:val="175"/>
        </w:trPr>
        <w:tc>
          <w:tcPr>
            <w:tcW w:w="6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(In</w:t>
            </w:r>
          </w:p>
        </w:tc>
        <w:tc>
          <w:tcPr>
            <w:tcW w:w="640" w:type="dxa"/>
            <w:vAlign w:val="bottom"/>
            <w:gridSpan w:val="2"/>
          </w:tcPr>
          <w:p>
            <w:pPr>
              <w:jc w:val="right"/>
              <w:ind w:right="90"/>
              <w:spacing w:after="0"/>
              <w:rPr>
                <w:sz w:val="20"/>
                <w:szCs w:val="20"/>
                <w:color w:val="auto"/>
              </w:rPr>
            </w:pPr>
            <w:r>
              <w:rPr>
                <w:rFonts w:ascii="Arial" w:cs="Arial" w:eastAsia="Arial" w:hAnsi="Arial"/>
                <w:sz w:val="14"/>
                <w:szCs w:val="14"/>
                <w:color w:val="auto"/>
                <w:w w:val="85"/>
              </w:rPr>
              <w:t>Millions)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42"/>
        </w:trPr>
        <w:tc>
          <w:tcPr>
            <w:tcW w:w="6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r>
      <w:tr>
        <w:trPr>
          <w:trHeight w:val="23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330.6</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1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394.4</w:t>
            </w: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80" w:type="dxa"/>
            <w:vAlign w:val="bottom"/>
            <w:tcBorders>
              <w:top w:val="single" w:sz="8" w:color="CFF0FC"/>
            </w:tcBorders>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6"/>
        </w:trPr>
        <w:tc>
          <w:tcPr>
            <w:tcW w:w="6120" w:type="dxa"/>
            <w:vAlign w:val="bottom"/>
          </w:tcPr>
          <w:p>
            <w:pPr>
              <w:spacing w:after="0"/>
              <w:rPr>
                <w:sz w:val="20"/>
                <w:szCs w:val="20"/>
                <w:color w:val="auto"/>
              </w:rPr>
            </w:pPr>
            <w:r>
              <w:rPr>
                <w:rFonts w:ascii="Arial" w:cs="Arial" w:eastAsia="Arial" w:hAnsi="Arial"/>
                <w:sz w:val="18"/>
                <w:szCs w:val="18"/>
                <w:color w:val="auto"/>
              </w:rPr>
              <w:t>Revolving credit facility and long-term debt:</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Working Capital Revolver Loan</w:t>
            </w:r>
          </w:p>
        </w:tc>
        <w:tc>
          <w:tcPr>
            <w:tcW w:w="8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700.0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Secured Financing due 2023</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21"/>
                <w:szCs w:val="2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Secured Financing Agreement due 2025</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Secured Loan Agreement due 2025</w:t>
            </w:r>
          </w:p>
        </w:tc>
        <w:tc>
          <w:tcPr>
            <w:tcW w:w="8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21"/>
                <w:szCs w:val="2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r>
      <w:tr>
        <w:trPr>
          <w:trHeight w:val="243"/>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Unamortized discount and debt issuance costs</w:t>
            </w:r>
          </w:p>
        </w:tc>
        <w:tc>
          <w:tcPr>
            <w:tcW w:w="8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w w:val="96"/>
              </w:rPr>
              <w:t>(12.3 )</w:t>
            </w: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(9.7 )</w:t>
            </w:r>
          </w:p>
        </w:tc>
      </w:tr>
      <w:tr>
        <w:trPr>
          <w:trHeight w:val="236"/>
        </w:trPr>
        <w:tc>
          <w:tcPr>
            <w:tcW w:w="61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8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712.3</w:t>
            </w: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80" w:type="dxa"/>
            <w:vAlign w:val="bottom"/>
            <w:tcBorders>
              <w:top w:val="single" w:sz="8" w:color="CFF0FC"/>
            </w:tcBorders>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515.9</w:t>
            </w:r>
          </w:p>
        </w:tc>
        <w:tc>
          <w:tcPr>
            <w:tcW w:w="2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-2259965</wp:posOffset>
            </wp:positionV>
            <wp:extent cx="5969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-2259965</wp:posOffset>
            </wp:positionV>
            <wp:extent cx="5143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-1943100</wp:posOffset>
            </wp:positionV>
            <wp:extent cx="5969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-1943100</wp:posOffset>
            </wp:positionV>
            <wp:extent cx="5143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-367665</wp:posOffset>
            </wp:positionV>
            <wp:extent cx="5969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-367665</wp:posOffset>
            </wp:positionV>
            <wp:extent cx="5143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-24765</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-7620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discussions below under “Loan Agreements" relating to the debt agreement.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December 31, 2022, our Working Capital Revolver Loan was undrawn and had approximately $64.1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capital expenditures to be approximately $60 million to $80 million for 2023. This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42424"/>
        </w:rPr>
        <w:t>From time to time, when the Company exceeds the funding threshold in our natural gas purchase commitments the Company is required to fund cash collateral to our counterparty.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combination of our cash and cash equivalents on hand, short-term investments, the availability on our revolving credit facility and our cash flow from operations will be sufficient to fund our anticipated liquidity needs for the next twelve months.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May 2022, our Board authorized a $50 million stock repurchase program. In August 2022, our Board authorized an increase in the size of the stock repurchase program to $100 million. During the third quarter of 2022, we exhausted the repurchase authorization under the stock repurchase program. In October 2022, our Board approved another expansion of the stock repurchase program, authorizing us to repurchase an additional $75 million of our outstanding common stock under the stock repurchase program which was exhausted as of December 31, 2022.</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we have approximately $394.4 million of cash and short-term investments.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under “Loan Agreements,” the Working Capital Revolver Loan requires, among other things, that we meet certain financial covenants. The Working Capital Revolver Loan does not include financial covenant requirements unless a defined covenant trigger event has occurred and is continuing. As of December 31, 2022, no trigger event had occurred.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Senior Secured Notes due 2028 – </w:t>
      </w:r>
      <w:r>
        <w:rPr>
          <w:rFonts w:ascii="Arial" w:cs="Arial" w:eastAsia="Arial" w:hAnsi="Arial"/>
          <w:sz w:val="17"/>
          <w:szCs w:val="17"/>
          <w:color w:val="auto"/>
        </w:rPr>
        <w:t>LSB has $700 million aggregate principal amount of the 6.25% Senior Secured Notes currently outstanding,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$200 million associated with the New Notes as discussed in footnote (B) of Note 6. Interest is to be paid semiannually in arrears on May 15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and October 15</w:t>
      </w:r>
      <w:r>
        <w:rPr>
          <w:rFonts w:ascii="Arial" w:cs="Arial" w:eastAsia="Arial" w:hAnsi="Arial"/>
          <w:sz w:val="19"/>
          <w:szCs w:val="19"/>
          <w:color w:val="auto"/>
          <w:vertAlign w:val="superscript"/>
        </w:rPr>
        <w:t>th</w:t>
      </w:r>
      <w:r>
        <w:rPr>
          <w:rFonts w:ascii="Arial" w:cs="Arial" w:eastAsia="Arial" w:hAnsi="Arial"/>
          <w:sz w:val="17"/>
          <w:szCs w:val="17"/>
          <w:color w:val="auto"/>
        </w:rPr>
        <w:t>, maturing October 15, 2028. The proceeds from the issuance of the New Notes were used to pay related transaction expenses, with the remainder intended to be used to pursue strategic acquisition opportunities, to fund organic growth and for general corporate purposes.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312" w:lineRule="auto"/>
        <w:rPr>
          <w:sz w:val="20"/>
          <w:szCs w:val="20"/>
          <w:color w:val="auto"/>
        </w:rPr>
      </w:pPr>
      <w:r>
        <w:rPr>
          <w:rFonts w:ascii="Arial" w:cs="Arial" w:eastAsia="Arial" w:hAnsi="Arial"/>
          <w:sz w:val="17"/>
          <w:szCs w:val="17"/>
          <w:b w:val="1"/>
          <w:bCs w:val="1"/>
          <w:color w:val="auto"/>
        </w:rPr>
        <w:t xml:space="preserve">Secured Financing due 2023 – </w:t>
      </w:r>
      <w:r>
        <w:rPr>
          <w:rFonts w:ascii="Arial" w:cs="Arial" w:eastAsia="Arial" w:hAnsi="Arial"/>
          <w:sz w:val="17"/>
          <w:szCs w:val="17"/>
          <w:color w:val="auto"/>
        </w:rPr>
        <w:t>El Dorado Chemical Company (“EDC”) is party to a secured financing arrangement with an affiliate of Eldridge.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and interest are payable in 48 equal monthly installments with a final balloon payment of approximately $3 million due in June 2023.</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Secured Financing due 2025 – </w:t>
      </w:r>
      <w:r>
        <w:rPr>
          <w:rFonts w:ascii="Arial" w:cs="Arial" w:eastAsia="Arial" w:hAnsi="Arial"/>
          <w:sz w:val="16"/>
          <w:szCs w:val="16"/>
          <w:color w:val="auto"/>
        </w:rPr>
        <w:t>El Dorado Ammonia L.L.C. (“EDA”) is party to a $30 million secured financing arrangement with an affiliate of Eldridge.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Principal and interest are payable in 60 equal monthly installments with a final balloon payment of approximately $5 million due in August 2025.</w:t>
      </w:r>
    </w:p>
    <w:p>
      <w:pPr>
        <w:spacing w:after="0" w:line="11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December 31, 2022, the Working Capital Revolver Loan was undrawn and the net credit available for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Working Capital Revolver Loan was approximately $64.1 million, based on our eligible collateral, less outstanding standby letters of credit as of that date. Also see discussion above under “Compliance with Long-Term Debt Covenants.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Expenditures –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2022, capital expenditures relating to PP&amp;E were $45.8 million. The capital expenditures were funded primarily from cash and working capital.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annual capital expenditures for 2023.</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numerous federal, state and local laws and regulations, including matters regarding environmental, health and safety matters. As a result, we incurred expenses of $3.9 million in 2022 in connection with environmental projects. For 2023, we expect to incur expenses ranging from $4.5 million to $4.9 million in connection with additional environmental projects. However, it is possible that the actual costs could be significantly different than our estimates.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under Note 1 regarding the common stock Special Dividend completed in 2021.</w:t>
      </w:r>
    </w:p>
    <w:p>
      <w:pPr>
        <w:spacing w:after="0" w:line="11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2023.</w:t>
      </w:r>
    </w:p>
    <w:p>
      <w:pPr>
        <w:spacing w:after="0" w:line="39"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See discussion under Note 13 regarding the conversion and payment of the accumulated dividends during 2021 relating to the Series D 6% cumulative convertible Class C preferred stock (the “Series D Preferred”) and Series B 12% cumulative convertible Class C Preferred Stock (the “Series B Preferred”).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2022, we have agreed to indemnify the sureties for payments, up to $9.7 million, made by them in respect of such bonds. All of these insurance bonds are expected to expire or be renewed in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our aggregate contractual obligations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b w:val="1"/>
                <w:bCs w:val="1"/>
                <w:color w:val="auto"/>
                <w:w w:val="99"/>
              </w:rPr>
              <w:t>Payments Due in the Year Ending December 31,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2027</w:t>
            </w: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69"/>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540" w:type="dxa"/>
            <w:vAlign w:val="bottom"/>
          </w:tcPr>
          <w:p>
            <w:pPr>
              <w:ind w:left="200"/>
              <w:spacing w:after="0"/>
              <w:rPr>
                <w:sz w:val="20"/>
                <w:szCs w:val="20"/>
                <w:color w:val="auto"/>
              </w:rPr>
            </w:pPr>
            <w:r>
              <w:rPr>
                <w:rFonts w:ascii="Arial" w:cs="Arial" w:eastAsia="Arial" w:hAnsi="Arial"/>
                <w:sz w:val="18"/>
                <w:szCs w:val="18"/>
                <w:color w:val="auto"/>
              </w:rPr>
              <w:t>Senior Secured Notes</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700,000</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20"/>
                <w:szCs w:val="20"/>
                <w:color w:val="auto"/>
              </w:rPr>
            </w:pPr>
          </w:p>
        </w:tc>
      </w:tr>
      <w:tr>
        <w:trPr>
          <w:trHeight w:val="236"/>
        </w:trPr>
        <w:tc>
          <w:tcPr>
            <w:tcW w:w="3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24,576</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9,522</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8,793</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724,576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9,522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5,838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700,125</w:t>
            </w:r>
          </w:p>
        </w:tc>
        <w:tc>
          <w:tcPr>
            <w:tcW w:w="100" w:type="dxa"/>
            <w:vAlign w:val="bottom"/>
          </w:tcPr>
          <w:p>
            <w:pPr>
              <w:spacing w:after="0"/>
              <w:rPr>
                <w:sz w:val="19"/>
                <w:szCs w:val="19"/>
                <w:color w:val="auto"/>
              </w:rPr>
            </w:pPr>
          </w:p>
        </w:tc>
      </w:tr>
      <w:tr>
        <w:trPr>
          <w:trHeight w:val="249"/>
        </w:trPr>
        <w:tc>
          <w:tcPr>
            <w:tcW w:w="3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Interest payments on long-term debt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265,716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45,431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44,840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43,774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43,762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43,757</w:t>
            </w:r>
          </w:p>
        </w:tc>
        <w:tc>
          <w:tcPr>
            <w:tcW w:w="100" w:type="dxa"/>
            <w:vAlign w:val="bottom"/>
          </w:tcPr>
          <w:p>
            <w:pPr>
              <w:spacing w:after="0"/>
              <w:rPr>
                <w:sz w:val="20"/>
                <w:szCs w:val="20"/>
                <w:color w:val="auto"/>
              </w:rPr>
            </w:pP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and finance leases</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26,795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FF0FC"/>
          </w:tcPr>
          <w:p>
            <w:pPr>
              <w:spacing w:after="0"/>
              <w:rPr>
                <w:sz w:val="21"/>
                <w:szCs w:val="2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Firm purchase commitments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50,783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50,783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Natural gas pipeline commitment (2)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r>
      <w:tr>
        <w:trPr>
          <w:trHeight w:val="236"/>
        </w:trPr>
        <w:tc>
          <w:tcPr>
            <w:tcW w:w="35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contractual obligations</w:t>
            </w:r>
          </w:p>
        </w:tc>
        <w:tc>
          <w:tcPr>
            <w:tcW w:w="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10,950</w:t>
            </w:r>
          </w:p>
        </w:tc>
        <w:tc>
          <w:tcPr>
            <w:tcW w:w="3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3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FF0FC"/>
            </w:tcBorders>
          </w:tcPr>
          <w:p>
            <w:pPr>
              <w:spacing w:after="0"/>
              <w:rPr>
                <w:sz w:val="20"/>
                <w:szCs w:val="20"/>
                <w:color w:val="auto"/>
              </w:rPr>
            </w:pPr>
          </w:p>
        </w:tc>
      </w:tr>
      <w:tr>
        <w:trPr>
          <w:trHeight w:val="26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5"/>
              </w:rPr>
              <w:t>1,081,160</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118,259</w:t>
            </w:r>
          </w:p>
        </w:tc>
        <w:tc>
          <w:tcPr>
            <w:tcW w:w="3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61,841</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60,563</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48,231</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46,974</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745,292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-1266825</wp:posOffset>
            </wp:positionV>
            <wp:extent cx="7683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-1266825</wp:posOffset>
            </wp:positionV>
            <wp:extent cx="76835"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-1266825</wp:posOffset>
            </wp:positionV>
            <wp:extent cx="6858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-1266825</wp:posOffset>
            </wp:positionV>
            <wp:extent cx="685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-1266825</wp:posOffset>
            </wp:positionV>
            <wp:extent cx="685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-1266825</wp:posOffset>
            </wp:positionV>
            <wp:extent cx="685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-179070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-179070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-179070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-179070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-179070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left="860" w:hanging="47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estimated interest payments are based on interest rates at December 31, 2022, which debt is all fixed interest rate debt.</w:t>
      </w:r>
    </w:p>
    <w:p>
      <w:pPr>
        <w:spacing w:after="0" w:line="23" w:lineRule="exact"/>
        <w:rPr>
          <w:rFonts w:ascii="Arial" w:cs="Arial" w:eastAsia="Arial" w:hAnsi="Arial"/>
          <w:sz w:val="18"/>
          <w:szCs w:val="18"/>
          <w:color w:val="auto"/>
        </w:rPr>
      </w:pPr>
    </w:p>
    <w:p>
      <w:pPr>
        <w:ind w:left="860" w:hanging="47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adopted and issued accounting standards.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2022, could change in the near term. The more critical areas of financial reporting affected by management's judgment, estimates and assumptions include the following:</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various legal matters that require management to make estimates and assumptions as discussed in Note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the actual costs could be significantly different than our estimates.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 As discussed under “Government Laws and Regulations” in Item 1 of this report, we are subject to numerous federal, state, and</w:t>
      </w:r>
      <w:r>
        <w:rPr>
          <w:rFonts w:ascii="Arial" w:cs="Arial" w:eastAsia="Arial" w:hAnsi="Arial"/>
          <w:sz w:val="17"/>
          <w:szCs w:val="17"/>
          <w:b w:val="1"/>
          <w:bCs w:val="1"/>
          <w:color w:val="auto"/>
        </w:rPr>
        <w:t xml:space="preserve"> </w:t>
      </w:r>
      <w:r>
        <w:rPr>
          <w:rFonts w:ascii="Arial" w:cs="Arial" w:eastAsia="Arial" w:hAnsi="Arial"/>
          <w:sz w:val="17"/>
          <w:szCs w:val="17"/>
          <w:color w:val="auto"/>
        </w:rPr>
        <w:t>local laws and regulations, including matters regarding environmental, health and safety matters.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matters discussed under footnote A of Note 8. At December 31, 2022 and 2021, liabilities totaling $0.5 million have been accrued relating to these matters. It is also reasonably possible that the estimates and assumptions utilized as of December 31, 2022 could change in the near term. Actual results could differ materially from these estimates and judgments, as additional information becomes known.</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 xml:space="preserve">Income Tax – </w:t>
      </w:r>
      <w:r>
        <w:rPr>
          <w:rFonts w:ascii="Arial" w:cs="Arial" w:eastAsia="Arial" w:hAnsi="Arial"/>
          <w:sz w:val="16"/>
          <w:szCs w:val="16"/>
          <w:color w:val="auto"/>
        </w:rPr>
        <w:t>As discussed under “Income Taxes” in Note 1 and in Note 7, income taxes are accounted for under the asset and liability method.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On December 31, 2022 and 2021, our valuation allowance on deferred tax assets was $14.9 million and $47.0 million,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right="3960"/>
        <w:spacing w:after="0" w:line="338" w:lineRule="auto"/>
        <w:rPr>
          <w:sz w:val="20"/>
          <w:szCs w:val="20"/>
          <w:color w:val="auto"/>
        </w:rPr>
      </w:pPr>
      <w:r>
        <w:rPr>
          <w:rFonts w:ascii="Arial" w:cs="Arial" w:eastAsia="Arial" w:hAnsi="Arial"/>
          <w:sz w:val="18"/>
          <w:szCs w:val="18"/>
          <w:b w:val="1"/>
          <w:bCs w:val="1"/>
          <w:u w:val="single" w:color="auto"/>
          <w:color w:val="auto"/>
        </w:rPr>
        <w:t>ITEM 7A. QUANTITATIVE AND QUALITATIVE DISCLOSURES ABOUT MARKET RISK General</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affected by changes in market prices of ammonia and natural gas and changes in market interest rates.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December 31, 2022, we had no embedded losses associated with sales commitments with firm sales prices.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2022, we had no outstanding natural gas contracts, which are accounted for on a mark-to-market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December 31, 2022, we had no outstanding borrowings on this credit facility and no other variable rate borrowings. We currently do not hedge our interest rate risk associated with these variable interest loans.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principal amounts by maturity date and weighted-average interest rates for the periods presented for our debt agreements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Expected maturities of</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2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long-term debt (1):</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280" w:type="dxa"/>
            <w:vAlign w:val="bottom"/>
          </w:tcPr>
          <w:p>
            <w:pPr>
              <w:ind w:left="200"/>
              <w:spacing w:after="0"/>
              <w:rPr>
                <w:sz w:val="20"/>
                <w:szCs w:val="20"/>
                <w:color w:val="auto"/>
              </w:rPr>
            </w:pPr>
            <w:r>
              <w:rPr>
                <w:rFonts w:ascii="Arial" w:cs="Arial" w:eastAsia="Arial" w:hAnsi="Arial"/>
                <w:sz w:val="16"/>
                <w:szCs w:val="16"/>
                <w:color w:val="auto"/>
              </w:rPr>
              <w:t>Fixed interest rate debt</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9,522</w:t>
            </w:r>
          </w:p>
        </w:tc>
        <w:tc>
          <w:tcPr>
            <w:tcW w:w="24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5,838</w:t>
            </w:r>
          </w:p>
        </w:tc>
        <w:tc>
          <w:tcPr>
            <w:tcW w:w="26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8,793</w:t>
            </w:r>
          </w:p>
        </w:tc>
        <w:tc>
          <w:tcPr>
            <w:tcW w:w="2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173</w:t>
            </w:r>
          </w:p>
        </w:tc>
        <w:tc>
          <w:tcPr>
            <w:tcW w:w="2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700,125</w:t>
            </w:r>
          </w:p>
        </w:tc>
        <w:tc>
          <w:tcPr>
            <w:tcW w:w="220" w:type="dxa"/>
            <w:vAlign w:val="bottom"/>
          </w:tcPr>
          <w:p>
            <w:pPr>
              <w:spacing w:after="0"/>
              <w:rPr>
                <w:sz w:val="21"/>
                <w:szCs w:val="21"/>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724,576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Weighted-average interest rate</w:t>
            </w:r>
          </w:p>
        </w:tc>
        <w:tc>
          <w:tcPr>
            <w:tcW w:w="6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6.31 %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6.29 %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6.27 %</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6.25 %</w:t>
            </w: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6.25 %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6.25 %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6.25 %</w:t>
            </w:r>
          </w:p>
        </w:tc>
        <w:tc>
          <w:tcPr>
            <w:tcW w:w="20" w:type="dxa"/>
            <w:vAlign w:val="bottom"/>
          </w:tcPr>
          <w:p>
            <w:pPr>
              <w:spacing w:after="0"/>
              <w:rPr>
                <w:sz w:val="21"/>
                <w:szCs w:val="2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(1) The debt balances and weighted-average interest rate are based on the aggregate amount of debt outstanding as of December 31, 2022.</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December 31, 2022 and 2021, we did not have any financial instruments with fair values materially different from their carrying amounts (which excludes issuance costs, if applicable) except for our Senior Secured Notes. See Note 9. The fair value of financial instruments is not indicative of the overall fair value of our assets and liabilities since financial instruments do not include all assets, including intangibles, and all liabilities.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9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2022, that have materially affected, or are reasonably likely to materially affect, our internal control over financial reporting.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assessed the effectiveness of our internal control over financial reporting as of December 31, 2022. In making this assessment, it used the criteria set forth by the Committee of Sponsoring Organizations of the Treadway Commission in Internal Control - Integrated Framework (2013 Framework). Based on our assessment, we believe that, as of December 31, 2022, our internal control over financial reporting is effective based on those criteria.</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LSB Industries, Inc.’s internal control over financial reporting as of December 31, 2022, based on criteria established in Internal Control— 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2022, based on the COSO criteria.</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2022 consolidated financial statements of the Company and our report dated February 23, 2023 expressed an unqualified opinion thereon.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2980"/>
        <w:spacing w:after="0" w:line="323" w:lineRule="auto"/>
        <w:rPr>
          <w:sz w:val="20"/>
          <w:szCs w:val="20"/>
          <w:color w:val="auto"/>
        </w:rPr>
      </w:pPr>
      <w:r>
        <w:rPr>
          <w:rFonts w:ascii="Arial" w:cs="Arial" w:eastAsia="Arial" w:hAnsi="Arial"/>
          <w:sz w:val="18"/>
          <w:szCs w:val="18"/>
          <w:b w:val="1"/>
          <w:bCs w:val="1"/>
          <w:u w:val="single" w:color="auto"/>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March 28, 2023.</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20" w:type="dxa"/>
            <w:vAlign w:val="bottom"/>
            <w:gridSpan w:val="7"/>
          </w:tcPr>
          <w:p>
            <w:pPr>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1"/>
        </w:trPr>
        <w:tc>
          <w:tcPr>
            <w:tcW w:w="10680" w:type="dxa"/>
            <w:vAlign w:val="bottom"/>
            <w:gridSpan w:val="16"/>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5440" w:type="dxa"/>
            <w:vAlign w:val="bottom"/>
            <w:tcBorders>
              <w:top w:val="single" w:sz="8" w:color="auto"/>
            </w:tcBorders>
            <w:gridSpan w:val="10"/>
          </w:tcPr>
          <w:p>
            <w:pPr>
              <w:spacing w:after="0"/>
              <w:rPr>
                <w:sz w:val="20"/>
                <w:szCs w:val="20"/>
                <w:color w:val="auto"/>
              </w:rPr>
            </w:pPr>
            <w:r>
              <w:rPr>
                <w:rFonts w:ascii="Arial" w:cs="Arial" w:eastAsia="Arial" w:hAnsi="Arial"/>
                <w:sz w:val="18"/>
                <w:szCs w:val="18"/>
                <w:b w:val="1"/>
                <w:bCs w:val="1"/>
                <w:color w:val="auto"/>
              </w:rPr>
              <w:t>(a) (1) Financial Statements</w:t>
            </w:r>
          </w:p>
        </w:tc>
        <w:tc>
          <w:tcPr>
            <w:tcW w:w="524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4"/>
        </w:trPr>
        <w:tc>
          <w:tcPr>
            <w:tcW w:w="10680" w:type="dxa"/>
            <w:vAlign w:val="bottom"/>
            <w:gridSpan w:val="16"/>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5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337"/>
        </w:trPr>
        <w:tc>
          <w:tcPr>
            <w:tcW w:w="20" w:type="dxa"/>
            <w:vAlign w:val="bottom"/>
          </w:tcPr>
          <w:p>
            <w:pPr>
              <w:spacing w:after="0"/>
              <w:rPr>
                <w:sz w:val="24"/>
                <w:szCs w:val="24"/>
                <w:color w:val="auto"/>
              </w:rPr>
            </w:pPr>
          </w:p>
        </w:tc>
        <w:tc>
          <w:tcPr>
            <w:tcW w:w="42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642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371"/>
        </w:trPr>
        <w:tc>
          <w:tcPr>
            <w:tcW w:w="20" w:type="dxa"/>
            <w:vAlign w:val="bottom"/>
          </w:tcPr>
          <w:p>
            <w:pPr>
              <w:spacing w:after="0"/>
              <w:rPr>
                <w:sz w:val="24"/>
                <w:szCs w:val="24"/>
                <w:color w:val="auto"/>
              </w:rPr>
            </w:pPr>
          </w:p>
        </w:tc>
        <w:tc>
          <w:tcPr>
            <w:tcW w:w="4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9"/>
              </w:rPr>
              <w:t>Consolidated Balance Sheets at December 31, 2022 and 2021</w:t>
            </w:r>
          </w:p>
        </w:tc>
        <w:tc>
          <w:tcPr>
            <w:tcW w:w="61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371"/>
        </w:trPr>
        <w:tc>
          <w:tcPr>
            <w:tcW w:w="20" w:type="dxa"/>
            <w:vAlign w:val="bottom"/>
          </w:tcPr>
          <w:p>
            <w:pPr>
              <w:spacing w:after="0"/>
              <w:rPr>
                <w:sz w:val="24"/>
                <w:szCs w:val="24"/>
                <w:color w:val="auto"/>
              </w:rPr>
            </w:pPr>
          </w:p>
        </w:tc>
        <w:tc>
          <w:tcPr>
            <w:tcW w:w="76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Statements of Operations for each of the three years in the period ended December 31, 2022</w:t>
            </w:r>
          </w:p>
        </w:tc>
        <w:tc>
          <w:tcPr>
            <w:tcW w:w="20" w:type="dxa"/>
            <w:vAlign w:val="bottom"/>
            <w:tcBorders>
              <w:bottom w:val="single" w:sz="8" w:color="0000EE"/>
            </w:tcBorders>
          </w:tcPr>
          <w:p>
            <w:pPr>
              <w:spacing w:after="0"/>
              <w:rPr>
                <w:sz w:val="24"/>
                <w:szCs w:val="24"/>
                <w:color w:val="auto"/>
              </w:rPr>
            </w:pPr>
          </w:p>
        </w:tc>
        <w:tc>
          <w:tcPr>
            <w:tcW w:w="30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371"/>
        </w:trPr>
        <w:tc>
          <w:tcPr>
            <w:tcW w:w="20" w:type="dxa"/>
            <w:vAlign w:val="bottom"/>
          </w:tcPr>
          <w:p>
            <w:pPr>
              <w:spacing w:after="0"/>
              <w:rPr>
                <w:sz w:val="24"/>
                <w:szCs w:val="24"/>
                <w:color w:val="auto"/>
              </w:rPr>
            </w:pPr>
          </w:p>
        </w:tc>
        <w:tc>
          <w:tcPr>
            <w:tcW w:w="8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Statements of Stockholders' Equity for each of the three years in the period ended December 31, 2022</w:t>
            </w:r>
          </w:p>
        </w:tc>
        <w:tc>
          <w:tcPr>
            <w:tcW w:w="2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371"/>
        </w:trPr>
        <w:tc>
          <w:tcPr>
            <w:tcW w:w="20" w:type="dxa"/>
            <w:vAlign w:val="bottom"/>
          </w:tcPr>
          <w:p>
            <w:pPr>
              <w:spacing w:after="0"/>
              <w:rPr>
                <w:sz w:val="24"/>
                <w:szCs w:val="24"/>
                <w:color w:val="auto"/>
              </w:rPr>
            </w:pPr>
          </w:p>
        </w:tc>
        <w:tc>
          <w:tcPr>
            <w:tcW w:w="10660" w:type="dxa"/>
            <w:vAlign w:val="bottom"/>
            <w:gridSpan w:val="15"/>
          </w:tcPr>
          <w:p>
            <w:pPr>
              <w:spacing w:after="0"/>
              <w:rPr>
                <w:sz w:val="20"/>
                <w:szCs w:val="20"/>
                <w:color w:val="auto"/>
              </w:rPr>
            </w:pPr>
            <w:r>
              <w:rPr>
                <w:rFonts w:ascii="Arial" w:cs="Arial" w:eastAsia="Arial" w:hAnsi="Arial"/>
                <w:sz w:val="18"/>
                <w:szCs w:val="18"/>
                <w:color w:val="0000FF"/>
              </w:rPr>
              <w:t>Consolidated Statements of Cash Flows for each of the three years in the period ended December 31, 2022</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71"/>
        </w:trPr>
        <w:tc>
          <w:tcPr>
            <w:tcW w:w="20" w:type="dxa"/>
            <w:vAlign w:val="bottom"/>
          </w:tcPr>
          <w:p>
            <w:pPr>
              <w:spacing w:after="0"/>
              <w:rPr>
                <w:sz w:val="24"/>
                <w:szCs w:val="24"/>
                <w:color w:val="auto"/>
              </w:rPr>
            </w:pPr>
          </w:p>
        </w:tc>
        <w:tc>
          <w:tcPr>
            <w:tcW w:w="76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Notes to Consolidated Financial Statements</w:t>
            </w:r>
          </w:p>
        </w:tc>
        <w:tc>
          <w:tcPr>
            <w:tcW w:w="30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371"/>
        </w:trPr>
        <w:tc>
          <w:tcPr>
            <w:tcW w:w="2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Quarterly Financial Data (Unaudited)</w:t>
            </w:r>
          </w:p>
        </w:tc>
        <w:tc>
          <w:tcPr>
            <w:tcW w:w="60" w:type="dxa"/>
            <w:vAlign w:val="bottom"/>
            <w:tcBorders>
              <w:top w:val="single" w:sz="8" w:color="0000EE"/>
            </w:tcBorders>
          </w:tcPr>
          <w:p>
            <w:pPr>
              <w:spacing w:after="0"/>
              <w:rPr>
                <w:sz w:val="24"/>
                <w:szCs w:val="24"/>
                <w:color w:val="auto"/>
              </w:rPr>
            </w:pPr>
          </w:p>
        </w:tc>
        <w:tc>
          <w:tcPr>
            <w:tcW w:w="746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F-34</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(2) Financial Statement Schedule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included the following schedule in this report:</w:t>
      </w:r>
    </w:p>
    <w:p>
      <w:pPr>
        <w:spacing w:after="0" w:line="238" w:lineRule="exact"/>
        <w:rPr>
          <w:sz w:val="20"/>
          <w:szCs w:val="20"/>
          <w:color w:val="auto"/>
        </w:rPr>
      </w:pPr>
    </w:p>
    <w:p>
      <w:pPr>
        <w:ind w:left="20"/>
        <w:spacing w:after="0"/>
        <w:tabs>
          <w:tab w:leader="none" w:pos="10780" w:val="left"/>
        </w:tabs>
        <w:rPr>
          <w:sz w:val="20"/>
          <w:szCs w:val="20"/>
          <w:color w:val="auto"/>
        </w:rPr>
      </w:pPr>
      <w:r>
        <w:rPr>
          <w:rFonts w:ascii="Arial" w:cs="Arial" w:eastAsia="Arial" w:hAnsi="Arial"/>
          <w:sz w:val="18"/>
          <w:szCs w:val="18"/>
          <w:u w:val="single" w:color="auto"/>
          <w:color w:val="0000FF"/>
        </w:rPr>
        <w:t>II - Valuation and Qualifying Accounts</w:t>
      </w:r>
      <w:r>
        <w:rPr>
          <w:sz w:val="20"/>
          <w:szCs w:val="20"/>
          <w:color w:val="auto"/>
        </w:rPr>
        <w:tab/>
      </w: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17843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auto"/>
        </w:rPr>
        <w:t>(a)(3) Exhibits</w:t>
      </w:r>
    </w:p>
    <w:p>
      <w:pPr>
        <w:sectPr>
          <w:pgSz w:w="11900" w:h="16838" w:orient="portrait"/>
          <w:cols w:equalWidth="0" w:num="1">
            <w:col w:w="11240"/>
          </w:cols>
          <w:pgMar w:left="320" w:top="337" w:right="339" w:bottom="1440" w:gutter="0" w:footer="0" w:header="0"/>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Number</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10"/>
          </w:tcPr>
          <w:p>
            <w:pPr>
              <w:ind w:left="1320"/>
              <w:spacing w:after="0"/>
              <w:rPr>
                <w:sz w:val="20"/>
                <w:szCs w:val="20"/>
                <w:color w:val="auto"/>
              </w:rPr>
            </w:pPr>
            <w:r>
              <w:rPr>
                <w:rFonts w:ascii="Arial" w:cs="Arial" w:eastAsia="Arial" w:hAnsi="Arial"/>
                <w:sz w:val="14"/>
                <w:szCs w:val="14"/>
                <w:b w:val="1"/>
                <w:bCs w:val="1"/>
                <w:color w:val="auto"/>
              </w:rPr>
              <w:t>Exhibit Title</w:t>
            </w:r>
          </w:p>
        </w:tc>
      </w:tr>
      <w:tr>
        <w:trPr>
          <w:trHeight w:val="250"/>
        </w:trPr>
        <w:tc>
          <w:tcPr>
            <w:tcW w:w="1280" w:type="dxa"/>
            <w:vAlign w:val="bottom"/>
          </w:tcPr>
          <w:p>
            <w:pPr>
              <w:jc w:val="center"/>
              <w:ind w:right="572"/>
              <w:spacing w:after="0"/>
              <w:rPr>
                <w:sz w:val="20"/>
                <w:szCs w:val="20"/>
                <w:color w:val="auto"/>
              </w:rPr>
            </w:pPr>
            <w:r>
              <w:rPr>
                <w:rFonts w:ascii="Arial" w:cs="Arial" w:eastAsia="Arial" w:hAnsi="Arial"/>
                <w:sz w:val="18"/>
                <w:szCs w:val="18"/>
                <w:color w:val="auto"/>
                <w:w w:val="92"/>
              </w:rPr>
              <w:t>3(i).1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80" w:type="dxa"/>
            <w:vAlign w:val="bottom"/>
            <w:tcBorders>
              <w:bottom w:val="single" w:sz="8" w:color="0000FF"/>
            </w:tcBorders>
            <w:gridSpan w:val="11"/>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Restated Certificate of Incorporation of LSB Industries, Inc., dated January</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2"/>
          </w:tcPr>
          <w:p>
            <w:pPr>
              <w:spacing w:after="0" w:line="195" w:lineRule="exact"/>
              <w:rPr>
                <w:rFonts w:ascii="Arial" w:cs="Arial" w:eastAsia="Arial" w:hAnsi="Arial"/>
                <w:sz w:val="18"/>
                <w:szCs w:val="18"/>
                <w:color w:val="0000FF"/>
              </w:rPr>
            </w:pPr>
            <w:hyperlink r:id="rId142">
              <w:r>
                <w:rPr>
                  <w:rFonts w:ascii="Arial" w:cs="Arial" w:eastAsia="Arial" w:hAnsi="Arial"/>
                  <w:sz w:val="18"/>
                  <w:szCs w:val="18"/>
                  <w:color w:val="0000FF"/>
                </w:rPr>
                <w:t>21, 1977, as amended August 27, 1987</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jc w:val="center"/>
              <w:ind w:right="572"/>
              <w:spacing w:after="0"/>
              <w:rPr>
                <w:sz w:val="20"/>
                <w:szCs w:val="20"/>
                <w:color w:val="auto"/>
              </w:rPr>
            </w:pPr>
            <w:r>
              <w:rPr>
                <w:rFonts w:ascii="Arial" w:cs="Arial" w:eastAsia="Arial" w:hAnsi="Arial"/>
                <w:sz w:val="18"/>
                <w:szCs w:val="18"/>
                <w:color w:val="auto"/>
                <w:w w:val="92"/>
              </w:rPr>
              <w:t>3(i).2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Borders>
              <w:bottom w:val="single" w:sz="8" w:color="0000FF"/>
            </w:tcBorders>
            <w:gridSpan w:val="12"/>
          </w:tcPr>
          <w:p>
            <w:pPr>
              <w:spacing w:after="0"/>
              <w:rPr>
                <w:rFonts w:ascii="Arial" w:cs="Arial" w:eastAsia="Arial" w:hAnsi="Arial"/>
                <w:sz w:val="18"/>
                <w:szCs w:val="18"/>
                <w:color w:val="0000FF"/>
                <w:w w:val="96"/>
              </w:rPr>
            </w:pPr>
            <w:hyperlink r:id="rId143">
              <w:r>
                <w:rPr>
                  <w:rFonts w:ascii="Arial" w:cs="Arial" w:eastAsia="Arial" w:hAnsi="Arial"/>
                  <w:sz w:val="18"/>
                  <w:szCs w:val="18"/>
                  <w:color w:val="0000FF"/>
                  <w:w w:val="96"/>
                </w:rPr>
                <w:t>Certificate of Amendment to the Restated Certificate of Incorporation of</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4"/>
          </w:tcPr>
          <w:p>
            <w:pPr>
              <w:spacing w:after="0" w:line="195"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LSB Industries, dated September 23, 2021</w:t>
              </w:r>
            </w:hyperlink>
          </w:p>
        </w:tc>
        <w:tc>
          <w:tcPr>
            <w:tcW w:w="2460" w:type="dxa"/>
            <w:vAlign w:val="bottom"/>
            <w:gridSpan w:val="8"/>
          </w:tcPr>
          <w:p>
            <w:pPr>
              <w:spacing w:after="0"/>
              <w:rPr>
                <w:sz w:val="17"/>
                <w:szCs w:val="17"/>
                <w:color w:val="auto"/>
              </w:rPr>
            </w:pPr>
          </w:p>
        </w:tc>
      </w:tr>
      <w:tr>
        <w:trPr>
          <w:trHeight w:val="290"/>
        </w:trPr>
        <w:tc>
          <w:tcPr>
            <w:tcW w:w="1280" w:type="dxa"/>
            <w:vAlign w:val="bottom"/>
          </w:tcPr>
          <w:p>
            <w:pPr>
              <w:ind w:left="120"/>
              <w:spacing w:after="0"/>
              <w:rPr>
                <w:sz w:val="20"/>
                <w:szCs w:val="20"/>
                <w:color w:val="auto"/>
              </w:rPr>
            </w:pPr>
            <w:r>
              <w:rPr>
                <w:rFonts w:ascii="Arial" w:cs="Arial" w:eastAsia="Arial" w:hAnsi="Arial"/>
                <w:sz w:val="18"/>
                <w:szCs w:val="18"/>
                <w:color w:val="auto"/>
              </w:rPr>
              <w:t>3(ii).1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Borders>
              <w:bottom w:val="single" w:sz="8" w:color="0000FF"/>
            </w:tcBorders>
            <w:gridSpan w:val="12"/>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Second Amended and Restated Bylaws of LSB Industries, Inc., dated July</w:t>
              </w:r>
            </w:hyperlink>
          </w:p>
        </w:tc>
      </w:tr>
      <w:tr>
        <w:trPr>
          <w:trHeight w:val="196"/>
        </w:trPr>
        <w:tc>
          <w:tcPr>
            <w:tcW w:w="1280" w:type="dxa"/>
            <w:vAlign w:val="bottom"/>
          </w:tcPr>
          <w:p>
            <w:pPr>
              <w:spacing w:after="0"/>
              <w:rPr>
                <w:sz w:val="17"/>
                <w:szCs w:val="17"/>
                <w:color w:val="auto"/>
              </w:rPr>
            </w:pPr>
          </w:p>
        </w:tc>
        <w:tc>
          <w:tcPr>
            <w:tcW w:w="800" w:type="dxa"/>
            <w:vAlign w:val="bottom"/>
            <w:gridSpan w:val="3"/>
          </w:tcPr>
          <w:p>
            <w:pPr>
              <w:ind w:left="140"/>
              <w:spacing w:after="0" w:line="195" w:lineRule="exact"/>
              <w:rPr>
                <w:rFonts w:ascii="Arial" w:cs="Arial" w:eastAsia="Arial" w:hAnsi="Arial"/>
                <w:sz w:val="18"/>
                <w:szCs w:val="18"/>
                <w:color w:val="0000FF"/>
                <w:w w:val="88"/>
              </w:rPr>
            </w:pPr>
            <w:hyperlink r:id="rId144">
              <w:r>
                <w:rPr>
                  <w:rFonts w:ascii="Arial" w:cs="Arial" w:eastAsia="Arial" w:hAnsi="Arial"/>
                  <w:sz w:val="18"/>
                  <w:szCs w:val="18"/>
                  <w:color w:val="0000FF"/>
                  <w:w w:val="88"/>
                </w:rPr>
                <w:t>19, 2021</w:t>
              </w:r>
            </w:hyperlink>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jc w:val="center"/>
              <w:ind w:right="57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2"/>
          </w:tcPr>
          <w:p>
            <w:pPr>
              <w:spacing w:after="0"/>
              <w:rPr>
                <w:rFonts w:ascii="Arial" w:cs="Arial" w:eastAsia="Arial" w:hAnsi="Arial"/>
                <w:sz w:val="18"/>
                <w:szCs w:val="18"/>
                <w:color w:val="0000FF"/>
              </w:rPr>
            </w:pPr>
            <w:hyperlink r:id="rId145">
              <w:r>
                <w:rPr>
                  <w:rFonts w:ascii="Arial" w:cs="Arial" w:eastAsia="Arial" w:hAnsi="Arial"/>
                  <w:sz w:val="18"/>
                  <w:szCs w:val="18"/>
                  <w:color w:val="0000FF"/>
                </w:rPr>
                <w:t>Specimen Certificate for the Company’s Common Stock</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1280" w:type="dxa"/>
            <w:vAlign w:val="bottom"/>
          </w:tcPr>
          <w:p>
            <w:pPr>
              <w:jc w:val="center"/>
              <w:ind w:right="572"/>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Borders>
              <w:bottom w:val="single" w:sz="8" w:color="0000FF"/>
            </w:tcBorders>
            <w:gridSpan w:val="11"/>
          </w:tcPr>
          <w:p>
            <w:pPr>
              <w:spacing w:after="0"/>
              <w:rPr>
                <w:rFonts w:ascii="Arial" w:cs="Arial" w:eastAsia="Arial" w:hAnsi="Arial"/>
                <w:sz w:val="18"/>
                <w:szCs w:val="18"/>
                <w:color w:val="0000FF"/>
                <w:w w:val="97"/>
              </w:rPr>
            </w:pPr>
            <w:hyperlink r:id="rId146">
              <w:r>
                <w:rPr>
                  <w:rFonts w:ascii="Arial" w:cs="Arial" w:eastAsia="Arial" w:hAnsi="Arial"/>
                  <w:sz w:val="18"/>
                  <w:szCs w:val="18"/>
                  <w:color w:val="0000FF"/>
                  <w:w w:val="97"/>
                </w:rPr>
                <w:t>Section 382 Rights Agreement, dated as of July 6, 2020, between LSB</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2"/>
          </w:tcPr>
          <w:p>
            <w:pPr>
              <w:spacing w:after="0" w:line="195" w:lineRule="exact"/>
              <w:rPr>
                <w:rFonts w:ascii="Arial" w:cs="Arial" w:eastAsia="Arial" w:hAnsi="Arial"/>
                <w:sz w:val="18"/>
                <w:szCs w:val="18"/>
                <w:color w:val="0000FF"/>
                <w:w w:val="94"/>
              </w:rPr>
            </w:pPr>
            <w:hyperlink r:id="rId146">
              <w:r>
                <w:rPr>
                  <w:rFonts w:ascii="Arial" w:cs="Arial" w:eastAsia="Arial" w:hAnsi="Arial"/>
                  <w:sz w:val="18"/>
                  <w:szCs w:val="18"/>
                  <w:color w:val="0000FF"/>
                  <w:w w:val="94"/>
                </w:rPr>
                <w:t>Industries, Inc. and Computershare Trust Company, N.A., as rights agent</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jc w:val="center"/>
              <w:ind w:right="572"/>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Borders>
              <w:bottom w:val="single" w:sz="8" w:color="0000FF"/>
            </w:tcBorders>
            <w:gridSpan w:val="12"/>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Intercreditor Agreement, dated August 7, 2013, by and among Wells Fargo</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bottom w:val="single" w:sz="8" w:color="0000FF"/>
            </w:tcBorders>
            <w:gridSpan w:val="12"/>
          </w:tcPr>
          <w:p>
            <w:pPr>
              <w:spacing w:after="0" w:line="195"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Capital Finance, Inc., as agent and UMB Bank, n.a., as collateral agent, and</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tcBorders>
              <w:bottom w:val="single" w:sz="8" w:color="0000FF"/>
            </w:tcBorders>
            <w:gridSpan w:val="11"/>
          </w:tcPr>
          <w:p>
            <w:pPr>
              <w:spacing w:after="0" w:line="195"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acknowledged and agreed to by LSB Industries, Inc. and the other grantors</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2"/>
          </w:tcPr>
          <w:p>
            <w:pPr>
              <w:spacing w:after="0" w:line="195" w:lineRule="exact"/>
              <w:rPr>
                <w:rFonts w:ascii="Arial" w:cs="Arial" w:eastAsia="Arial" w:hAnsi="Arial"/>
                <w:sz w:val="18"/>
                <w:szCs w:val="18"/>
                <w:color w:val="0000FF"/>
              </w:rPr>
            </w:pPr>
            <w:hyperlink r:id="rId147">
              <w:r>
                <w:rPr>
                  <w:rFonts w:ascii="Arial" w:cs="Arial" w:eastAsia="Arial" w:hAnsi="Arial"/>
                  <w:sz w:val="18"/>
                  <w:szCs w:val="18"/>
                  <w:color w:val="0000FF"/>
                </w:rPr>
                <w:t>named therein</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90"/>
        </w:trPr>
        <w:tc>
          <w:tcPr>
            <w:tcW w:w="1280" w:type="dxa"/>
            <w:vAlign w:val="bottom"/>
          </w:tcPr>
          <w:p>
            <w:pPr>
              <w:jc w:val="center"/>
              <w:ind w:right="572"/>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10"/>
          </w:tcPr>
          <w:p>
            <w:pPr>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Indenture, dated as of October 14, 2021, among LSB Industries, Inc., the</w:t>
              </w:r>
            </w:hyperlink>
          </w:p>
        </w:tc>
        <w:tc>
          <w:tcPr>
            <w:tcW w:w="2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8"/>
          </w:tcPr>
          <w:p>
            <w:pPr>
              <w:spacing w:after="0" w:line="195"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subsidiary guarantors party thereto and Wilmington Trust, National</w:t>
              </w:r>
            </w:hyperlink>
          </w:p>
        </w:tc>
        <w:tc>
          <w:tcPr>
            <w:tcW w:w="6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5"/>
          </w:tcPr>
          <w:p>
            <w:pPr>
              <w:spacing w:after="0" w:line="195" w:lineRule="exact"/>
              <w:rPr>
                <w:rFonts w:ascii="Arial" w:cs="Arial" w:eastAsia="Arial" w:hAnsi="Arial"/>
                <w:sz w:val="18"/>
                <w:szCs w:val="18"/>
                <w:color w:val="0000FF"/>
                <w:w w:val="88"/>
              </w:rPr>
            </w:pPr>
            <w:hyperlink r:id="rId148">
              <w:r>
                <w:rPr>
                  <w:rFonts w:ascii="Arial" w:cs="Arial" w:eastAsia="Arial" w:hAnsi="Arial"/>
                  <w:sz w:val="18"/>
                  <w:szCs w:val="18"/>
                  <w:color w:val="0000FF"/>
                  <w:w w:val="88"/>
                </w:rPr>
                <w:t>Association, as trustee and collateral agent.</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6631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3(i).1 to the Company’s Form 10-K filed on February 28, 2013</w:t>
      </w:r>
    </w:p>
    <w:p>
      <w:pPr>
        <w:spacing w:after="0" w:line="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3(i).2 to the Company’s Registration Statement on Form S-3 filed on November 16, 2021</w:t>
      </w:r>
    </w:p>
    <w:p>
      <w:pPr>
        <w:spacing w:after="0" w:line="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3.1 to the Company’s Form 8-K filed July 19, 2021</w:t>
      </w:r>
    </w:p>
    <w:p>
      <w:pPr>
        <w:spacing w:after="0" w:line="48"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Exhibit 4.3 to the Company’s Registration Statement on Form S-3 ASR filed November 16, 2012</w:t>
      </w:r>
    </w:p>
    <w:p>
      <w:pPr>
        <w:spacing w:after="0" w:line="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4.1 to the Company’s Form 8-K filed July 6, 2020</w:t>
      </w:r>
    </w:p>
    <w:p>
      <w:pPr>
        <w:spacing w:after="0" w:line="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99.1 to the Company’s Form 8-K filed August 14, 2013</w:t>
      </w:r>
    </w:p>
    <w:p>
      <w:pPr>
        <w:spacing w:after="0" w:line="200" w:lineRule="exact"/>
        <w:rPr>
          <w:sz w:val="20"/>
          <w:szCs w:val="20"/>
          <w:color w:val="auto"/>
        </w:rPr>
      </w:pP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 4.1 to the Company’s Form 8-K filed October 15, 2021</w:t>
      </w:r>
    </w:p>
    <w:p>
      <w:pPr>
        <w:spacing w:after="0" w:line="246" w:lineRule="exact"/>
        <w:rPr>
          <w:sz w:val="20"/>
          <w:szCs w:val="20"/>
          <w:color w:val="auto"/>
        </w:rPr>
      </w:pPr>
    </w:p>
    <w:p>
      <w:pPr>
        <w:sectPr>
          <w:pgSz w:w="11900" w:h="16838" w:orient="portrait"/>
          <w:cols w:equalWidth="0" w:num="2">
            <w:col w:w="6940" w:space="120"/>
            <w:col w:w="41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0"/>
              <w:spacing w:after="0"/>
              <w:rPr>
                <w:sz w:val="20"/>
                <w:szCs w:val="20"/>
                <w:color w:val="auto"/>
              </w:rPr>
            </w:pPr>
            <w:r>
              <w:rPr>
                <w:rFonts w:ascii="Arial" w:cs="Arial" w:eastAsia="Arial" w:hAnsi="Arial"/>
                <w:sz w:val="18"/>
                <w:szCs w:val="18"/>
                <w:color w:val="auto"/>
              </w:rPr>
              <w:t>4.5</w:t>
            </w:r>
          </w:p>
        </w:tc>
        <w:tc>
          <w:tcPr>
            <w:tcW w:w="5580" w:type="dxa"/>
            <w:vAlign w:val="bottom"/>
            <w:gridSpan w:val="23"/>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Form of 6.250% Senior Secured Notes due 2028 (included in Exhibit 4.4).</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3"/>
              </w:rPr>
              <w:t>Exhibit 4.2 to the Company’s Form 8-K filed October 15,</w:t>
            </w:r>
          </w:p>
        </w:tc>
      </w:tr>
      <w:tr>
        <w:trPr>
          <w:trHeight w:val="236"/>
        </w:trPr>
        <w:tc>
          <w:tcPr>
            <w:tcW w:w="142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1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57"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2021</w:t>
            </w:r>
          </w:p>
        </w:tc>
      </w:tr>
      <w:tr>
        <w:trPr>
          <w:trHeight w:val="270"/>
        </w:trPr>
        <w:tc>
          <w:tcPr>
            <w:tcW w:w="1420" w:type="dxa"/>
            <w:vAlign w:val="bottom"/>
          </w:tcPr>
          <w:p>
            <w:pPr>
              <w:ind w:left="200"/>
              <w:spacing w:after="0"/>
              <w:rPr>
                <w:sz w:val="20"/>
                <w:szCs w:val="20"/>
                <w:color w:val="auto"/>
              </w:rPr>
            </w:pPr>
            <w:r>
              <w:rPr>
                <w:rFonts w:ascii="Arial" w:cs="Arial" w:eastAsia="Arial" w:hAnsi="Arial"/>
                <w:sz w:val="18"/>
                <w:szCs w:val="18"/>
                <w:color w:val="auto"/>
              </w:rPr>
              <w:t>4.6(a)</w:t>
            </w:r>
          </w:p>
        </w:tc>
        <w:tc>
          <w:tcPr>
            <w:tcW w:w="5580" w:type="dxa"/>
            <w:vAlign w:val="bottom"/>
            <w:gridSpan w:val="23"/>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Description of Registrant’s Securities Registered Pursuant to Section 12 of</w:t>
              </w:r>
            </w:hyperlink>
          </w:p>
        </w:tc>
        <w:tc>
          <w:tcPr>
            <w:tcW w:w="4240" w:type="dxa"/>
            <w:vAlign w:val="bottom"/>
          </w:tcPr>
          <w:p>
            <w:pPr>
              <w:ind w:left="60"/>
              <w:spacing w:after="0"/>
              <w:rPr>
                <w:sz w:val="20"/>
                <w:szCs w:val="20"/>
                <w:color w:val="auto"/>
              </w:rPr>
            </w:pPr>
            <w:r>
              <w:rPr>
                <w:rFonts w:ascii="Arial" w:cs="Arial" w:eastAsia="Arial" w:hAnsi="Arial"/>
                <w:sz w:val="18"/>
                <w:szCs w:val="18"/>
                <w:color w:val="auto"/>
              </w:rPr>
              <w:t>Exhibit 4.17(a) to the Company’s Form 10-K filed</w:t>
            </w:r>
          </w:p>
        </w:tc>
      </w:tr>
      <w:tr>
        <w:trPr>
          <w:trHeight w:val="196"/>
        </w:trPr>
        <w:tc>
          <w:tcPr>
            <w:tcW w:w="1420" w:type="dxa"/>
            <w:vAlign w:val="bottom"/>
          </w:tcPr>
          <w:p>
            <w:pPr>
              <w:spacing w:after="0"/>
              <w:rPr>
                <w:sz w:val="17"/>
                <w:szCs w:val="17"/>
                <w:color w:val="auto"/>
              </w:rPr>
            </w:pPr>
          </w:p>
        </w:tc>
        <w:tc>
          <w:tcPr>
            <w:tcW w:w="2640" w:type="dxa"/>
            <w:vAlign w:val="bottom"/>
            <w:tcBorders>
              <w:top w:val="single" w:sz="8" w:color="0000FF"/>
              <w:bottom w:val="single" w:sz="8" w:color="0000FF"/>
            </w:tcBorders>
            <w:gridSpan w:val="7"/>
          </w:tcPr>
          <w:p>
            <w:pPr>
              <w:spacing w:after="0" w:line="195"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the Securities Exchange Act of 1934</w:t>
              </w:r>
            </w:hyperlink>
          </w:p>
        </w:tc>
        <w:tc>
          <w:tcPr>
            <w:tcW w:w="20" w:type="dxa"/>
            <w:vAlign w:val="bottom"/>
            <w:tcBorders>
              <w:top w:val="single" w:sz="8" w:color="0000FF"/>
              <w:bottom w:val="single" w:sz="8" w:color="0000EE"/>
            </w:tcBorders>
          </w:tcPr>
          <w:p>
            <w:pPr>
              <w:spacing w:after="0"/>
              <w:rPr>
                <w:sz w:val="17"/>
                <w:szCs w:val="17"/>
                <w:color w:val="auto"/>
              </w:rPr>
            </w:pPr>
          </w:p>
        </w:tc>
        <w:tc>
          <w:tcPr>
            <w:tcW w:w="2840" w:type="dxa"/>
            <w:vAlign w:val="bottom"/>
            <w:tcBorders>
              <w:top w:val="single" w:sz="8" w:color="0000FF"/>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February 24, 2022</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10.1*</w:t>
            </w:r>
          </w:p>
        </w:tc>
        <w:tc>
          <w:tcPr>
            <w:tcW w:w="5580" w:type="dxa"/>
            <w:vAlign w:val="bottom"/>
            <w:gridSpan w:val="23"/>
          </w:tcPr>
          <w:p>
            <w:pPr>
              <w:spacing w:after="0"/>
              <w:rPr>
                <w:rFonts w:ascii="Arial" w:cs="Arial" w:eastAsia="Arial" w:hAnsi="Arial"/>
                <w:sz w:val="18"/>
                <w:szCs w:val="18"/>
                <w:color w:val="0000FF"/>
              </w:rPr>
            </w:pPr>
            <w:hyperlink r:id="rId151">
              <w:r>
                <w:rPr>
                  <w:rFonts w:ascii="Arial" w:cs="Arial" w:eastAsia="Arial" w:hAnsi="Arial"/>
                  <w:sz w:val="18"/>
                  <w:szCs w:val="18"/>
                  <w:color w:val="0000FF"/>
                </w:rPr>
                <w:t>LSB Industries, Inc. 2016 Long Term Incentive Plan</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8"/>
              </w:rPr>
              <w:t>Exhibit 4.8 to the Company’s Form S-8 filed June 28,</w:t>
            </w:r>
          </w:p>
        </w:tc>
      </w:tr>
      <w:tr>
        <w:trPr>
          <w:trHeight w:val="236"/>
        </w:trPr>
        <w:tc>
          <w:tcPr>
            <w:tcW w:w="142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57"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2016</w:t>
            </w:r>
          </w:p>
        </w:tc>
      </w:tr>
      <w:tr>
        <w:trPr>
          <w:trHeight w:val="270"/>
        </w:trPr>
        <w:tc>
          <w:tcPr>
            <w:tcW w:w="1420" w:type="dxa"/>
            <w:vAlign w:val="bottom"/>
          </w:tcPr>
          <w:p>
            <w:pPr>
              <w:ind w:left="120"/>
              <w:spacing w:after="0"/>
              <w:rPr>
                <w:sz w:val="20"/>
                <w:szCs w:val="20"/>
                <w:color w:val="auto"/>
              </w:rPr>
            </w:pPr>
            <w:r>
              <w:rPr>
                <w:rFonts w:ascii="Arial" w:cs="Arial" w:eastAsia="Arial" w:hAnsi="Arial"/>
                <w:sz w:val="18"/>
                <w:szCs w:val="18"/>
                <w:color w:val="auto"/>
              </w:rPr>
              <w:t>10.2*</w:t>
            </w:r>
          </w:p>
        </w:tc>
        <w:tc>
          <w:tcPr>
            <w:tcW w:w="5580" w:type="dxa"/>
            <w:vAlign w:val="bottom"/>
            <w:gridSpan w:val="23"/>
          </w:tcPr>
          <w:p>
            <w:pPr>
              <w:spacing w:after="0"/>
              <w:rPr>
                <w:rFonts w:ascii="Arial" w:cs="Arial" w:eastAsia="Arial" w:hAnsi="Arial"/>
                <w:sz w:val="18"/>
                <w:szCs w:val="18"/>
                <w:color w:val="0000FF"/>
                <w:w w:val="94"/>
              </w:rPr>
            </w:pPr>
            <w:hyperlink r:id="rId152">
              <w:r>
                <w:rPr>
                  <w:rFonts w:ascii="Arial" w:cs="Arial" w:eastAsia="Arial" w:hAnsi="Arial"/>
                  <w:sz w:val="18"/>
                  <w:szCs w:val="18"/>
                  <w:color w:val="0000FF"/>
                  <w:w w:val="94"/>
                </w:rPr>
                <w:t>Form of LSB Industries, Inc. 2016 Long Term Incentive Plan Stock Option</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8"/>
              </w:rPr>
              <w:t>Exhibit 4.9 to the Company’s Form S-8 filed June 28,</w:t>
            </w:r>
          </w:p>
        </w:tc>
      </w:tr>
      <w:tr>
        <w:trPr>
          <w:trHeight w:val="196"/>
        </w:trPr>
        <w:tc>
          <w:tcPr>
            <w:tcW w:w="1420" w:type="dxa"/>
            <w:vAlign w:val="bottom"/>
          </w:tcPr>
          <w:p>
            <w:pPr>
              <w:spacing w:after="0"/>
              <w:rPr>
                <w:sz w:val="17"/>
                <w:szCs w:val="17"/>
                <w:color w:val="auto"/>
              </w:rPr>
            </w:pPr>
          </w:p>
        </w:tc>
        <w:tc>
          <w:tcPr>
            <w:tcW w:w="5500" w:type="dxa"/>
            <w:vAlign w:val="bottom"/>
            <w:tcBorders>
              <w:top w:val="single" w:sz="8" w:color="0000FF"/>
            </w:tcBorders>
            <w:gridSpan w:val="22"/>
          </w:tcPr>
          <w:p>
            <w:pPr>
              <w:spacing w:after="0" w:line="195" w:lineRule="exact"/>
              <w:rPr>
                <w:rFonts w:ascii="Arial" w:cs="Arial" w:eastAsia="Arial" w:hAnsi="Arial"/>
                <w:sz w:val="18"/>
                <w:szCs w:val="18"/>
                <w:color w:val="0000FF"/>
              </w:rPr>
            </w:pPr>
            <w:hyperlink r:id="rId152">
              <w:r>
                <w:rPr>
                  <w:rFonts w:ascii="Arial" w:cs="Arial" w:eastAsia="Arial" w:hAnsi="Arial"/>
                  <w:sz w:val="18"/>
                  <w:szCs w:val="18"/>
                  <w:color w:val="0000FF"/>
                </w:rPr>
                <w:t>Agreement</w:t>
              </w:r>
            </w:hyperlink>
          </w:p>
        </w:tc>
        <w:tc>
          <w:tcPr>
            <w:tcW w:w="80" w:type="dxa"/>
            <w:vAlign w:val="bottom"/>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2016</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10.3*</w:t>
            </w:r>
          </w:p>
        </w:tc>
        <w:tc>
          <w:tcPr>
            <w:tcW w:w="5500" w:type="dxa"/>
            <w:vAlign w:val="bottom"/>
            <w:tcBorders>
              <w:bottom w:val="single" w:sz="8" w:color="0000FF"/>
            </w:tcBorders>
            <w:gridSpan w:val="19"/>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Form of LSB Industries, Inc. 2016 Long Term Incentive Plan Restricted</w:t>
              </w:r>
            </w:hyperlink>
          </w:p>
        </w:tc>
        <w:tc>
          <w:tcPr>
            <w:tcW w:w="80" w:type="dxa"/>
            <w:vAlign w:val="bottom"/>
            <w:gridSpan w:val="4"/>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6"/>
              </w:rPr>
              <w:t>Exhibit 4.10 to the Company’s Form S-8 filed June 28,</w:t>
            </w:r>
          </w:p>
        </w:tc>
      </w:tr>
      <w:tr>
        <w:trPr>
          <w:trHeight w:val="196"/>
        </w:trPr>
        <w:tc>
          <w:tcPr>
            <w:tcW w:w="1420" w:type="dxa"/>
            <w:vAlign w:val="bottom"/>
          </w:tcPr>
          <w:p>
            <w:pPr>
              <w:spacing w:after="0"/>
              <w:rPr>
                <w:sz w:val="17"/>
                <w:szCs w:val="17"/>
                <w:color w:val="auto"/>
              </w:rPr>
            </w:pPr>
          </w:p>
        </w:tc>
        <w:tc>
          <w:tcPr>
            <w:tcW w:w="5580" w:type="dxa"/>
            <w:vAlign w:val="bottom"/>
            <w:gridSpan w:val="23"/>
          </w:tcPr>
          <w:p>
            <w:pPr>
              <w:spacing w:after="0" w:line="195" w:lineRule="exact"/>
              <w:rPr>
                <w:rFonts w:ascii="Arial" w:cs="Arial" w:eastAsia="Arial" w:hAnsi="Arial"/>
                <w:sz w:val="18"/>
                <w:szCs w:val="18"/>
                <w:color w:val="0000FF"/>
              </w:rPr>
            </w:pPr>
            <w:hyperlink r:id="rId153">
              <w:r>
                <w:rPr>
                  <w:rFonts w:ascii="Arial" w:cs="Arial" w:eastAsia="Arial" w:hAnsi="Arial"/>
                  <w:sz w:val="18"/>
                  <w:szCs w:val="18"/>
                  <w:color w:val="0000FF"/>
                </w:rPr>
                <w:t>Stock Unit Agreement (Director Award)</w:t>
              </w:r>
            </w:hyperlink>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2016</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10.4*</w:t>
            </w:r>
          </w:p>
        </w:tc>
        <w:tc>
          <w:tcPr>
            <w:tcW w:w="5500" w:type="dxa"/>
            <w:vAlign w:val="bottom"/>
            <w:tcBorders>
              <w:bottom w:val="single" w:sz="8" w:color="0000FF"/>
            </w:tcBorders>
            <w:gridSpan w:val="19"/>
          </w:tcPr>
          <w:p>
            <w:pPr>
              <w:spacing w:after="0"/>
              <w:rPr>
                <w:rFonts w:ascii="Arial" w:cs="Arial" w:eastAsia="Arial" w:hAnsi="Arial"/>
                <w:sz w:val="18"/>
                <w:szCs w:val="18"/>
                <w:color w:val="0000FF"/>
                <w:w w:val="97"/>
              </w:rPr>
            </w:pPr>
            <w:hyperlink r:id="rId154">
              <w:r>
                <w:rPr>
                  <w:rFonts w:ascii="Arial" w:cs="Arial" w:eastAsia="Arial" w:hAnsi="Arial"/>
                  <w:sz w:val="18"/>
                  <w:szCs w:val="18"/>
                  <w:color w:val="0000FF"/>
                  <w:w w:val="97"/>
                </w:rPr>
                <w:t>Form of LSB Industries, Inc. 2016 Long Term Incentive Plan Restricted</w:t>
              </w:r>
            </w:hyperlink>
          </w:p>
        </w:tc>
        <w:tc>
          <w:tcPr>
            <w:tcW w:w="80" w:type="dxa"/>
            <w:vAlign w:val="bottom"/>
            <w:gridSpan w:val="4"/>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6"/>
              </w:rPr>
              <w:t>Exhibit 4.11 to the Company’s Form S-8 filed June 28,</w:t>
            </w:r>
          </w:p>
        </w:tc>
      </w:tr>
      <w:tr>
        <w:trPr>
          <w:trHeight w:val="196"/>
        </w:trPr>
        <w:tc>
          <w:tcPr>
            <w:tcW w:w="1420" w:type="dxa"/>
            <w:vAlign w:val="bottom"/>
          </w:tcPr>
          <w:p>
            <w:pPr>
              <w:spacing w:after="0"/>
              <w:rPr>
                <w:sz w:val="17"/>
                <w:szCs w:val="17"/>
                <w:color w:val="auto"/>
              </w:rPr>
            </w:pPr>
          </w:p>
        </w:tc>
        <w:tc>
          <w:tcPr>
            <w:tcW w:w="1260" w:type="dxa"/>
            <w:vAlign w:val="bottom"/>
            <w:tcBorders>
              <w:bottom w:val="single" w:sz="8" w:color="0000FF"/>
            </w:tcBorders>
            <w:gridSpan w:val="4"/>
          </w:tcPr>
          <w:p>
            <w:pPr>
              <w:spacing w:after="0" w:line="195" w:lineRule="exact"/>
              <w:rPr>
                <w:rFonts w:ascii="Arial" w:cs="Arial" w:eastAsia="Arial" w:hAnsi="Arial"/>
                <w:sz w:val="18"/>
                <w:szCs w:val="18"/>
                <w:color w:val="0000FF"/>
                <w:w w:val="89"/>
              </w:rPr>
            </w:pPr>
            <w:hyperlink r:id="rId154">
              <w:r>
                <w:rPr>
                  <w:rFonts w:ascii="Arial" w:cs="Arial" w:eastAsia="Arial" w:hAnsi="Arial"/>
                  <w:sz w:val="18"/>
                  <w:szCs w:val="18"/>
                  <w:color w:val="0000FF"/>
                  <w:w w:val="89"/>
                </w:rPr>
                <w:t>Stock Agreement</w:t>
              </w:r>
            </w:hyperlink>
          </w:p>
        </w:tc>
        <w:tc>
          <w:tcPr>
            <w:tcW w:w="20" w:type="dxa"/>
            <w:vAlign w:val="bottom"/>
            <w:tcBorders>
              <w:bottom w:val="single" w:sz="8" w:color="0000EE"/>
            </w:tcBorders>
          </w:tcPr>
          <w:p>
            <w:pPr>
              <w:spacing w:after="0"/>
              <w:rPr>
                <w:sz w:val="17"/>
                <w:szCs w:val="17"/>
                <w:color w:val="auto"/>
              </w:rPr>
            </w:pPr>
          </w:p>
        </w:tc>
        <w:tc>
          <w:tcPr>
            <w:tcW w:w="4300" w:type="dxa"/>
            <w:vAlign w:val="bottom"/>
            <w:gridSpan w:val="18"/>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2016</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10.5*</w:t>
            </w:r>
          </w:p>
        </w:tc>
        <w:tc>
          <w:tcPr>
            <w:tcW w:w="5580" w:type="dxa"/>
            <w:vAlign w:val="bottom"/>
            <w:gridSpan w:val="23"/>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Form of Time-Based Restricted Stock Agreement of LSB Industries, Inc.</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3"/>
              </w:rPr>
              <w:t>Exhibit 10.4 to the Company’s Form 8-K filed January 3,</w:t>
            </w:r>
          </w:p>
        </w:tc>
      </w:tr>
      <w:tr>
        <w:trPr>
          <w:trHeight w:val="236"/>
        </w:trPr>
        <w:tc>
          <w:tcPr>
            <w:tcW w:w="14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57"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2019</w:t>
            </w:r>
          </w:p>
        </w:tc>
      </w:tr>
      <w:tr>
        <w:trPr>
          <w:trHeight w:val="270"/>
        </w:trPr>
        <w:tc>
          <w:tcPr>
            <w:tcW w:w="1420" w:type="dxa"/>
            <w:vAlign w:val="bottom"/>
          </w:tcPr>
          <w:p>
            <w:pPr>
              <w:ind w:left="120"/>
              <w:spacing w:after="0"/>
              <w:rPr>
                <w:sz w:val="20"/>
                <w:szCs w:val="20"/>
                <w:color w:val="auto"/>
              </w:rPr>
            </w:pPr>
            <w:r>
              <w:rPr>
                <w:rFonts w:ascii="Arial" w:cs="Arial" w:eastAsia="Arial" w:hAnsi="Arial"/>
                <w:sz w:val="18"/>
                <w:szCs w:val="18"/>
                <w:color w:val="auto"/>
              </w:rPr>
              <w:t>10.6*</w:t>
            </w:r>
          </w:p>
        </w:tc>
        <w:tc>
          <w:tcPr>
            <w:tcW w:w="5580" w:type="dxa"/>
            <w:vAlign w:val="bottom"/>
            <w:gridSpan w:val="23"/>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Form of Performance-Based Restricted Stock Agreement of LSB Industries,</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3"/>
              </w:rPr>
              <w:t>Exhibit 10.5 to the Company’s Form 8-K filed January 3,</w:t>
            </w:r>
          </w:p>
        </w:tc>
      </w:tr>
      <w:tr>
        <w:trPr>
          <w:trHeight w:val="196"/>
        </w:trPr>
        <w:tc>
          <w:tcPr>
            <w:tcW w:w="1420" w:type="dxa"/>
            <w:vAlign w:val="bottom"/>
          </w:tcPr>
          <w:p>
            <w:pPr>
              <w:spacing w:after="0"/>
              <w:rPr>
                <w:sz w:val="17"/>
                <w:szCs w:val="17"/>
                <w:color w:val="auto"/>
              </w:rPr>
            </w:pPr>
          </w:p>
        </w:tc>
        <w:tc>
          <w:tcPr>
            <w:tcW w:w="28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Inc.</w:t>
              </w:r>
            </w:hyperlink>
          </w:p>
        </w:tc>
        <w:tc>
          <w:tcPr>
            <w:tcW w:w="40" w:type="dxa"/>
            <w:vAlign w:val="bottom"/>
            <w:tcBorders>
              <w:top w:val="single" w:sz="8" w:color="0000FF"/>
              <w:bottom w:val="single" w:sz="8" w:color="0000EE"/>
            </w:tcBorders>
          </w:tcPr>
          <w:p>
            <w:pPr>
              <w:spacing w:after="0"/>
              <w:rPr>
                <w:sz w:val="17"/>
                <w:szCs w:val="17"/>
                <w:color w:val="auto"/>
              </w:rPr>
            </w:pPr>
          </w:p>
        </w:tc>
        <w:tc>
          <w:tcPr>
            <w:tcW w:w="5180" w:type="dxa"/>
            <w:vAlign w:val="bottom"/>
            <w:tcBorders>
              <w:top w:val="single" w:sz="8" w:color="0000FF"/>
            </w:tcBorders>
            <w:gridSpan w:val="20"/>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2019</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10.7*</w:t>
            </w:r>
          </w:p>
        </w:tc>
        <w:tc>
          <w:tcPr>
            <w:tcW w:w="5580" w:type="dxa"/>
            <w:vAlign w:val="bottom"/>
            <w:gridSpan w:val="23"/>
          </w:tcPr>
          <w:p>
            <w:pPr>
              <w:spacing w:after="0"/>
              <w:rPr>
                <w:rFonts w:ascii="Arial" w:cs="Arial" w:eastAsia="Arial" w:hAnsi="Arial"/>
                <w:sz w:val="18"/>
                <w:szCs w:val="18"/>
                <w:color w:val="0000FF"/>
                <w:w w:val="98"/>
              </w:rPr>
            </w:pPr>
            <w:hyperlink r:id="rId157">
              <w:r>
                <w:rPr>
                  <w:rFonts w:ascii="Arial" w:cs="Arial" w:eastAsia="Arial" w:hAnsi="Arial"/>
                  <w:sz w:val="18"/>
                  <w:szCs w:val="18"/>
                  <w:color w:val="0000FF"/>
                  <w:w w:val="98"/>
                </w:rPr>
                <w:t>Employment  Agreement,  dated  December  30,  2018,  between  LSB</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3"/>
              </w:rPr>
              <w:t>Exhibit 10.1 to the Company’s Form 8-K filed January 3,</w:t>
            </w:r>
          </w:p>
        </w:tc>
      </w:tr>
      <w:tr>
        <w:trPr>
          <w:trHeight w:val="196"/>
        </w:trPr>
        <w:tc>
          <w:tcPr>
            <w:tcW w:w="1420" w:type="dxa"/>
            <w:vAlign w:val="bottom"/>
          </w:tcPr>
          <w:p>
            <w:pPr>
              <w:spacing w:after="0"/>
              <w:rPr>
                <w:sz w:val="17"/>
                <w:szCs w:val="17"/>
                <w:color w:val="auto"/>
              </w:rPr>
            </w:pPr>
          </w:p>
        </w:tc>
        <w:tc>
          <w:tcPr>
            <w:tcW w:w="2760" w:type="dxa"/>
            <w:vAlign w:val="bottom"/>
            <w:tcBorders>
              <w:top w:val="single" w:sz="8" w:color="0000FF"/>
              <w:bottom w:val="single" w:sz="8" w:color="0000EE"/>
            </w:tcBorders>
            <w:gridSpan w:val="10"/>
          </w:tcPr>
          <w:p>
            <w:pPr>
              <w:spacing w:after="0" w:line="195"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Industries, Inc. and Mark T. Behrman</w:t>
              </w:r>
            </w:hyperlink>
          </w:p>
        </w:tc>
        <w:tc>
          <w:tcPr>
            <w:tcW w:w="2740" w:type="dxa"/>
            <w:vAlign w:val="bottom"/>
            <w:tcBorders>
              <w:top w:val="single" w:sz="8" w:color="0000FF"/>
            </w:tcBorders>
            <w:gridSpan w:val="12"/>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2019</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10.8*</w:t>
            </w:r>
          </w:p>
        </w:tc>
        <w:tc>
          <w:tcPr>
            <w:tcW w:w="5580" w:type="dxa"/>
            <w:vAlign w:val="bottom"/>
            <w:gridSpan w:val="23"/>
          </w:tcPr>
          <w:p>
            <w:pPr>
              <w:spacing w:after="0"/>
              <w:rPr>
                <w:rFonts w:ascii="Arial" w:cs="Arial" w:eastAsia="Arial" w:hAnsi="Arial"/>
                <w:sz w:val="18"/>
                <w:szCs w:val="18"/>
                <w:color w:val="0000FF"/>
                <w:w w:val="98"/>
              </w:rPr>
            </w:pPr>
            <w:hyperlink r:id="rId158">
              <w:r>
                <w:rPr>
                  <w:rFonts w:ascii="Arial" w:cs="Arial" w:eastAsia="Arial" w:hAnsi="Arial"/>
                  <w:sz w:val="18"/>
                  <w:szCs w:val="18"/>
                  <w:color w:val="0000FF"/>
                  <w:w w:val="98"/>
                </w:rPr>
                <w:t>Employment  Agreement,  dated  December  30,  2018,  between  LSB</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3"/>
              </w:rPr>
              <w:t>Exhibit 10.3 to the Company’s Form 8-K filed January 3,</w:t>
            </w:r>
          </w:p>
        </w:tc>
      </w:tr>
      <w:tr>
        <w:trPr>
          <w:trHeight w:val="196"/>
        </w:trPr>
        <w:tc>
          <w:tcPr>
            <w:tcW w:w="1420" w:type="dxa"/>
            <w:vAlign w:val="bottom"/>
          </w:tcPr>
          <w:p>
            <w:pPr>
              <w:spacing w:after="0"/>
              <w:rPr>
                <w:sz w:val="17"/>
                <w:szCs w:val="17"/>
                <w:color w:val="auto"/>
              </w:rPr>
            </w:pPr>
          </w:p>
        </w:tc>
        <w:tc>
          <w:tcPr>
            <w:tcW w:w="2720" w:type="dxa"/>
            <w:vAlign w:val="bottom"/>
            <w:tcBorders>
              <w:top w:val="single" w:sz="8" w:color="0000FF"/>
              <w:bottom w:val="single" w:sz="8" w:color="0000EE"/>
            </w:tcBorders>
            <w:gridSpan w:val="9"/>
          </w:tcPr>
          <w:p>
            <w:pPr>
              <w:spacing w:after="0" w:line="195"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Industries, Inc. and Michael J. Foster</w:t>
              </w:r>
            </w:hyperlink>
          </w:p>
        </w:tc>
        <w:tc>
          <w:tcPr>
            <w:tcW w:w="2780" w:type="dxa"/>
            <w:vAlign w:val="bottom"/>
            <w:tcBorders>
              <w:top w:val="single" w:sz="8" w:color="0000FF"/>
            </w:tcBorders>
            <w:gridSpan w:val="13"/>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2019</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10.9*</w:t>
            </w:r>
          </w:p>
        </w:tc>
        <w:tc>
          <w:tcPr>
            <w:tcW w:w="5580" w:type="dxa"/>
            <w:vAlign w:val="bottom"/>
            <w:gridSpan w:val="23"/>
          </w:tcPr>
          <w:p>
            <w:pPr>
              <w:spacing w:after="0"/>
              <w:rPr>
                <w:rFonts w:ascii="Arial" w:cs="Arial" w:eastAsia="Arial" w:hAnsi="Arial"/>
                <w:sz w:val="18"/>
                <w:szCs w:val="18"/>
                <w:color w:val="0000FF"/>
                <w:w w:val="98"/>
              </w:rPr>
            </w:pPr>
            <w:hyperlink r:id="rId159">
              <w:r>
                <w:rPr>
                  <w:rFonts w:ascii="Arial" w:cs="Arial" w:eastAsia="Arial" w:hAnsi="Arial"/>
                  <w:sz w:val="18"/>
                  <w:szCs w:val="18"/>
                  <w:color w:val="0000FF"/>
                  <w:w w:val="98"/>
                </w:rPr>
                <w:t>Employment  Agreement,  dated  December  30,  2018,  between  LSB</w:t>
              </w:r>
            </w:hyperlink>
          </w:p>
        </w:tc>
        <w:tc>
          <w:tcPr>
            <w:tcW w:w="4240" w:type="dxa"/>
            <w:vAlign w:val="bottom"/>
          </w:tcPr>
          <w:p>
            <w:pPr>
              <w:ind w:left="60"/>
              <w:spacing w:after="0"/>
              <w:rPr>
                <w:sz w:val="20"/>
                <w:szCs w:val="20"/>
                <w:color w:val="auto"/>
              </w:rPr>
            </w:pPr>
            <w:r>
              <w:rPr>
                <w:rFonts w:ascii="Arial" w:cs="Arial" w:eastAsia="Arial" w:hAnsi="Arial"/>
                <w:sz w:val="18"/>
                <w:szCs w:val="18"/>
                <w:color w:val="auto"/>
                <w:w w:val="93"/>
              </w:rPr>
              <w:t>Exhibit 10.2 to the Company’s Form 8-K filed January 3,</w:t>
            </w:r>
          </w:p>
        </w:tc>
      </w:tr>
      <w:tr>
        <w:trPr>
          <w:trHeight w:val="196"/>
        </w:trPr>
        <w:tc>
          <w:tcPr>
            <w:tcW w:w="1420" w:type="dxa"/>
            <w:vAlign w:val="bottom"/>
          </w:tcPr>
          <w:p>
            <w:pPr>
              <w:spacing w:after="0"/>
              <w:rPr>
                <w:sz w:val="17"/>
                <w:szCs w:val="17"/>
                <w:color w:val="auto"/>
              </w:rPr>
            </w:pPr>
          </w:p>
        </w:tc>
        <w:tc>
          <w:tcPr>
            <w:tcW w:w="2620" w:type="dxa"/>
            <w:vAlign w:val="bottom"/>
            <w:tcBorders>
              <w:top w:val="single" w:sz="8" w:color="0000FF"/>
              <w:bottom w:val="single" w:sz="8" w:color="0000EE"/>
            </w:tcBorders>
            <w:gridSpan w:val="6"/>
          </w:tcPr>
          <w:p>
            <w:pPr>
              <w:spacing w:after="0" w:line="195"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Industries, Inc. and Cheryl Maguire</w:t>
              </w:r>
            </w:hyperlink>
          </w:p>
        </w:tc>
        <w:tc>
          <w:tcPr>
            <w:tcW w:w="2880" w:type="dxa"/>
            <w:vAlign w:val="bottom"/>
            <w:tcBorders>
              <w:top w:val="single" w:sz="8" w:color="0000FF"/>
            </w:tcBorders>
            <w:gridSpan w:val="16"/>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2019</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10.10*</w:t>
            </w:r>
          </w:p>
        </w:tc>
        <w:tc>
          <w:tcPr>
            <w:tcW w:w="5500" w:type="dxa"/>
            <w:vAlign w:val="bottom"/>
            <w:tcBorders>
              <w:bottom w:val="single" w:sz="8" w:color="0000FF"/>
            </w:tcBorders>
            <w:gridSpan w:val="19"/>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Employment Agreement, dated December 20, 2019 and to be effective not</w:t>
              </w:r>
            </w:hyperlink>
          </w:p>
        </w:tc>
        <w:tc>
          <w:tcPr>
            <w:tcW w:w="80" w:type="dxa"/>
            <w:vAlign w:val="bottom"/>
            <w:gridSpan w:val="4"/>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Exhibit  10.30  to  the  Company’s  Form  10-K  filed</w:t>
            </w:r>
          </w:p>
        </w:tc>
      </w:tr>
      <w:tr>
        <w:trPr>
          <w:trHeight w:val="196"/>
        </w:trPr>
        <w:tc>
          <w:tcPr>
            <w:tcW w:w="1420" w:type="dxa"/>
            <w:vAlign w:val="bottom"/>
          </w:tcPr>
          <w:p>
            <w:pPr>
              <w:spacing w:after="0"/>
              <w:rPr>
                <w:sz w:val="17"/>
                <w:szCs w:val="17"/>
                <w:color w:val="auto"/>
              </w:rPr>
            </w:pPr>
          </w:p>
        </w:tc>
        <w:tc>
          <w:tcPr>
            <w:tcW w:w="5300" w:type="dxa"/>
            <w:vAlign w:val="bottom"/>
            <w:tcBorders>
              <w:bottom w:val="single" w:sz="8" w:color="0000FF"/>
            </w:tcBorders>
            <w:gridSpan w:val="15"/>
          </w:tcPr>
          <w:p>
            <w:pPr>
              <w:spacing w:after="0" w:line="195" w:lineRule="exact"/>
              <w:rPr>
                <w:rFonts w:ascii="Arial" w:cs="Arial" w:eastAsia="Arial" w:hAnsi="Arial"/>
                <w:sz w:val="18"/>
                <w:szCs w:val="18"/>
                <w:color w:val="0000FF"/>
                <w:w w:val="89"/>
              </w:rPr>
            </w:pPr>
            <w:hyperlink r:id="rId160">
              <w:r>
                <w:rPr>
                  <w:rFonts w:ascii="Arial" w:cs="Arial" w:eastAsia="Arial" w:hAnsi="Arial"/>
                  <w:sz w:val="18"/>
                  <w:szCs w:val="18"/>
                  <w:color w:val="0000FF"/>
                  <w:w w:val="89"/>
                </w:rPr>
                <w:t>later than February 3, 2020, between LSB Industries, Inc. and John Burns</w:t>
              </w:r>
            </w:hyperlink>
          </w:p>
        </w:tc>
        <w:tc>
          <w:tcPr>
            <w:tcW w:w="20" w:type="dxa"/>
            <w:vAlign w:val="bottom"/>
            <w:tcBorders>
              <w:bottom w:val="single" w:sz="8" w:color="0000EE"/>
            </w:tcBorders>
          </w:tcPr>
          <w:p>
            <w:pPr>
              <w:spacing w:after="0"/>
              <w:rPr>
                <w:sz w:val="17"/>
                <w:szCs w:val="17"/>
                <w:color w:val="auto"/>
              </w:rPr>
            </w:pPr>
          </w:p>
        </w:tc>
        <w:tc>
          <w:tcPr>
            <w:tcW w:w="260" w:type="dxa"/>
            <w:vAlign w:val="bottom"/>
            <w:gridSpan w:val="7"/>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February 25, 2019</w:t>
            </w: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10.11*</w:t>
            </w:r>
          </w:p>
        </w:tc>
        <w:tc>
          <w:tcPr>
            <w:tcW w:w="5500" w:type="dxa"/>
            <w:vAlign w:val="bottom"/>
            <w:tcBorders>
              <w:bottom w:val="single" w:sz="8" w:color="0000FF"/>
            </w:tcBorders>
            <w:gridSpan w:val="19"/>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Severance and Change in Control Agreement, dated April 6, 2020, between</w:t>
              </w:r>
            </w:hyperlink>
          </w:p>
        </w:tc>
        <w:tc>
          <w:tcPr>
            <w:tcW w:w="80" w:type="dxa"/>
            <w:vAlign w:val="bottom"/>
            <w:gridSpan w:val="4"/>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10-Q filed May 7,</w:t>
            </w:r>
          </w:p>
        </w:tc>
      </w:tr>
      <w:tr>
        <w:trPr>
          <w:trHeight w:val="196"/>
        </w:trPr>
        <w:tc>
          <w:tcPr>
            <w:tcW w:w="1420" w:type="dxa"/>
            <w:vAlign w:val="bottom"/>
          </w:tcPr>
          <w:p>
            <w:pPr>
              <w:spacing w:after="0"/>
              <w:rPr>
                <w:sz w:val="17"/>
                <w:szCs w:val="17"/>
                <w:color w:val="auto"/>
              </w:rPr>
            </w:pPr>
          </w:p>
        </w:tc>
        <w:tc>
          <w:tcPr>
            <w:tcW w:w="5580" w:type="dxa"/>
            <w:vAlign w:val="bottom"/>
            <w:gridSpan w:val="23"/>
          </w:tcPr>
          <w:p>
            <w:pPr>
              <w:spacing w:after="0" w:line="195" w:lineRule="exact"/>
              <w:rPr>
                <w:rFonts w:ascii="Arial" w:cs="Arial" w:eastAsia="Arial" w:hAnsi="Arial"/>
                <w:sz w:val="18"/>
                <w:szCs w:val="18"/>
                <w:color w:val="0000FF"/>
              </w:rPr>
            </w:pPr>
            <w:hyperlink r:id="rId161">
              <w:r>
                <w:rPr>
                  <w:rFonts w:ascii="Arial" w:cs="Arial" w:eastAsia="Arial" w:hAnsi="Arial"/>
                  <w:sz w:val="18"/>
                  <w:szCs w:val="18"/>
                  <w:color w:val="0000FF"/>
                </w:rPr>
                <w:t>LSB Industries, Inc. and Kristy Carver</w:t>
              </w:r>
            </w:hyperlink>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2020</w:t>
            </w:r>
          </w:p>
        </w:tc>
      </w:tr>
      <w:tr>
        <w:trPr>
          <w:trHeight w:val="20"/>
        </w:trPr>
        <w:tc>
          <w:tcPr>
            <w:tcW w:w="1420" w:type="dxa"/>
            <w:vAlign w:val="bottom"/>
          </w:tcPr>
          <w:p>
            <w:pPr>
              <w:spacing w:after="0" w:line="20" w:lineRule="exact"/>
              <w:rPr>
                <w:sz w:val="1"/>
                <w:szCs w:val="1"/>
                <w:color w:val="auto"/>
              </w:rPr>
            </w:pPr>
          </w:p>
        </w:tc>
        <w:tc>
          <w:tcPr>
            <w:tcW w:w="2800" w:type="dxa"/>
            <w:vAlign w:val="bottom"/>
            <w:tcBorders>
              <w:right w:val="single" w:sz="8" w:color="0000EE"/>
            </w:tcBorders>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90"/>
        </w:trPr>
        <w:tc>
          <w:tcPr>
            <w:tcW w:w="1420" w:type="dxa"/>
            <w:vAlign w:val="bottom"/>
          </w:tcPr>
          <w:p>
            <w:pPr>
              <w:ind w:left="120"/>
              <w:spacing w:after="0"/>
              <w:rPr>
                <w:sz w:val="20"/>
                <w:szCs w:val="20"/>
                <w:color w:val="auto"/>
              </w:rPr>
            </w:pPr>
            <w:r>
              <w:rPr>
                <w:rFonts w:ascii="Arial" w:cs="Arial" w:eastAsia="Arial" w:hAnsi="Arial"/>
                <w:sz w:val="18"/>
                <w:szCs w:val="18"/>
                <w:color w:val="auto"/>
              </w:rPr>
              <w:t>10.12</w:t>
            </w:r>
          </w:p>
        </w:tc>
        <w:tc>
          <w:tcPr>
            <w:tcW w:w="5500" w:type="dxa"/>
            <w:vAlign w:val="bottom"/>
            <w:tcBorders>
              <w:bottom w:val="single" w:sz="8" w:color="0000FF"/>
            </w:tcBorders>
            <w:gridSpan w:val="19"/>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Indemnification Agreement, dated October 14, 2015, by and between the</w:t>
              </w:r>
            </w:hyperlink>
          </w:p>
        </w:tc>
        <w:tc>
          <w:tcPr>
            <w:tcW w:w="20" w:type="dxa"/>
            <w:vAlign w:val="bottom"/>
            <w:tcBorders>
              <w:bottom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7"/>
              </w:rPr>
              <w:t>Exhibit 10.1 to the Company’s Form 8-K filed October</w:t>
            </w:r>
          </w:p>
        </w:tc>
      </w:tr>
      <w:tr>
        <w:trPr>
          <w:trHeight w:val="196"/>
        </w:trPr>
        <w:tc>
          <w:tcPr>
            <w:tcW w:w="1420" w:type="dxa"/>
            <w:vAlign w:val="bottom"/>
          </w:tcPr>
          <w:p>
            <w:pPr>
              <w:spacing w:after="0"/>
              <w:rPr>
                <w:sz w:val="17"/>
                <w:szCs w:val="17"/>
                <w:color w:val="auto"/>
              </w:rPr>
            </w:pPr>
          </w:p>
        </w:tc>
        <w:tc>
          <w:tcPr>
            <w:tcW w:w="5520" w:type="dxa"/>
            <w:vAlign w:val="bottom"/>
            <w:tcBorders>
              <w:bottom w:val="single" w:sz="8" w:color="0000FF"/>
            </w:tcBorders>
            <w:gridSpan w:val="20"/>
          </w:tcPr>
          <w:p>
            <w:pPr>
              <w:spacing w:after="0" w:line="195" w:lineRule="exact"/>
              <w:rPr>
                <w:rFonts w:ascii="Arial" w:cs="Arial" w:eastAsia="Arial" w:hAnsi="Arial"/>
                <w:sz w:val="18"/>
                <w:szCs w:val="18"/>
                <w:color w:val="0000FF"/>
                <w:w w:val="95"/>
              </w:rPr>
            </w:pPr>
            <w:hyperlink r:id="rId162">
              <w:r>
                <w:rPr>
                  <w:rFonts w:ascii="Arial" w:cs="Arial" w:eastAsia="Arial" w:hAnsi="Arial"/>
                  <w:sz w:val="18"/>
                  <w:szCs w:val="18"/>
                  <w:color w:val="0000FF"/>
                  <w:w w:val="95"/>
                </w:rPr>
                <w:t>Company and Jack E. Golsen, together with a schedule identifying other</w:t>
              </w:r>
            </w:hyperlink>
          </w:p>
        </w:tc>
        <w:tc>
          <w:tcPr>
            <w:tcW w:w="20" w:type="dxa"/>
            <w:vAlign w:val="bottom"/>
            <w:tcBorders>
              <w:bottom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19, 2015</w:t>
            </w:r>
          </w:p>
        </w:tc>
      </w:tr>
      <w:tr>
        <w:trPr>
          <w:trHeight w:val="196"/>
        </w:trPr>
        <w:tc>
          <w:tcPr>
            <w:tcW w:w="1420" w:type="dxa"/>
            <w:vAlign w:val="bottom"/>
          </w:tcPr>
          <w:p>
            <w:pPr>
              <w:spacing w:after="0"/>
              <w:rPr>
                <w:sz w:val="17"/>
                <w:szCs w:val="17"/>
                <w:color w:val="auto"/>
              </w:rPr>
            </w:pPr>
          </w:p>
        </w:tc>
        <w:tc>
          <w:tcPr>
            <w:tcW w:w="5540" w:type="dxa"/>
            <w:vAlign w:val="bottom"/>
            <w:tcBorders>
              <w:bottom w:val="single" w:sz="8" w:color="0000FF"/>
            </w:tcBorders>
            <w:gridSpan w:val="21"/>
          </w:tcPr>
          <w:p>
            <w:pPr>
              <w:spacing w:after="0" w:line="195"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substantially identical agreements between the Company and each of the</w:t>
              </w:r>
            </w:hyperlink>
          </w:p>
        </w:tc>
        <w:tc>
          <w:tcPr>
            <w:tcW w:w="40" w:type="dxa"/>
            <w:vAlign w:val="bottom"/>
            <w:gridSpan w:val="2"/>
          </w:tcPr>
          <w:p>
            <w:pPr>
              <w:spacing w:after="0"/>
              <w:rPr>
                <w:sz w:val="17"/>
                <w:szCs w:val="17"/>
                <w:color w:val="auto"/>
              </w:rPr>
            </w:pPr>
          </w:p>
        </w:tc>
        <w:tc>
          <w:tcPr>
            <w:tcW w:w="424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80" w:type="dxa"/>
            <w:vAlign w:val="bottom"/>
            <w:gridSpan w:val="23"/>
          </w:tcPr>
          <w:p>
            <w:pPr>
              <w:spacing w:after="0" w:line="195" w:lineRule="exact"/>
              <w:rPr>
                <w:rFonts w:ascii="Arial" w:cs="Arial" w:eastAsia="Arial" w:hAnsi="Arial"/>
                <w:sz w:val="18"/>
                <w:szCs w:val="18"/>
                <w:color w:val="0000FF"/>
              </w:rPr>
            </w:pPr>
            <w:hyperlink r:id="rId162">
              <w:r>
                <w:rPr>
                  <w:rFonts w:ascii="Arial" w:cs="Arial" w:eastAsia="Arial" w:hAnsi="Arial"/>
                  <w:sz w:val="18"/>
                  <w:szCs w:val="18"/>
                  <w:color w:val="0000FF"/>
                </w:rPr>
                <w:t>other directors identified on the schedule</w:t>
              </w:r>
            </w:hyperlink>
          </w:p>
        </w:tc>
        <w:tc>
          <w:tcPr>
            <w:tcW w:w="4240" w:type="dxa"/>
            <w:vAlign w:val="bottom"/>
          </w:tcPr>
          <w:p>
            <w:pPr>
              <w:spacing w:after="0"/>
              <w:rPr>
                <w:sz w:val="17"/>
                <w:szCs w:val="17"/>
                <w:color w:val="auto"/>
              </w:rPr>
            </w:pPr>
          </w:p>
        </w:tc>
      </w:tr>
      <w:tr>
        <w:trPr>
          <w:trHeight w:val="533"/>
        </w:trPr>
        <w:tc>
          <w:tcPr>
            <w:tcW w:w="1420" w:type="dxa"/>
            <w:vAlign w:val="bottom"/>
          </w:tcPr>
          <w:p>
            <w:pPr>
              <w:spacing w:after="0"/>
              <w:rPr>
                <w:sz w:val="24"/>
                <w:szCs w:val="24"/>
                <w:color w:val="auto"/>
              </w:rPr>
            </w:pPr>
          </w:p>
        </w:tc>
        <w:tc>
          <w:tcPr>
            <w:tcW w:w="2940" w:type="dxa"/>
            <w:vAlign w:val="bottom"/>
            <w:tcBorders>
              <w:top w:val="single" w:sz="8" w:color="0000FF"/>
            </w:tcBorders>
            <w:gridSpan w:val="13"/>
          </w:tcPr>
          <w:p>
            <w:pPr>
              <w:spacing w:after="0"/>
              <w:rPr>
                <w:sz w:val="24"/>
                <w:szCs w:val="24"/>
                <w:color w:val="auto"/>
              </w:rPr>
            </w:pPr>
          </w:p>
        </w:tc>
        <w:tc>
          <w:tcPr>
            <w:tcW w:w="2360" w:type="dxa"/>
            <w:vAlign w:val="bottom"/>
            <w:gridSpan w:val="2"/>
          </w:tcPr>
          <w:p>
            <w:pPr>
              <w:jc w:val="right"/>
              <w:ind w:right="10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57"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tabs>
          <w:tab w:leader="none" w:pos="3700" w:val="left"/>
          <w:tab w:leader="none" w:pos="77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-60325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372" w:right="359" w:bottom="1440" w:gutter="0" w:footer="0" w:header="0"/>
        </w:sectPr>
      </w:pPr>
    </w:p>
    <w:tbl>
      <w:tblPr>
        <w:tblLayout w:type="fixed"/>
        <w:tblInd w:w="60" w:type="dxa"/>
        <w:tblCellMar>
          <w:top w:w="0" w:type="dxa"/>
          <w:left w:w="0" w:type="dxa"/>
          <w:bottom w:w="0" w:type="dxa"/>
          <w:right w:w="0" w:type="dxa"/>
        </w:tblCellMar>
      </w:tblPr>
      <w:tr>
        <w:trPr>
          <w:trHeight w:val="174"/>
        </w:trPr>
        <w:tc>
          <w:tcPr>
            <w:tcW w:w="1300" w:type="dxa"/>
            <w:vAlign w:val="bottom"/>
          </w:tcPr>
          <w:p>
            <w:pPr>
              <w:jc w:val="right"/>
              <w:ind w:right="810"/>
              <w:spacing w:after="0" w:line="174" w:lineRule="exact"/>
              <w:rPr>
                <w:sz w:val="20"/>
                <w:szCs w:val="20"/>
                <w:color w:val="auto"/>
              </w:rPr>
            </w:pPr>
            <w:r>
              <w:rPr>
                <w:rFonts w:ascii="Arial" w:cs="Arial" w:eastAsia="Arial" w:hAnsi="Arial"/>
                <w:sz w:val="18"/>
                <w:szCs w:val="18"/>
                <w:color w:val="auto"/>
                <w:w w:val="84"/>
              </w:rPr>
              <w:t>10.13</w:t>
            </w:r>
          </w:p>
        </w:tc>
        <w:tc>
          <w:tcPr>
            <w:tcW w:w="5560" w:type="dxa"/>
            <w:vAlign w:val="bottom"/>
            <w:tcBorders>
              <w:bottom w:val="single" w:sz="8" w:color="0000FF"/>
            </w:tcBorders>
            <w:gridSpan w:val="13"/>
          </w:tcPr>
          <w:p>
            <w:pPr>
              <w:spacing w:after="0" w:line="174"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Indemnification Agreement, dated October 14, 2015 by and between the</w:t>
              </w:r>
            </w:hyperlink>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0"/>
          </w:tcPr>
          <w:p>
            <w:pPr>
              <w:spacing w:after="0" w:line="195"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Company and David M. Shear, together with a schedule identifying other</w:t>
              </w:r>
            </w:hyperlink>
          </w:p>
        </w:tc>
        <w:tc>
          <w:tcPr>
            <w:tcW w:w="20" w:type="dxa"/>
            <w:vAlign w:val="bottom"/>
            <w:tcBorders>
              <w:bottom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5"/>
              </w:rPr>
            </w:pPr>
            <w:hyperlink r:id="rId166">
              <w:r>
                <w:rPr>
                  <w:rFonts w:ascii="Arial" w:cs="Arial" w:eastAsia="Arial" w:hAnsi="Arial"/>
                  <w:sz w:val="18"/>
                  <w:szCs w:val="18"/>
                  <w:color w:val="0000FF"/>
                  <w:w w:val="95"/>
                </w:rPr>
                <w:t>substantially identical agreements between the Company and each of its</w:t>
              </w:r>
            </w:hyperlink>
          </w:p>
        </w:tc>
      </w:tr>
      <w:tr>
        <w:trPr>
          <w:trHeight w:val="196"/>
        </w:trPr>
        <w:tc>
          <w:tcPr>
            <w:tcW w:w="1300" w:type="dxa"/>
            <w:vAlign w:val="bottom"/>
          </w:tcPr>
          <w:p>
            <w:pPr>
              <w:spacing w:after="0"/>
              <w:rPr>
                <w:sz w:val="17"/>
                <w:szCs w:val="17"/>
                <w:color w:val="auto"/>
              </w:rPr>
            </w:pPr>
          </w:p>
        </w:tc>
        <w:tc>
          <w:tcPr>
            <w:tcW w:w="3180" w:type="dxa"/>
            <w:vAlign w:val="bottom"/>
            <w:tcBorders>
              <w:bottom w:val="single" w:sz="8" w:color="0000FF"/>
            </w:tcBorders>
            <w:gridSpan w:val="5"/>
          </w:tcPr>
          <w:p>
            <w:pPr>
              <w:spacing w:after="0" w:line="195"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executive officers identified on the schedule</w:t>
              </w:r>
            </w:hyperlink>
          </w:p>
        </w:tc>
        <w:tc>
          <w:tcPr>
            <w:tcW w:w="20" w:type="dxa"/>
            <w:vAlign w:val="bottom"/>
            <w:tcBorders>
              <w:bottom w:val="single" w:sz="8" w:color="0000EE"/>
            </w:tcBorders>
          </w:tcPr>
          <w:p>
            <w:pPr>
              <w:spacing w:after="0"/>
              <w:rPr>
                <w:sz w:val="17"/>
                <w:szCs w:val="17"/>
                <w:color w:val="auto"/>
              </w:rPr>
            </w:pPr>
          </w:p>
        </w:tc>
        <w:tc>
          <w:tcPr>
            <w:tcW w:w="2360" w:type="dxa"/>
            <w:vAlign w:val="bottom"/>
            <w:gridSpan w:val="7"/>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10.14</w:t>
            </w:r>
          </w:p>
        </w:tc>
        <w:tc>
          <w:tcPr>
            <w:tcW w:w="5560" w:type="dxa"/>
            <w:vAlign w:val="bottom"/>
            <w:tcBorders>
              <w:bottom w:val="single" w:sz="8" w:color="0000FF"/>
            </w:tcBorders>
            <w:gridSpan w:val="13"/>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Indemnification Agreement, dated as of December 4, 2015, by and between</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1"/>
          </w:tcPr>
          <w:p>
            <w:pPr>
              <w:spacing w:after="0" w:line="195" w:lineRule="exact"/>
              <w:rPr>
                <w:rFonts w:ascii="Arial" w:cs="Arial" w:eastAsia="Arial" w:hAnsi="Arial"/>
                <w:sz w:val="18"/>
                <w:szCs w:val="18"/>
                <w:color w:val="0000FF"/>
              </w:rPr>
            </w:pPr>
            <w:hyperlink r:id="rId167">
              <w:r>
                <w:rPr>
                  <w:rFonts w:ascii="Arial" w:cs="Arial" w:eastAsia="Arial" w:hAnsi="Arial"/>
                  <w:sz w:val="18"/>
                  <w:szCs w:val="18"/>
                  <w:color w:val="0000FF"/>
                </w:rPr>
                <w:t>LSB Industries, Inc. and Jonathan S. Bobb, together with a schedule</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identifying other substantially identical agreements between the Company</w:t>
              </w:r>
            </w:hyperlink>
          </w:p>
        </w:tc>
      </w:tr>
      <w:tr>
        <w:trPr>
          <w:trHeight w:val="196"/>
        </w:trPr>
        <w:tc>
          <w:tcPr>
            <w:tcW w:w="1300" w:type="dxa"/>
            <w:vAlign w:val="bottom"/>
          </w:tcPr>
          <w:p>
            <w:pPr>
              <w:spacing w:after="0"/>
              <w:rPr>
                <w:sz w:val="17"/>
                <w:szCs w:val="17"/>
                <w:color w:val="auto"/>
              </w:rPr>
            </w:pPr>
          </w:p>
        </w:tc>
        <w:tc>
          <w:tcPr>
            <w:tcW w:w="5560" w:type="dxa"/>
            <w:vAlign w:val="bottom"/>
            <w:gridSpan w:val="13"/>
          </w:tcPr>
          <w:p>
            <w:pPr>
              <w:spacing w:after="0" w:line="195" w:lineRule="exact"/>
              <w:rPr>
                <w:rFonts w:ascii="Arial" w:cs="Arial" w:eastAsia="Arial" w:hAnsi="Arial"/>
                <w:sz w:val="18"/>
                <w:szCs w:val="18"/>
                <w:color w:val="0000FF"/>
              </w:rPr>
            </w:pPr>
            <w:hyperlink r:id="rId167">
              <w:r>
                <w:rPr>
                  <w:rFonts w:ascii="Arial" w:cs="Arial" w:eastAsia="Arial" w:hAnsi="Arial"/>
                  <w:sz w:val="18"/>
                  <w:szCs w:val="18"/>
                  <w:color w:val="0000FF"/>
                </w:rPr>
                <w:t>and each of the other directors identified on the schedule</w:t>
              </w:r>
            </w:hyperlink>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10.15</w:t>
            </w:r>
          </w:p>
        </w:tc>
        <w:tc>
          <w:tcPr>
            <w:tcW w:w="5540" w:type="dxa"/>
            <w:vAlign w:val="bottom"/>
            <w:tcBorders>
              <w:bottom w:val="single" w:sz="8" w:color="0000FF"/>
            </w:tcBorders>
            <w:gridSpan w:val="12"/>
          </w:tcPr>
          <w:p>
            <w:pPr>
              <w:spacing w:after="0"/>
              <w:rPr>
                <w:rFonts w:ascii="Arial" w:cs="Arial" w:eastAsia="Arial" w:hAnsi="Arial"/>
                <w:sz w:val="18"/>
                <w:szCs w:val="18"/>
                <w:color w:val="0000FF"/>
                <w:w w:val="92"/>
              </w:rPr>
            </w:pPr>
            <w:hyperlink r:id="rId168">
              <w:r>
                <w:rPr>
                  <w:rFonts w:ascii="Arial" w:cs="Arial" w:eastAsia="Arial" w:hAnsi="Arial"/>
                  <w:sz w:val="18"/>
                  <w:szCs w:val="18"/>
                  <w:color w:val="0000FF"/>
                  <w:w w:val="92"/>
                </w:rPr>
                <w:t>Asset Purchase Agreement, dated as of December 6, 2002, by and among</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1"/>
          </w:tcPr>
          <w:p>
            <w:pPr>
              <w:spacing w:after="0" w:line="195" w:lineRule="exact"/>
              <w:rPr>
                <w:rFonts w:ascii="Arial" w:cs="Arial" w:eastAsia="Arial" w:hAnsi="Arial"/>
                <w:sz w:val="18"/>
                <w:szCs w:val="18"/>
                <w:color w:val="0000FF"/>
                <w:w w:val="97"/>
              </w:rPr>
            </w:pPr>
            <w:hyperlink r:id="rId168">
              <w:r>
                <w:rPr>
                  <w:rFonts w:ascii="Arial" w:cs="Arial" w:eastAsia="Arial" w:hAnsi="Arial"/>
                  <w:sz w:val="18"/>
                  <w:szCs w:val="18"/>
                  <w:color w:val="0000FF"/>
                  <w:w w:val="97"/>
                </w:rPr>
                <w:t>Energetic Systems Inc. LLC, UTeC Corporation, LLC, SEC Investment</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Corp.  LLC,  DetaCorp  Inc.  LLC,  Energetic  Properties,  LLC,  Slurry</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1"/>
          </w:tcPr>
          <w:p>
            <w:pPr>
              <w:spacing w:after="0" w:line="195" w:lineRule="exact"/>
              <w:rPr>
                <w:rFonts w:ascii="Arial" w:cs="Arial" w:eastAsia="Arial" w:hAnsi="Arial"/>
                <w:sz w:val="18"/>
                <w:szCs w:val="18"/>
                <w:color w:val="0000FF"/>
                <w:w w:val="95"/>
              </w:rPr>
            </w:pPr>
            <w:hyperlink r:id="rId168">
              <w:r>
                <w:rPr>
                  <w:rFonts w:ascii="Arial" w:cs="Arial" w:eastAsia="Arial" w:hAnsi="Arial"/>
                  <w:sz w:val="18"/>
                  <w:szCs w:val="18"/>
                  <w:color w:val="0000FF"/>
                  <w:w w:val="95"/>
                </w:rPr>
                <w:t>Explosive Corporation, Universal Tech Corporation, El Dorado Chemical</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Company, LSB Chemical Corp., LSB Industries, Inc. and Slurry Explosive</w:t>
              </w:r>
            </w:hyperlink>
          </w:p>
        </w:tc>
      </w:tr>
      <w:tr>
        <w:trPr>
          <w:trHeight w:val="196"/>
        </w:trPr>
        <w:tc>
          <w:tcPr>
            <w:tcW w:w="1300" w:type="dxa"/>
            <w:vAlign w:val="bottom"/>
          </w:tcPr>
          <w:p>
            <w:pPr>
              <w:spacing w:after="0"/>
              <w:rPr>
                <w:sz w:val="17"/>
                <w:szCs w:val="17"/>
                <w:color w:val="auto"/>
              </w:rPr>
            </w:pPr>
          </w:p>
        </w:tc>
        <w:tc>
          <w:tcPr>
            <w:tcW w:w="2420" w:type="dxa"/>
            <w:vAlign w:val="bottom"/>
            <w:tcBorders>
              <w:bottom w:val="single" w:sz="8" w:color="0000FF"/>
            </w:tcBorders>
            <w:gridSpan w:val="3"/>
          </w:tcPr>
          <w:p>
            <w:pPr>
              <w:spacing w:after="0" w:line="195"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Manufacturing Corporation, LLC</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9"/>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10.16</w:t>
            </w:r>
          </w:p>
        </w:tc>
        <w:tc>
          <w:tcPr>
            <w:tcW w:w="5560" w:type="dxa"/>
            <w:vAlign w:val="bottom"/>
            <w:tcBorders>
              <w:bottom w:val="single" w:sz="8" w:color="0000FF"/>
            </w:tcBorders>
            <w:gridSpan w:val="13"/>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Exhibits and Disclosure Letters to the Asset Purchase Agreement, dated as</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1"/>
          </w:tcPr>
          <w:p>
            <w:pPr>
              <w:spacing w:after="0" w:line="195" w:lineRule="exact"/>
              <w:rPr>
                <w:rFonts w:ascii="Arial" w:cs="Arial" w:eastAsia="Arial" w:hAnsi="Arial"/>
                <w:sz w:val="18"/>
                <w:szCs w:val="18"/>
                <w:color w:val="0000FF"/>
                <w:w w:val="95"/>
              </w:rPr>
            </w:pPr>
            <w:hyperlink r:id="rId169">
              <w:r>
                <w:rPr>
                  <w:rFonts w:ascii="Arial" w:cs="Arial" w:eastAsia="Arial" w:hAnsi="Arial"/>
                  <w:sz w:val="18"/>
                  <w:szCs w:val="18"/>
                  <w:color w:val="0000FF"/>
                  <w:w w:val="95"/>
                </w:rPr>
                <w:t>of December 6, 2002, by and among Energetic Systems Inc. LLC, UTeC</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2"/>
          </w:tcPr>
          <w:p>
            <w:pPr>
              <w:spacing w:after="0" w:line="195"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Corporation,  LLC,  SEC  Investment  Corp.  LLC,  DetaCorp  Inc.  LLC,</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6"/>
              </w:rPr>
            </w:pPr>
            <w:hyperlink r:id="rId169">
              <w:r>
                <w:rPr>
                  <w:rFonts w:ascii="Arial" w:cs="Arial" w:eastAsia="Arial" w:hAnsi="Arial"/>
                  <w:sz w:val="18"/>
                  <w:szCs w:val="18"/>
                  <w:color w:val="0000FF"/>
                  <w:w w:val="96"/>
                </w:rPr>
                <w:t>Energetic Properties, LLC, Slurry Explosive Corporation, Universal Tech</w:t>
              </w:r>
            </w:hyperlink>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8"/>
              </w:rPr>
            </w:pPr>
            <w:hyperlink r:id="rId169">
              <w:r>
                <w:rPr>
                  <w:rFonts w:ascii="Arial" w:cs="Arial" w:eastAsia="Arial" w:hAnsi="Arial"/>
                  <w:sz w:val="18"/>
                  <w:szCs w:val="18"/>
                  <w:color w:val="0000FF"/>
                  <w:w w:val="98"/>
                </w:rPr>
                <w:t>Corporation, El Dorado Chemical Company, LSB Chemical Corp., LSB</w:t>
              </w:r>
            </w:hyperlink>
          </w:p>
        </w:tc>
      </w:tr>
      <w:tr>
        <w:trPr>
          <w:trHeight w:val="196"/>
        </w:trPr>
        <w:tc>
          <w:tcPr>
            <w:tcW w:w="1300" w:type="dxa"/>
            <w:vAlign w:val="bottom"/>
          </w:tcPr>
          <w:p>
            <w:pPr>
              <w:spacing w:after="0"/>
              <w:rPr>
                <w:sz w:val="17"/>
                <w:szCs w:val="17"/>
                <w:color w:val="auto"/>
              </w:rPr>
            </w:pPr>
          </w:p>
        </w:tc>
        <w:tc>
          <w:tcPr>
            <w:tcW w:w="5100" w:type="dxa"/>
            <w:vAlign w:val="bottom"/>
            <w:tcBorders>
              <w:bottom w:val="single" w:sz="8" w:color="0000FF"/>
            </w:tcBorders>
            <w:gridSpan w:val="8"/>
          </w:tcPr>
          <w:p>
            <w:pPr>
              <w:spacing w:after="0" w:line="195"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Industries, Inc. and Slurry Explosive Manufacturing Corporation, LLC</w:t>
              </w:r>
            </w:hyperlink>
          </w:p>
        </w:tc>
        <w:tc>
          <w:tcPr>
            <w:tcW w:w="20" w:type="dxa"/>
            <w:vAlign w:val="bottom"/>
            <w:tcBorders>
              <w:bottom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10.17</w:t>
            </w:r>
          </w:p>
        </w:tc>
        <w:tc>
          <w:tcPr>
            <w:tcW w:w="5540" w:type="dxa"/>
            <w:vAlign w:val="bottom"/>
            <w:tcBorders>
              <w:bottom w:val="single" w:sz="8" w:color="0000FF"/>
            </w:tcBorders>
            <w:gridSpan w:val="12"/>
          </w:tcPr>
          <w:p>
            <w:pPr>
              <w:spacing w:after="0"/>
              <w:rPr>
                <w:rFonts w:ascii="Arial" w:cs="Arial" w:eastAsia="Arial" w:hAnsi="Arial"/>
                <w:sz w:val="18"/>
                <w:szCs w:val="18"/>
                <w:color w:val="0000FF"/>
                <w:w w:val="93"/>
              </w:rPr>
            </w:pPr>
            <w:hyperlink r:id="rId170">
              <w:r>
                <w:rPr>
                  <w:rFonts w:ascii="Arial" w:cs="Arial" w:eastAsia="Arial" w:hAnsi="Arial"/>
                  <w:sz w:val="18"/>
                  <w:szCs w:val="18"/>
                  <w:color w:val="0000FF"/>
                  <w:w w:val="93"/>
                </w:rPr>
                <w:t>Ammonia  Purchase  and  Sale  Agreement  by  and  between  El  Dorado</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line="195"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Chemical Company and Koch Fertilizer, LLC, dated as of November 2,</w:t>
              </w:r>
            </w:hyperlink>
          </w:p>
        </w:tc>
      </w:tr>
      <w:tr>
        <w:trPr>
          <w:trHeight w:val="196"/>
        </w:trPr>
        <w:tc>
          <w:tcPr>
            <w:tcW w:w="130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4"/>
              </w:rPr>
            </w:pPr>
            <w:hyperlink r:id="rId170">
              <w:r>
                <w:rPr>
                  <w:rFonts w:ascii="Arial" w:cs="Arial" w:eastAsia="Arial" w:hAnsi="Arial"/>
                  <w:sz w:val="18"/>
                  <w:szCs w:val="18"/>
                  <w:color w:val="0000FF"/>
                  <w:w w:val="84"/>
                </w:rPr>
                <w:t>2015</w:t>
              </w:r>
            </w:hyperlink>
          </w:p>
        </w:tc>
        <w:tc>
          <w:tcPr>
            <w:tcW w:w="20" w:type="dxa"/>
            <w:vAlign w:val="bottom"/>
            <w:tcBorders>
              <w:bottom w:val="single" w:sz="8" w:color="0000EE"/>
            </w:tcBorders>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10.18</w:t>
            </w:r>
          </w:p>
        </w:tc>
        <w:tc>
          <w:tcPr>
            <w:tcW w:w="5500" w:type="dxa"/>
            <w:vAlign w:val="bottom"/>
            <w:tcBorders>
              <w:bottom w:val="single" w:sz="8" w:color="0000FF"/>
            </w:tcBorders>
            <w:gridSpan w:val="2"/>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Second Amendment to Ammonia Purchase and Sale Agreement Between</w:t>
              </w:r>
            </w:hyperlink>
          </w:p>
        </w:tc>
        <w:tc>
          <w:tcPr>
            <w:tcW w:w="20" w:type="dxa"/>
            <w:vAlign w:val="bottom"/>
            <w:tcBorders>
              <w:bottom w:val="single" w:sz="8" w:color="0000EE"/>
            </w:tcBorders>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3"/>
          </w:tcPr>
          <w:p>
            <w:pPr>
              <w:spacing w:after="0" w:line="195" w:lineRule="exact"/>
              <w:rPr>
                <w:rFonts w:ascii="Arial" w:cs="Arial" w:eastAsia="Arial" w:hAnsi="Arial"/>
                <w:sz w:val="18"/>
                <w:szCs w:val="18"/>
                <w:color w:val="0000FF"/>
              </w:rPr>
            </w:pPr>
            <w:hyperlink r:id="rId171">
              <w:r>
                <w:rPr>
                  <w:rFonts w:ascii="Arial" w:cs="Arial" w:eastAsia="Arial" w:hAnsi="Arial"/>
                  <w:sz w:val="18"/>
                  <w:szCs w:val="18"/>
                  <w:color w:val="0000FF"/>
                </w:rPr>
                <w:t>Koch Fertilizer, LLC  and El Dorado Chemical Company, dated as of</w:t>
              </w:r>
            </w:hyperlink>
          </w:p>
        </w:tc>
      </w:tr>
      <w:tr>
        <w:trPr>
          <w:trHeight w:val="196"/>
        </w:trPr>
        <w:tc>
          <w:tcPr>
            <w:tcW w:w="1300" w:type="dxa"/>
            <w:vAlign w:val="bottom"/>
          </w:tcPr>
          <w:p>
            <w:pPr>
              <w:spacing w:after="0"/>
              <w:rPr>
                <w:sz w:val="17"/>
                <w:szCs w:val="17"/>
                <w:color w:val="auto"/>
              </w:rPr>
            </w:pPr>
          </w:p>
        </w:tc>
        <w:tc>
          <w:tcPr>
            <w:tcW w:w="5520" w:type="dxa"/>
            <w:vAlign w:val="bottom"/>
            <w:gridSpan w:val="3"/>
          </w:tcPr>
          <w:p>
            <w:pPr>
              <w:spacing w:after="0" w:line="195" w:lineRule="exact"/>
              <w:rPr>
                <w:rFonts w:ascii="Arial" w:cs="Arial" w:eastAsia="Arial" w:hAnsi="Arial"/>
                <w:sz w:val="18"/>
                <w:szCs w:val="18"/>
                <w:color w:val="0000FF"/>
              </w:rPr>
            </w:pPr>
            <w:hyperlink r:id="rId171">
              <w:r>
                <w:rPr>
                  <w:rFonts w:ascii="Arial" w:cs="Arial" w:eastAsia="Arial" w:hAnsi="Arial"/>
                  <w:sz w:val="18"/>
                  <w:szCs w:val="18"/>
                  <w:color w:val="0000FF"/>
                </w:rPr>
                <w:t>September 30, 2019</w:t>
              </w:r>
            </w:hyperlink>
          </w:p>
        </w:tc>
      </w:tr>
      <w:tr>
        <w:trPr>
          <w:trHeight w:val="20"/>
        </w:trPr>
        <w:tc>
          <w:tcPr>
            <w:tcW w:w="130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8"/>
          <w:szCs w:val="18"/>
          <w:color w:val="auto"/>
        </w:rPr>
        <w:t>Exhibit 10.2 to the Company’s Form 8-K filed October 19, 2015</w:t>
      </w:r>
    </w:p>
    <w:p>
      <w:pPr>
        <w:spacing w:after="0" w:line="200" w:lineRule="exact"/>
        <w:rPr>
          <w:sz w:val="20"/>
          <w:szCs w:val="20"/>
          <w:color w:val="auto"/>
        </w:rPr>
      </w:pP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10.5 to the Company’s Form 8-K filed December 8, 2015</w:t>
      </w: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2.1 to the Company’s Form 8-K dated December 27,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10.1b to the Company’s Form 10-Q filed August 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10.49 to the Company’s Form 10-K filed February 29, 2016</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INFORMATION WITHIN THIS EXHIBIT HAS BEEN OMITTED AS IT IS THE SUBJECT OF A COMMISSION ORDER CF #33502, DATED APRIL 4, 2016, GRANTING REQUEST BY THE COMPANY FOR CONFIDENTIAL TREATMENT BY THE SECURITIES AND EXCHANGE COMMISSION UNDER THE FREEDOM OF INFORMATION ACT.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10.1 to the Company’s Form 10-Q filed October 29, 2019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CONFIDENTIAL INFORMATION WITHIN THIS EXHIBIT HAS BEEN OMITTED.</w:t>
      </w:r>
    </w:p>
    <w:p>
      <w:pPr>
        <w:spacing w:after="0" w:line="200" w:lineRule="exact"/>
        <w:rPr>
          <w:sz w:val="20"/>
          <w:szCs w:val="20"/>
          <w:color w:val="auto"/>
        </w:rPr>
      </w:pPr>
    </w:p>
    <w:p>
      <w:pPr>
        <w:sectPr>
          <w:pgSz w:w="11900" w:h="16838" w:orient="portrait"/>
          <w:cols w:equalWidth="0" w:num="2">
            <w:col w:w="6860" w:space="140"/>
            <w:col w:w="4160"/>
          </w:cols>
          <w:pgMar w:left="380" w:top="372" w:right="359" w:bottom="1440" w:gutter="0" w:footer="0" w:header="0"/>
          <w:type w:val="continuous"/>
        </w:sectPr>
      </w:pP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10.19</w:t>
            </w:r>
          </w:p>
        </w:tc>
        <w:tc>
          <w:tcPr>
            <w:tcW w:w="5500" w:type="dxa"/>
            <w:vAlign w:val="bottom"/>
            <w:tcBorders>
              <w:bottom w:val="single" w:sz="8" w:color="0000FF"/>
            </w:tcBorders>
            <w:gridSpan w:val="5"/>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Stock Purchase Agreement by and among Consolidated Industries L.L.C.</w:t>
              </w:r>
            </w:hyperlink>
          </w:p>
        </w:tc>
        <w:tc>
          <w:tcPr>
            <w:tcW w:w="20" w:type="dxa"/>
            <w:vAlign w:val="bottom"/>
            <w:tcBorders>
              <w:bottom w:val="single" w:sz="8" w:color="0000EE"/>
            </w:tcBorders>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6"/>
          </w:tcPr>
          <w:p>
            <w:pPr>
              <w:spacing w:after="0" w:line="195"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The Climate Control Group, Inc., NIBE Energy Systems Inc. and, solely for</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8"/>
          </w:tcPr>
          <w:p>
            <w:pPr>
              <w:spacing w:after="0" w:line="195"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purposes of Sections 6.8, 6.19 and 11.15 therein, LSB Industries, Inc., and</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6"/>
          </w:tcPr>
          <w:p>
            <w:pPr>
              <w:spacing w:after="0" w:line="195" w:lineRule="exact"/>
              <w:rPr>
                <w:rFonts w:ascii="Arial" w:cs="Arial" w:eastAsia="Arial" w:hAnsi="Arial"/>
                <w:sz w:val="18"/>
                <w:szCs w:val="18"/>
                <w:color w:val="0000FF"/>
                <w:w w:val="97"/>
              </w:rPr>
            </w:pPr>
            <w:hyperlink r:id="rId172">
              <w:r>
                <w:rPr>
                  <w:rFonts w:ascii="Arial" w:cs="Arial" w:eastAsia="Arial" w:hAnsi="Arial"/>
                  <w:sz w:val="18"/>
                  <w:szCs w:val="18"/>
                  <w:color w:val="0000FF"/>
                  <w:w w:val="97"/>
                </w:rPr>
                <w:t>solely for purposes of Section 11.16 therein, NIBE Industrier AB (publ),</w:t>
              </w:r>
            </w:hyperlink>
          </w:p>
        </w:tc>
        <w:tc>
          <w:tcPr>
            <w:tcW w:w="4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gridSpan w:val="8"/>
          </w:tcPr>
          <w:p>
            <w:pPr>
              <w:spacing w:after="0" w:line="195" w:lineRule="exact"/>
              <w:rPr>
                <w:rFonts w:ascii="Arial" w:cs="Arial" w:eastAsia="Arial" w:hAnsi="Arial"/>
                <w:sz w:val="18"/>
                <w:szCs w:val="18"/>
                <w:color w:val="0000FF"/>
              </w:rPr>
            </w:pPr>
            <w:hyperlink r:id="rId172">
              <w:r>
                <w:rPr>
                  <w:rFonts w:ascii="Arial" w:cs="Arial" w:eastAsia="Arial" w:hAnsi="Arial"/>
                  <w:sz w:val="18"/>
                  <w:szCs w:val="18"/>
                  <w:color w:val="0000FF"/>
                </w:rPr>
                <w:t>dated as of May 11, 2016.</w:t>
              </w:r>
            </w:hyperlink>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10.20</w:t>
            </w:r>
          </w:p>
        </w:tc>
        <w:tc>
          <w:tcPr>
            <w:tcW w:w="5520" w:type="dxa"/>
            <w:vAlign w:val="bottom"/>
            <w:tcBorders>
              <w:bottom w:val="single" w:sz="8" w:color="0000FF"/>
            </w:tcBorders>
            <w:gridSpan w:val="6"/>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Contract on the supply of Basic Engineering Package, Detail Engineering</w:t>
              </w:r>
            </w:hyperlink>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7"/>
          </w:tcPr>
          <w:p>
            <w:pPr>
              <w:spacing w:after="0" w:line="195"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Package, Tagged Major Equipment and related Advisory Services, between</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60" w:type="dxa"/>
            <w:vAlign w:val="bottom"/>
            <w:tcBorders>
              <w:bottom w:val="single" w:sz="8" w:color="0000FF"/>
            </w:tcBorders>
            <w:gridSpan w:val="8"/>
          </w:tcPr>
          <w:p>
            <w:pPr>
              <w:spacing w:after="0" w:line="195" w:lineRule="exact"/>
              <w:rPr>
                <w:rFonts w:ascii="Arial" w:cs="Arial" w:eastAsia="Arial" w:hAnsi="Arial"/>
                <w:sz w:val="18"/>
                <w:szCs w:val="18"/>
                <w:color w:val="0000FF"/>
                <w:w w:val="97"/>
              </w:rPr>
            </w:pPr>
            <w:hyperlink r:id="rId173">
              <w:r>
                <w:rPr>
                  <w:rFonts w:ascii="Arial" w:cs="Arial" w:eastAsia="Arial" w:hAnsi="Arial"/>
                  <w:sz w:val="18"/>
                  <w:szCs w:val="18"/>
                  <w:color w:val="0000FF"/>
                  <w:w w:val="97"/>
                </w:rPr>
                <w:t>Weatherly Inc. and El Dorado Chemical Company, dated November 30,</w:t>
              </w:r>
            </w:hyperlink>
          </w:p>
        </w:tc>
      </w:tr>
      <w:tr>
        <w:trPr>
          <w:trHeight w:val="196"/>
        </w:trPr>
        <w:tc>
          <w:tcPr>
            <w:tcW w:w="130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4"/>
              </w:rPr>
            </w:pPr>
            <w:hyperlink r:id="rId173">
              <w:r>
                <w:rPr>
                  <w:rFonts w:ascii="Arial" w:cs="Arial" w:eastAsia="Arial" w:hAnsi="Arial"/>
                  <w:sz w:val="18"/>
                  <w:szCs w:val="18"/>
                  <w:color w:val="0000FF"/>
                  <w:w w:val="84"/>
                </w:rPr>
                <w:t>2012</w:t>
              </w:r>
            </w:hyperlink>
          </w:p>
        </w:tc>
        <w:tc>
          <w:tcPr>
            <w:tcW w:w="20" w:type="dxa"/>
            <w:vAlign w:val="bottom"/>
            <w:tcBorders>
              <w:bottom w:val="single" w:sz="8" w:color="0000EE"/>
            </w:tcBorders>
          </w:tcPr>
          <w:p>
            <w:pPr>
              <w:spacing w:after="0"/>
              <w:rPr>
                <w:sz w:val="17"/>
                <w:szCs w:val="17"/>
                <w:color w:val="auto"/>
              </w:rPr>
            </w:pPr>
          </w:p>
        </w:tc>
        <w:tc>
          <w:tcPr>
            <w:tcW w:w="15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10.21</w:t>
            </w:r>
          </w:p>
        </w:tc>
        <w:tc>
          <w:tcPr>
            <w:tcW w:w="5560" w:type="dxa"/>
            <w:vAlign w:val="bottom"/>
            <w:tcBorders>
              <w:bottom w:val="single" w:sz="8" w:color="0000FF"/>
            </w:tcBorders>
            <w:gridSpan w:val="8"/>
          </w:tcPr>
          <w:p>
            <w:pPr>
              <w:spacing w:after="0"/>
              <w:rPr>
                <w:rFonts w:ascii="Arial" w:cs="Arial" w:eastAsia="Arial" w:hAnsi="Arial"/>
                <w:sz w:val="18"/>
                <w:szCs w:val="18"/>
                <w:color w:val="0000FF"/>
                <w:w w:val="94"/>
              </w:rPr>
            </w:pPr>
            <w:hyperlink r:id="rId174">
              <w:r>
                <w:rPr>
                  <w:rFonts w:ascii="Arial" w:cs="Arial" w:eastAsia="Arial" w:hAnsi="Arial"/>
                  <w:sz w:val="18"/>
                  <w:szCs w:val="18"/>
                  <w:color w:val="0000FF"/>
                  <w:w w:val="94"/>
                </w:rPr>
                <w:t>Engineering, Procurement and Construction Agreement, dated August 12,</w:t>
              </w:r>
            </w:hyperlink>
          </w:p>
        </w:tc>
      </w:tr>
      <w:tr>
        <w:trPr>
          <w:trHeight w:val="196"/>
        </w:trPr>
        <w:tc>
          <w:tcPr>
            <w:tcW w:w="1300" w:type="dxa"/>
            <w:vAlign w:val="bottom"/>
          </w:tcPr>
          <w:p>
            <w:pPr>
              <w:spacing w:after="0"/>
              <w:rPr>
                <w:sz w:val="17"/>
                <w:szCs w:val="17"/>
                <w:color w:val="auto"/>
              </w:rPr>
            </w:pPr>
          </w:p>
        </w:tc>
        <w:tc>
          <w:tcPr>
            <w:tcW w:w="5560" w:type="dxa"/>
            <w:vAlign w:val="bottom"/>
            <w:gridSpan w:val="8"/>
          </w:tcPr>
          <w:p>
            <w:pPr>
              <w:spacing w:after="0" w:line="195" w:lineRule="exact"/>
              <w:rPr>
                <w:rFonts w:ascii="Arial" w:cs="Arial" w:eastAsia="Arial" w:hAnsi="Arial"/>
                <w:sz w:val="18"/>
                <w:szCs w:val="18"/>
                <w:color w:val="0000FF"/>
                <w:w w:val="97"/>
              </w:rPr>
            </w:pPr>
            <w:hyperlink r:id="rId174">
              <w:r>
                <w:rPr>
                  <w:rFonts w:ascii="Arial" w:cs="Arial" w:eastAsia="Arial" w:hAnsi="Arial"/>
                  <w:sz w:val="18"/>
                  <w:szCs w:val="18"/>
                  <w:color w:val="0000FF"/>
                  <w:w w:val="97"/>
                </w:rPr>
                <w:t>2013, between El Dorado Ammonia L.L.C. and SAIC Constructors, LLC</w:t>
              </w:r>
            </w:hyperlink>
          </w:p>
        </w:tc>
      </w:tr>
      <w:tr>
        <w:trPr>
          <w:trHeight w:val="533"/>
        </w:trPr>
        <w:tc>
          <w:tcPr>
            <w:tcW w:w="1300" w:type="dxa"/>
            <w:vAlign w:val="bottom"/>
          </w:tcPr>
          <w:p>
            <w:pPr>
              <w:spacing w:after="0"/>
              <w:rPr>
                <w:sz w:val="24"/>
                <w:szCs w:val="24"/>
                <w:color w:val="auto"/>
              </w:rPr>
            </w:pPr>
          </w:p>
        </w:tc>
        <w:tc>
          <w:tcPr>
            <w:tcW w:w="5280" w:type="dxa"/>
            <w:vAlign w:val="bottom"/>
            <w:tcBorders>
              <w:top w:val="single" w:sz="8" w:color="0000FF"/>
            </w:tcBorders>
            <w:gridSpan w:val="4"/>
          </w:tcPr>
          <w:p>
            <w:pPr>
              <w:ind w:left="41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May 13, 2016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99.2 to the Company’s Form 8-K filed December 6, 2012</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August 15, 2013</w:t>
      </w:r>
    </w:p>
    <w:p>
      <w:pPr>
        <w:sectPr>
          <w:pgSz w:w="11900" w:h="16838" w:orient="portrait"/>
          <w:cols w:equalWidth="0" w:num="2">
            <w:col w:w="6860" w:space="140"/>
            <w:col w:w="4160"/>
          </w:cols>
          <w:pgMar w:left="380" w:top="372" w:right="359" w:bottom="1440" w:gutter="0" w:footer="0" w:header="0"/>
          <w:type w:val="continuous"/>
        </w:sectPr>
      </w:pPr>
    </w:p>
    <w:bookmarkStart w:id="43" w:name="page44"/>
    <w:bookmarkEnd w:id="43"/>
    <w:p>
      <w:pPr>
        <w:spacing w:after="0"/>
        <w:tabs>
          <w:tab w:leader="none" w:pos="3700" w:val="left"/>
          <w:tab w:leader="none" w:pos="77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-60325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372" w:right="359" w:bottom="1440" w:gutter="0" w:footer="0" w:header="0"/>
        </w:sectPr>
      </w:pPr>
    </w:p>
    <w:tbl>
      <w:tblPr>
        <w:tblLayout w:type="fixed"/>
        <w:tblInd w:w="60" w:type="dxa"/>
        <w:tblCellMar>
          <w:top w:w="0" w:type="dxa"/>
          <w:left w:w="0" w:type="dxa"/>
          <w:bottom w:w="0" w:type="dxa"/>
          <w:right w:w="0" w:type="dxa"/>
        </w:tblCellMar>
      </w:tblPr>
      <w:tr>
        <w:trPr>
          <w:trHeight w:val="174"/>
        </w:trPr>
        <w:tc>
          <w:tcPr>
            <w:tcW w:w="1300" w:type="dxa"/>
            <w:vAlign w:val="bottom"/>
          </w:tcPr>
          <w:p>
            <w:pPr>
              <w:jc w:val="right"/>
              <w:ind w:right="810"/>
              <w:spacing w:after="0" w:line="174" w:lineRule="exact"/>
              <w:rPr>
                <w:sz w:val="20"/>
                <w:szCs w:val="20"/>
                <w:color w:val="auto"/>
              </w:rPr>
            </w:pPr>
            <w:r>
              <w:rPr>
                <w:rFonts w:ascii="Arial" w:cs="Arial" w:eastAsia="Arial" w:hAnsi="Arial"/>
                <w:sz w:val="18"/>
                <w:szCs w:val="18"/>
                <w:color w:val="auto"/>
                <w:w w:val="84"/>
              </w:rPr>
              <w:t>10.22</w:t>
            </w:r>
          </w:p>
        </w:tc>
        <w:tc>
          <w:tcPr>
            <w:tcW w:w="5520" w:type="dxa"/>
            <w:vAlign w:val="bottom"/>
            <w:tcBorders>
              <w:bottom w:val="single" w:sz="8" w:color="0000FF"/>
            </w:tcBorders>
            <w:gridSpan w:val="13"/>
          </w:tcPr>
          <w:p>
            <w:pPr>
              <w:spacing w:after="0" w:line="174" w:lineRule="exact"/>
              <w:rPr>
                <w:rFonts w:ascii="Arial" w:cs="Arial" w:eastAsia="Arial" w:hAnsi="Arial"/>
                <w:sz w:val="18"/>
                <w:szCs w:val="18"/>
                <w:color w:val="0000FF"/>
                <w:w w:val="97"/>
              </w:rPr>
            </w:pPr>
            <w:hyperlink r:id="rId177">
              <w:r>
                <w:rPr>
                  <w:rFonts w:ascii="Arial" w:cs="Arial" w:eastAsia="Arial" w:hAnsi="Arial"/>
                  <w:sz w:val="18"/>
                  <w:szCs w:val="18"/>
                  <w:color w:val="0000FF"/>
                  <w:w w:val="97"/>
                </w:rPr>
                <w:t>Construction Agreement-DMW2, dated November 6, 2013, between El</w:t>
              </w:r>
            </w:hyperlink>
          </w:p>
        </w:tc>
        <w:tc>
          <w:tcPr>
            <w:tcW w:w="20" w:type="dxa"/>
            <w:vAlign w:val="bottom"/>
          </w:tcPr>
          <w:p>
            <w:pPr>
              <w:spacing w:after="0"/>
              <w:rPr>
                <w:sz w:val="15"/>
                <w:szCs w:val="15"/>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7"/>
          </w:tcPr>
          <w:p>
            <w:pPr>
              <w:spacing w:after="0" w:line="195"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Dorado Chemical Company and SAIC Constructors, LLC</w:t>
              </w:r>
            </w:hyperlink>
          </w:p>
        </w:tc>
        <w:tc>
          <w:tcPr>
            <w:tcW w:w="20" w:type="dxa"/>
            <w:vAlign w:val="bottom"/>
            <w:tcBorders>
              <w:bottom w:val="single" w:sz="8" w:color="0000EE"/>
            </w:tcBorders>
          </w:tcPr>
          <w:p>
            <w:pPr>
              <w:spacing w:after="0"/>
              <w:rPr>
                <w:sz w:val="17"/>
                <w:szCs w:val="17"/>
                <w:color w:val="auto"/>
              </w:rPr>
            </w:pPr>
          </w:p>
        </w:tc>
        <w:tc>
          <w:tcPr>
            <w:tcW w:w="1340" w:type="dxa"/>
            <w:vAlign w:val="bottom"/>
            <w:gridSpan w:val="6"/>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10.23</w:t>
            </w:r>
          </w:p>
        </w:tc>
        <w:tc>
          <w:tcPr>
            <w:tcW w:w="5540" w:type="dxa"/>
            <w:vAlign w:val="bottom"/>
            <w:tcBorders>
              <w:bottom w:val="single" w:sz="8" w:color="0000FF"/>
            </w:tcBorders>
            <w:gridSpan w:val="14"/>
          </w:tcPr>
          <w:p>
            <w:pPr>
              <w:spacing w:after="0"/>
              <w:rPr>
                <w:rFonts w:ascii="Arial" w:cs="Arial" w:eastAsia="Arial" w:hAnsi="Arial"/>
                <w:sz w:val="18"/>
                <w:szCs w:val="18"/>
                <w:color w:val="0000FF"/>
                <w:w w:val="92"/>
              </w:rPr>
            </w:pPr>
            <w:hyperlink r:id="rId178">
              <w:r>
                <w:rPr>
                  <w:rFonts w:ascii="Arial" w:cs="Arial" w:eastAsia="Arial" w:hAnsi="Arial"/>
                  <w:sz w:val="18"/>
                  <w:szCs w:val="18"/>
                  <w:color w:val="0000FF"/>
                  <w:w w:val="92"/>
                </w:rPr>
                <w:t>Construction Agreement – NACSAC, dated November 6, 2013, between El</w:t>
              </w:r>
            </w:hyperlink>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7"/>
          </w:tcPr>
          <w:p>
            <w:pPr>
              <w:spacing w:after="0" w:line="195"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Dorado Chemical Company and SAIC Constructors, LLC</w:t>
              </w:r>
            </w:hyperlink>
          </w:p>
        </w:tc>
        <w:tc>
          <w:tcPr>
            <w:tcW w:w="20" w:type="dxa"/>
            <w:vAlign w:val="bottom"/>
            <w:tcBorders>
              <w:bottom w:val="single" w:sz="8" w:color="0000EE"/>
            </w:tcBorders>
          </w:tcPr>
          <w:p>
            <w:pPr>
              <w:spacing w:after="0"/>
              <w:rPr>
                <w:sz w:val="17"/>
                <w:szCs w:val="17"/>
                <w:color w:val="auto"/>
              </w:rPr>
            </w:pPr>
          </w:p>
        </w:tc>
        <w:tc>
          <w:tcPr>
            <w:tcW w:w="1340" w:type="dxa"/>
            <w:vAlign w:val="bottom"/>
            <w:gridSpan w:val="6"/>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10.24</w:t>
            </w:r>
          </w:p>
        </w:tc>
        <w:tc>
          <w:tcPr>
            <w:tcW w:w="5520" w:type="dxa"/>
            <w:vAlign w:val="bottom"/>
            <w:tcBorders>
              <w:bottom w:val="single" w:sz="8" w:color="0000FF"/>
            </w:tcBorders>
            <w:gridSpan w:val="13"/>
          </w:tcPr>
          <w:p>
            <w:pPr>
              <w:spacing w:after="0"/>
              <w:rPr>
                <w:rFonts w:ascii="Arial" w:cs="Arial" w:eastAsia="Arial" w:hAnsi="Arial"/>
                <w:sz w:val="18"/>
                <w:szCs w:val="18"/>
                <w:color w:val="0000FF"/>
                <w:w w:val="93"/>
              </w:rPr>
            </w:pPr>
            <w:hyperlink r:id="rId179">
              <w:r>
                <w:rPr>
                  <w:rFonts w:ascii="Arial" w:cs="Arial" w:eastAsia="Arial" w:hAnsi="Arial"/>
                  <w:sz w:val="18"/>
                  <w:szCs w:val="18"/>
                  <w:color w:val="0000FF"/>
                  <w:w w:val="93"/>
                </w:rPr>
                <w:t>Engineering, Procurement and Construction Agreement, dated December</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31, 2013, between El Dorado Chemical Company and SAIC Constructors,</w:t>
              </w:r>
            </w:hyperlink>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79">
              <w:r>
                <w:rPr>
                  <w:rFonts w:ascii="Arial" w:cs="Arial" w:eastAsia="Arial" w:hAnsi="Arial"/>
                  <w:sz w:val="18"/>
                  <w:szCs w:val="18"/>
                  <w:color w:val="0000FF"/>
                </w:rPr>
                <w:t>LLC</w:t>
              </w:r>
            </w:hyperlink>
          </w:p>
        </w:tc>
      </w:tr>
      <w:tr>
        <w:trPr>
          <w:trHeight w:val="20"/>
        </w:trPr>
        <w:tc>
          <w:tcPr>
            <w:tcW w:w="13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10.25</w:t>
            </w:r>
          </w:p>
        </w:tc>
        <w:tc>
          <w:tcPr>
            <w:tcW w:w="5520" w:type="dxa"/>
            <w:vAlign w:val="bottom"/>
            <w:tcBorders>
              <w:bottom w:val="single" w:sz="8" w:color="0000FF"/>
            </w:tcBorders>
            <w:gridSpan w:val="13"/>
          </w:tcPr>
          <w:p>
            <w:pPr>
              <w:spacing w:after="0"/>
              <w:rPr>
                <w:rFonts w:ascii="Arial" w:cs="Arial" w:eastAsia="Arial" w:hAnsi="Arial"/>
                <w:sz w:val="18"/>
                <w:szCs w:val="18"/>
                <w:color w:val="0000FF"/>
                <w:w w:val="95"/>
              </w:rPr>
            </w:pPr>
            <w:hyperlink r:id="rId180">
              <w:r>
                <w:rPr>
                  <w:rFonts w:ascii="Arial" w:cs="Arial" w:eastAsia="Arial" w:hAnsi="Arial"/>
                  <w:sz w:val="18"/>
                  <w:szCs w:val="18"/>
                  <w:color w:val="0000FF"/>
                  <w:w w:val="95"/>
                </w:rPr>
                <w:t>Engineering, Procurement and Construction Contract, Amendment No. 1</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7"/>
              </w:rPr>
            </w:pPr>
            <w:hyperlink r:id="rId180">
              <w:r>
                <w:rPr>
                  <w:rFonts w:ascii="Arial" w:cs="Arial" w:eastAsia="Arial" w:hAnsi="Arial"/>
                  <w:sz w:val="18"/>
                  <w:szCs w:val="18"/>
                  <w:color w:val="0000FF"/>
                  <w:w w:val="97"/>
                </w:rPr>
                <w:t>dated October 20, 2015, by and between El Dorado Ammonia LLC and</w:t>
              </w:r>
            </w:hyperlink>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0">
              <w:r>
                <w:rPr>
                  <w:rFonts w:ascii="Arial" w:cs="Arial" w:eastAsia="Arial" w:hAnsi="Arial"/>
                  <w:sz w:val="18"/>
                  <w:szCs w:val="18"/>
                  <w:color w:val="0000FF"/>
                </w:rPr>
                <w:t>SAIC Constructors, LLC</w:t>
              </w:r>
            </w:hyperlink>
          </w:p>
        </w:tc>
      </w:tr>
      <w:tr>
        <w:trPr>
          <w:trHeight w:val="20"/>
        </w:trPr>
        <w:tc>
          <w:tcPr>
            <w:tcW w:w="13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10.26</w:t>
            </w:r>
          </w:p>
        </w:tc>
        <w:tc>
          <w:tcPr>
            <w:tcW w:w="5540" w:type="dxa"/>
            <w:vAlign w:val="bottom"/>
            <w:tcBorders>
              <w:bottom w:val="single" w:sz="8" w:color="0000FF"/>
            </w:tcBorders>
            <w:gridSpan w:val="14"/>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Settlement Agreement, dated April 26, 2015, by and among the Company</w:t>
              </w:r>
            </w:hyperlink>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1">
              <w:r>
                <w:rPr>
                  <w:rFonts w:ascii="Arial" w:cs="Arial" w:eastAsia="Arial" w:hAnsi="Arial"/>
                  <w:sz w:val="18"/>
                  <w:szCs w:val="18"/>
                  <w:color w:val="0000FF"/>
                </w:rPr>
                <w:t>and Starboard Value LP and its certain affiliates and associates</w:t>
              </w:r>
            </w:hyperlink>
          </w:p>
        </w:tc>
      </w:tr>
      <w:tr>
        <w:trPr>
          <w:trHeight w:val="20"/>
        </w:trPr>
        <w:tc>
          <w:tcPr>
            <w:tcW w:w="13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10.27</w:t>
            </w:r>
          </w:p>
        </w:tc>
        <w:tc>
          <w:tcPr>
            <w:tcW w:w="5520" w:type="dxa"/>
            <w:vAlign w:val="bottom"/>
            <w:tcBorders>
              <w:bottom w:val="single" w:sz="8" w:color="0000FF"/>
            </w:tcBorders>
            <w:gridSpan w:val="13"/>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Consent Decree, dated May 28, 2014, by and among, LSB Industries, Inc.,</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5"/>
              </w:rPr>
            </w:pPr>
            <w:hyperlink r:id="rId182">
              <w:r>
                <w:rPr>
                  <w:rFonts w:ascii="Arial" w:cs="Arial" w:eastAsia="Arial" w:hAnsi="Arial"/>
                  <w:sz w:val="18"/>
                  <w:szCs w:val="18"/>
                  <w:color w:val="0000FF"/>
                  <w:w w:val="95"/>
                </w:rPr>
                <w:t>El Dorado Chemical Co., Cherokee Nitrogen Co., Pryor Chemical Co., El</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rPr>
            </w:pPr>
            <w:hyperlink r:id="rId182">
              <w:r>
                <w:rPr>
                  <w:rFonts w:ascii="Arial" w:cs="Arial" w:eastAsia="Arial" w:hAnsi="Arial"/>
                  <w:sz w:val="18"/>
                  <w:szCs w:val="18"/>
                  <w:color w:val="0000FF"/>
                </w:rPr>
                <w:t>Dorado  Nitrogen,  L.P.,  the  U.S.  Department  of  Justice,  the  U.S.</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8"/>
              </w:rPr>
            </w:pPr>
            <w:hyperlink r:id="rId182">
              <w:r>
                <w:rPr>
                  <w:rFonts w:ascii="Arial" w:cs="Arial" w:eastAsia="Arial" w:hAnsi="Arial"/>
                  <w:sz w:val="18"/>
                  <w:szCs w:val="18"/>
                  <w:color w:val="0000FF"/>
                  <w:w w:val="98"/>
                </w:rPr>
                <w:t>Environmental   Protection   Agency,   the   Alabama   Department   of</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rPr>
            </w:pPr>
            <w:hyperlink r:id="rId182">
              <w:r>
                <w:rPr>
                  <w:rFonts w:ascii="Arial" w:cs="Arial" w:eastAsia="Arial" w:hAnsi="Arial"/>
                  <w:sz w:val="18"/>
                  <w:szCs w:val="18"/>
                  <w:color w:val="0000FF"/>
                </w:rPr>
                <w:t>Environmental  Management,  and  the  Oklahoma  Department  of</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2">
              <w:r>
                <w:rPr>
                  <w:rFonts w:ascii="Arial" w:cs="Arial" w:eastAsia="Arial" w:hAnsi="Arial"/>
                  <w:sz w:val="18"/>
                  <w:szCs w:val="18"/>
                  <w:color w:val="0000FF"/>
                </w:rPr>
                <w:t>Environment Quality</w:t>
              </w:r>
            </w:hyperlink>
          </w:p>
        </w:tc>
      </w:tr>
      <w:tr>
        <w:trPr>
          <w:trHeight w:val="20"/>
        </w:trPr>
        <w:tc>
          <w:tcPr>
            <w:tcW w:w="13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10.28</w:t>
            </w:r>
          </w:p>
        </w:tc>
        <w:tc>
          <w:tcPr>
            <w:tcW w:w="5520" w:type="dxa"/>
            <w:vAlign w:val="bottom"/>
            <w:tcBorders>
              <w:bottom w:val="single" w:sz="8" w:color="0000FF"/>
            </w:tcBorders>
            <w:gridSpan w:val="13"/>
          </w:tcPr>
          <w:p>
            <w:pPr>
              <w:spacing w:after="0"/>
              <w:rPr>
                <w:rFonts w:ascii="Arial" w:cs="Arial" w:eastAsia="Arial" w:hAnsi="Arial"/>
                <w:sz w:val="18"/>
                <w:szCs w:val="18"/>
                <w:color w:val="0000FF"/>
                <w:w w:val="95"/>
              </w:rPr>
            </w:pPr>
            <w:hyperlink r:id="rId183">
              <w:r>
                <w:rPr>
                  <w:rFonts w:ascii="Arial" w:cs="Arial" w:eastAsia="Arial" w:hAnsi="Arial"/>
                  <w:sz w:val="18"/>
                  <w:szCs w:val="18"/>
                  <w:color w:val="0000FF"/>
                  <w:w w:val="95"/>
                </w:rPr>
                <w:t>Third Amended and Restated Loan and Security Agreement, dated as of</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January 17, 2017, by and among LSB Industries, Inc., the subsidiaries of</w:t>
              </w:r>
            </w:hyperlink>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LSB Industries, Inc. party thereto, the lenders party thereto, and Wells Fargo</w:t>
              </w:r>
            </w:hyperlink>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3">
              <w:r>
                <w:rPr>
                  <w:rFonts w:ascii="Arial" w:cs="Arial" w:eastAsia="Arial" w:hAnsi="Arial"/>
                  <w:sz w:val="18"/>
                  <w:szCs w:val="18"/>
                  <w:color w:val="0000FF"/>
                </w:rPr>
                <w:t>Capital Finance, LLC, as the arranger and administrative agent.</w:t>
              </w:r>
            </w:hyperlink>
          </w:p>
        </w:tc>
      </w:tr>
      <w:tr>
        <w:trPr>
          <w:trHeight w:val="20"/>
        </w:trPr>
        <w:tc>
          <w:tcPr>
            <w:tcW w:w="1300" w:type="dxa"/>
            <w:vAlign w:val="bottom"/>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10.29</w:t>
            </w:r>
          </w:p>
        </w:tc>
        <w:tc>
          <w:tcPr>
            <w:tcW w:w="5500" w:type="dxa"/>
            <w:vAlign w:val="bottom"/>
            <w:tcBorders>
              <w:bottom w:val="single" w:sz="8" w:color="0000FF"/>
            </w:tcBorders>
            <w:gridSpan w:val="12"/>
          </w:tcPr>
          <w:p>
            <w:pPr>
              <w:spacing w:after="0"/>
              <w:rPr>
                <w:rFonts w:ascii="Arial" w:cs="Arial" w:eastAsia="Arial" w:hAnsi="Arial"/>
                <w:sz w:val="18"/>
                <w:szCs w:val="18"/>
                <w:color w:val="0000FF"/>
              </w:rPr>
            </w:pPr>
            <w:hyperlink r:id="rId184">
              <w:r>
                <w:rPr>
                  <w:rFonts w:ascii="Arial" w:cs="Arial" w:eastAsia="Arial" w:hAnsi="Arial"/>
                  <w:sz w:val="18"/>
                  <w:szCs w:val="18"/>
                  <w:color w:val="0000FF"/>
                </w:rPr>
                <w:t>First Amendment to Third Amended and Restated Loan and Security</w:t>
              </w:r>
            </w:hyperlink>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184">
              <w:r>
                <w:rPr>
                  <w:rFonts w:ascii="Arial" w:cs="Arial" w:eastAsia="Arial" w:hAnsi="Arial"/>
                  <w:sz w:val="18"/>
                  <w:szCs w:val="18"/>
                  <w:color w:val="0000FF"/>
                  <w:w w:val="93"/>
                </w:rPr>
                <w:t>Agreement, dated as of April 16, 2018, by and among Wells Fargo Capital</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Finance, LLC, as the arranger and administrative agent, the lenders party</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184">
              <w:r>
                <w:rPr>
                  <w:rFonts w:ascii="Arial" w:cs="Arial" w:eastAsia="Arial" w:hAnsi="Arial"/>
                  <w:sz w:val="18"/>
                  <w:szCs w:val="18"/>
                  <w:color w:val="0000FF"/>
                  <w:w w:val="93"/>
                </w:rPr>
                <w:t>thereto, LSB Industries, Inc. and its subsidiaries identified on the signature</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pages thereto as borrowers and the Company’s subsidiaries identified on the</w:t>
              </w:r>
            </w:hyperlink>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4">
              <w:r>
                <w:rPr>
                  <w:rFonts w:ascii="Arial" w:cs="Arial" w:eastAsia="Arial" w:hAnsi="Arial"/>
                  <w:sz w:val="18"/>
                  <w:szCs w:val="18"/>
                  <w:color w:val="0000FF"/>
                </w:rPr>
                <w:t>signature pages thereto as guarantors.</w:t>
              </w:r>
            </w:hyperlink>
          </w:p>
        </w:tc>
      </w:tr>
      <w:tr>
        <w:trPr>
          <w:trHeight w:val="20"/>
        </w:trPr>
        <w:tc>
          <w:tcPr>
            <w:tcW w:w="1300" w:type="dxa"/>
            <w:vAlign w:val="bottom"/>
          </w:tcPr>
          <w:p>
            <w:pPr>
              <w:spacing w:after="0" w:line="20" w:lineRule="exact"/>
              <w:rPr>
                <w:sz w:val="1"/>
                <w:szCs w:val="1"/>
                <w:color w:val="auto"/>
              </w:rPr>
            </w:pPr>
          </w:p>
        </w:tc>
        <w:tc>
          <w:tcPr>
            <w:tcW w:w="2700" w:type="dxa"/>
            <w:vAlign w:val="bottom"/>
            <w:tcBorders>
              <w:right w:val="single" w:sz="8" w:color="0000EE"/>
            </w:tcBorders>
            <w:gridSpan w:val="4"/>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10.30</w:t>
            </w:r>
          </w:p>
        </w:tc>
        <w:tc>
          <w:tcPr>
            <w:tcW w:w="5500" w:type="dxa"/>
            <w:vAlign w:val="bottom"/>
            <w:tcBorders>
              <w:bottom w:val="single" w:sz="8" w:color="0000FF"/>
            </w:tcBorders>
            <w:gridSpan w:val="12"/>
          </w:tcPr>
          <w:p>
            <w:pP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Second Amendment to Third Amended and Restated Loan and Security</w:t>
              </w:r>
            </w:hyperlink>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7"/>
              </w:rPr>
            </w:pPr>
            <w:hyperlink r:id="rId185">
              <w:r>
                <w:rPr>
                  <w:rFonts w:ascii="Arial" w:cs="Arial" w:eastAsia="Arial" w:hAnsi="Arial"/>
                  <w:sz w:val="18"/>
                  <w:szCs w:val="18"/>
                  <w:color w:val="0000FF"/>
                  <w:w w:val="97"/>
                </w:rPr>
                <w:t>Agreement, dated as of February 26, 2019, by and among Wells Fargo</w:t>
              </w:r>
            </w:hyperlink>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2"/>
          </w:tcPr>
          <w:p>
            <w:pPr>
              <w:spacing w:after="0" w:line="195"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Capital Finance, LLC, as the arranger and administrative agent, the lenders</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party thereto, LSB Industries, Inc. and its subsidiaries identified on the</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8"/>
              </w:rPr>
            </w:pPr>
            <w:hyperlink r:id="rId185">
              <w:r>
                <w:rPr>
                  <w:rFonts w:ascii="Arial" w:cs="Arial" w:eastAsia="Arial" w:hAnsi="Arial"/>
                  <w:sz w:val="18"/>
                  <w:szCs w:val="18"/>
                  <w:color w:val="0000FF"/>
                  <w:w w:val="98"/>
                </w:rPr>
                <w:t>signature pages thereto as borrowers and the Company’s subsidiaries</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5">
              <w:r>
                <w:rPr>
                  <w:rFonts w:ascii="Arial" w:cs="Arial" w:eastAsia="Arial" w:hAnsi="Arial"/>
                  <w:sz w:val="18"/>
                  <w:szCs w:val="18"/>
                  <w:color w:val="0000FF"/>
                </w:rPr>
                <w:t>identified on the signature pages thereto as guarantors.</w:t>
              </w:r>
            </w:hyperlink>
          </w:p>
        </w:tc>
      </w:tr>
      <w:tr>
        <w:trPr>
          <w:trHeight w:val="20"/>
        </w:trPr>
        <w:tc>
          <w:tcPr>
            <w:tcW w:w="1300" w:type="dxa"/>
            <w:vAlign w:val="bottom"/>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10.31</w:t>
            </w:r>
          </w:p>
        </w:tc>
        <w:tc>
          <w:tcPr>
            <w:tcW w:w="5520" w:type="dxa"/>
            <w:vAlign w:val="bottom"/>
            <w:tcBorders>
              <w:bottom w:val="single" w:sz="8" w:color="0000FF"/>
            </w:tcBorders>
            <w:gridSpan w:val="13"/>
          </w:tcPr>
          <w:p>
            <w:pPr>
              <w:spacing w:after="0"/>
              <w:rPr>
                <w:rFonts w:ascii="Arial" w:cs="Arial" w:eastAsia="Arial" w:hAnsi="Arial"/>
                <w:sz w:val="18"/>
                <w:szCs w:val="18"/>
                <w:color w:val="0000FF"/>
                <w:w w:val="99"/>
              </w:rPr>
            </w:pPr>
            <w:hyperlink r:id="rId186">
              <w:r>
                <w:rPr>
                  <w:rFonts w:ascii="Arial" w:cs="Arial" w:eastAsia="Arial" w:hAnsi="Arial"/>
                  <w:sz w:val="18"/>
                  <w:szCs w:val="18"/>
                  <w:color w:val="0000FF"/>
                  <w:w w:val="99"/>
                </w:rPr>
                <w:t>Third Amendment to Third Amended and Restated Loan and Security</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Agreement, dated as of April 20, 2020, by and among Wells Fargo Capital</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4"/>
              </w:rPr>
            </w:pPr>
            <w:hyperlink r:id="rId186">
              <w:r>
                <w:rPr>
                  <w:rFonts w:ascii="Arial" w:cs="Arial" w:eastAsia="Arial" w:hAnsi="Arial"/>
                  <w:sz w:val="18"/>
                  <w:szCs w:val="18"/>
                  <w:color w:val="0000FF"/>
                  <w:w w:val="94"/>
                </w:rPr>
                <w:t>Finance, LLC, as the arranger and administrative agent, the lenders party</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thereto, LSB Industries, Inc. and its subsidiaries identified on the signature</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pages thereto as borrowers and the Company’s subsidiaries identified on the</w:t>
              </w:r>
            </w:hyperlink>
          </w:p>
        </w:tc>
      </w:tr>
      <w:tr>
        <w:trPr>
          <w:trHeight w:val="196"/>
        </w:trPr>
        <w:tc>
          <w:tcPr>
            <w:tcW w:w="1300" w:type="dxa"/>
            <w:vAlign w:val="bottom"/>
          </w:tcPr>
          <w:p>
            <w:pPr>
              <w:spacing w:after="0"/>
              <w:rPr>
                <w:sz w:val="17"/>
                <w:szCs w:val="17"/>
                <w:color w:val="auto"/>
              </w:rPr>
            </w:pPr>
          </w:p>
        </w:tc>
        <w:tc>
          <w:tcPr>
            <w:tcW w:w="2700" w:type="dxa"/>
            <w:vAlign w:val="bottom"/>
            <w:tcBorders>
              <w:bottom w:val="single" w:sz="8" w:color="0000FF"/>
            </w:tcBorders>
            <w:gridSpan w:val="4"/>
          </w:tcPr>
          <w:p>
            <w:pPr>
              <w:spacing w:after="0" w:line="195" w:lineRule="exact"/>
              <w:rPr>
                <w:rFonts w:ascii="Arial" w:cs="Arial" w:eastAsia="Arial" w:hAnsi="Arial"/>
                <w:sz w:val="18"/>
                <w:szCs w:val="18"/>
                <w:color w:val="0000FF"/>
                <w:w w:val="87"/>
              </w:rPr>
            </w:pPr>
            <w:hyperlink r:id="rId186">
              <w:r>
                <w:rPr>
                  <w:rFonts w:ascii="Arial" w:cs="Arial" w:eastAsia="Arial" w:hAnsi="Arial"/>
                  <w:sz w:val="18"/>
                  <w:szCs w:val="18"/>
                  <w:color w:val="0000FF"/>
                  <w:w w:val="87"/>
                </w:rPr>
                <w:t>signature pages thereto as guarantors</w:t>
              </w:r>
            </w:hyperlink>
          </w:p>
        </w:tc>
        <w:tc>
          <w:tcPr>
            <w:tcW w:w="2840" w:type="dxa"/>
            <w:vAlign w:val="bottom"/>
            <w:gridSpan w:val="10"/>
          </w:tcPr>
          <w:p>
            <w:pPr>
              <w:spacing w:after="0"/>
              <w:rPr>
                <w:sz w:val="17"/>
                <w:szCs w:val="17"/>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10.32</w:t>
            </w:r>
          </w:p>
        </w:tc>
        <w:tc>
          <w:tcPr>
            <w:tcW w:w="5520" w:type="dxa"/>
            <w:vAlign w:val="bottom"/>
            <w:tcBorders>
              <w:bottom w:val="single" w:sz="8" w:color="0000FF"/>
            </w:tcBorders>
            <w:gridSpan w:val="13"/>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Consent and Fourth Amendment to Third Amended and Restated Loan and</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Security Agreement, dated as of September 22, 2021, by and among Wells</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3"/>
              </w:rPr>
            </w:pPr>
            <w:hyperlink r:id="rId187">
              <w:r>
                <w:rPr>
                  <w:rFonts w:ascii="Arial" w:cs="Arial" w:eastAsia="Arial" w:hAnsi="Arial"/>
                  <w:sz w:val="18"/>
                  <w:szCs w:val="18"/>
                  <w:color w:val="0000FF"/>
                  <w:w w:val="93"/>
                </w:rPr>
                <w:t>Fargo Capital Finance, LLC, as the arranger and administrative agent, the</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187">
              <w:r>
                <w:rPr>
                  <w:rFonts w:ascii="Arial" w:cs="Arial" w:eastAsia="Arial" w:hAnsi="Arial"/>
                  <w:sz w:val="18"/>
                  <w:szCs w:val="18"/>
                  <w:color w:val="0000FF"/>
                  <w:w w:val="93"/>
                </w:rPr>
                <w:t>lenders party thereto, LSB Industries, Inc. and its subsidiaries identified on</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40" w:type="dxa"/>
            <w:vAlign w:val="bottom"/>
            <w:tcBorders>
              <w:bottom w:val="single" w:sz="8" w:color="0000FF"/>
            </w:tcBorders>
            <w:gridSpan w:val="14"/>
          </w:tcPr>
          <w:p>
            <w:pPr>
              <w:spacing w:after="0" w:line="195" w:lineRule="exact"/>
              <w:rPr>
                <w:rFonts w:ascii="Arial" w:cs="Arial" w:eastAsia="Arial" w:hAnsi="Arial"/>
                <w:sz w:val="18"/>
                <w:szCs w:val="18"/>
                <w:color w:val="0000FF"/>
                <w:w w:val="93"/>
              </w:rPr>
            </w:pPr>
            <w:hyperlink r:id="rId187">
              <w:r>
                <w:rPr>
                  <w:rFonts w:ascii="Arial" w:cs="Arial" w:eastAsia="Arial" w:hAnsi="Arial"/>
                  <w:sz w:val="18"/>
                  <w:szCs w:val="18"/>
                  <w:color w:val="0000FF"/>
                  <w:w w:val="93"/>
                </w:rPr>
                <w:t>the signature pages thereto as borrowers and the Company’s subsidiaries</w:t>
              </w:r>
            </w:hyperlink>
          </w:p>
        </w:tc>
      </w:tr>
      <w:tr>
        <w:trPr>
          <w:trHeight w:val="196"/>
        </w:trPr>
        <w:tc>
          <w:tcPr>
            <w:tcW w:w="1300" w:type="dxa"/>
            <w:vAlign w:val="bottom"/>
          </w:tcPr>
          <w:p>
            <w:pPr>
              <w:spacing w:after="0"/>
              <w:rPr>
                <w:sz w:val="17"/>
                <w:szCs w:val="17"/>
                <w:color w:val="auto"/>
              </w:rPr>
            </w:pPr>
          </w:p>
        </w:tc>
        <w:tc>
          <w:tcPr>
            <w:tcW w:w="5540" w:type="dxa"/>
            <w:vAlign w:val="bottom"/>
            <w:gridSpan w:val="14"/>
          </w:tcPr>
          <w:p>
            <w:pPr>
              <w:spacing w:after="0" w:line="195" w:lineRule="exact"/>
              <w:rPr>
                <w:rFonts w:ascii="Arial" w:cs="Arial" w:eastAsia="Arial" w:hAnsi="Arial"/>
                <w:sz w:val="18"/>
                <w:szCs w:val="18"/>
                <w:color w:val="0000FF"/>
              </w:rPr>
            </w:pPr>
            <w:hyperlink r:id="rId187">
              <w:r>
                <w:rPr>
                  <w:rFonts w:ascii="Arial" w:cs="Arial" w:eastAsia="Arial" w:hAnsi="Arial"/>
                  <w:sz w:val="18"/>
                  <w:szCs w:val="18"/>
                  <w:color w:val="0000FF"/>
                </w:rPr>
                <w:t>identified on the signature pages thereto as guarantors</w:t>
              </w:r>
            </w:hyperlink>
          </w:p>
        </w:tc>
      </w:tr>
      <w:tr>
        <w:trPr>
          <w:trHeight w:val="20"/>
        </w:trPr>
        <w:tc>
          <w:tcPr>
            <w:tcW w:w="1300" w:type="dxa"/>
            <w:vAlign w:val="bottom"/>
          </w:tcPr>
          <w:p>
            <w:pPr>
              <w:spacing w:after="0" w:line="20" w:lineRule="exact"/>
              <w:rPr>
                <w:sz w:val="1"/>
                <w:szCs w:val="1"/>
                <w:color w:val="auto"/>
              </w:rPr>
            </w:pPr>
          </w:p>
        </w:tc>
        <w:tc>
          <w:tcPr>
            <w:tcW w:w="390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90"/>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10.33</w:t>
            </w:r>
          </w:p>
        </w:tc>
        <w:tc>
          <w:tcPr>
            <w:tcW w:w="5320" w:type="dxa"/>
            <w:vAlign w:val="bottom"/>
            <w:tcBorders>
              <w:bottom w:val="single" w:sz="8" w:color="0000FF"/>
            </w:tcBorders>
            <w:gridSpan w:val="11"/>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Consent and Fifth Amendment to Third Amended and Restated Loan and</w:t>
              </w:r>
            </w:hyperlink>
          </w:p>
        </w:tc>
        <w:tc>
          <w:tcPr>
            <w:tcW w:w="22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4040" w:type="dxa"/>
            <w:vAlign w:val="bottom"/>
            <w:tcBorders>
              <w:bottom w:val="single" w:sz="8" w:color="0000EE"/>
            </w:tcBorders>
            <w:gridSpan w:val="6"/>
          </w:tcPr>
          <w:p>
            <w:pPr>
              <w:spacing w:after="0" w:line="195"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Security Agreement, dated as of March 2, 2022, by and</w:t>
              </w:r>
            </w:hyperlink>
          </w:p>
        </w:tc>
        <w:tc>
          <w:tcPr>
            <w:tcW w:w="1500" w:type="dxa"/>
            <w:vAlign w:val="bottom"/>
            <w:gridSpan w:val="8"/>
          </w:tcPr>
          <w:p>
            <w:pPr>
              <w:spacing w:after="0"/>
              <w:rPr>
                <w:sz w:val="17"/>
                <w:szCs w:val="17"/>
                <w:color w:val="auto"/>
              </w:rPr>
            </w:pPr>
          </w:p>
        </w:tc>
      </w:tr>
      <w:tr>
        <w:trPr>
          <w:trHeight w:val="465"/>
        </w:trPr>
        <w:tc>
          <w:tcPr>
            <w:tcW w:w="1300" w:type="dxa"/>
            <w:vAlign w:val="bottom"/>
          </w:tcPr>
          <w:p>
            <w:pPr>
              <w:spacing w:after="0"/>
              <w:rPr>
                <w:sz w:val="24"/>
                <w:szCs w:val="24"/>
                <w:color w:val="auto"/>
              </w:rPr>
            </w:pPr>
          </w:p>
        </w:tc>
        <w:tc>
          <w:tcPr>
            <w:tcW w:w="4520" w:type="dxa"/>
            <w:vAlign w:val="bottom"/>
            <w:gridSpan w:val="9"/>
          </w:tcPr>
          <w:p>
            <w:pPr>
              <w:ind w:left="41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8"/>
          <w:szCs w:val="18"/>
          <w:color w:val="auto"/>
        </w:rPr>
        <w:t>Exhibit 99.1 to the Company’s Form 8-K filed November 12, 2013</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99.2 to the Company’s Form 8-K filed November 12, 2013</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99.1 to the Company’s Form 8-K filed January 7, 2014</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October 26, 2015</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99.1 to the Company’s Form 8-K filed April 30, 2015</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99.1 to the Company’s Form 8-K filed June 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January 20, 2017</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April 20,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4.1 to the Company’s Form 8-K filed 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10.3 to the Company’s Form 10-Q filed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September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10.1 to the Company’s Form 8-K filed March 3, 2022</w:t>
      </w:r>
    </w:p>
    <w:p>
      <w:pPr>
        <w:sectPr>
          <w:pgSz w:w="11900" w:h="16838" w:orient="portrait"/>
          <w:cols w:equalWidth="0" w:num="2">
            <w:col w:w="6860" w:space="140"/>
            <w:col w:w="4160"/>
          </w:cols>
          <w:pgMar w:left="380" w:top="372" w:right="359" w:bottom="1440" w:gutter="0" w:footer="0" w:header="0"/>
          <w:type w:val="continuous"/>
        </w:sectPr>
      </w:pPr>
    </w:p>
    <w:bookmarkStart w:id="44" w:name="page45"/>
    <w:bookmarkEnd w:id="44"/>
    <w:p>
      <w:pPr>
        <w:spacing w:after="0"/>
        <w:tabs>
          <w:tab w:leader="none" w:pos="3700" w:val="left"/>
          <w:tab w:leader="none" w:pos="772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-60325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372" w:right="359" w:bottom="1440" w:gutter="0" w:footer="0" w:header="0"/>
        </w:sectPr>
      </w:pPr>
    </w:p>
    <w:tbl>
      <w:tblPr>
        <w:tblLayout w:type="fixed"/>
        <w:tblInd w:w="6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4500" w:type="dxa"/>
            <w:vAlign w:val="bottom"/>
            <w:tcBorders>
              <w:bottom w:val="single" w:sz="8" w:color="0000FF"/>
            </w:tcBorders>
            <w:gridSpan w:val="11"/>
          </w:tcPr>
          <w:p>
            <w:pPr>
              <w:spacing w:after="0" w:line="174"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among Wells Fargo Capital Finance, LLC, as the arranger and</w:t>
              </w:r>
            </w:hyperlink>
          </w:p>
        </w:tc>
        <w:tc>
          <w:tcPr>
            <w:tcW w:w="1020" w:type="dxa"/>
            <w:vAlign w:val="bottom"/>
            <w:gridSpan w:val="6"/>
          </w:tcPr>
          <w:p>
            <w:pPr>
              <w:spacing w:after="0"/>
              <w:rPr>
                <w:sz w:val="15"/>
                <w:szCs w:val="15"/>
                <w:color w:val="auto"/>
              </w:rPr>
            </w:pPr>
          </w:p>
        </w:tc>
      </w:tr>
      <w:tr>
        <w:trPr>
          <w:trHeight w:val="196"/>
        </w:trPr>
        <w:tc>
          <w:tcPr>
            <w:tcW w:w="1300" w:type="dxa"/>
            <w:vAlign w:val="bottom"/>
          </w:tcPr>
          <w:p>
            <w:pPr>
              <w:spacing w:after="0"/>
              <w:rPr>
                <w:sz w:val="17"/>
                <w:szCs w:val="17"/>
                <w:color w:val="auto"/>
              </w:rPr>
            </w:pPr>
          </w:p>
        </w:tc>
        <w:tc>
          <w:tcPr>
            <w:tcW w:w="5400" w:type="dxa"/>
            <w:vAlign w:val="bottom"/>
            <w:tcBorders>
              <w:bottom w:val="single" w:sz="8" w:color="0000FF"/>
            </w:tcBorders>
            <w:gridSpan w:val="15"/>
          </w:tcPr>
          <w:p>
            <w:pPr>
              <w:spacing w:after="0" w:line="195"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administrative agent, the lenders party thereto, LSB Industries, Inc. and its</w:t>
              </w:r>
            </w:hyperlink>
          </w:p>
        </w:tc>
        <w:tc>
          <w:tcPr>
            <w:tcW w:w="12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360" w:type="dxa"/>
            <w:vAlign w:val="bottom"/>
            <w:tcBorders>
              <w:bottom w:val="single" w:sz="8" w:color="0000FF"/>
            </w:tcBorders>
            <w:gridSpan w:val="14"/>
          </w:tcPr>
          <w:p>
            <w:pPr>
              <w:spacing w:after="0" w:line="195"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subsidiaries identified on the signature pages thereto as borrowers and the</w:t>
              </w:r>
            </w:hyperlink>
          </w:p>
        </w:tc>
        <w:tc>
          <w:tcPr>
            <w:tcW w:w="16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880" w:type="dxa"/>
            <w:vAlign w:val="bottom"/>
            <w:tcBorders>
              <w:bottom w:val="single" w:sz="8" w:color="0000FF"/>
            </w:tcBorders>
            <w:gridSpan w:val="12"/>
          </w:tcPr>
          <w:p>
            <w:pPr>
              <w:spacing w:after="0" w:line="195"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Company’s subsidiaries identified on the signature pages thereto as</w:t>
              </w:r>
            </w:hyperlink>
          </w:p>
        </w:tc>
        <w:tc>
          <w:tcPr>
            <w:tcW w:w="64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gridSpan w:val="17"/>
          </w:tcPr>
          <w:p>
            <w:pPr>
              <w:spacing w:after="0" w:line="195" w:lineRule="exact"/>
              <w:rPr>
                <w:rFonts w:ascii="Arial" w:cs="Arial" w:eastAsia="Arial" w:hAnsi="Arial"/>
                <w:sz w:val="18"/>
                <w:szCs w:val="18"/>
                <w:color w:val="0000FF"/>
              </w:rPr>
            </w:pPr>
            <w:hyperlink r:id="rId188">
              <w:r>
                <w:rPr>
                  <w:rFonts w:ascii="Arial" w:cs="Arial" w:eastAsia="Arial" w:hAnsi="Arial"/>
                  <w:sz w:val="18"/>
                  <w:szCs w:val="18"/>
                  <w:color w:val="0000FF"/>
                </w:rPr>
                <w:t>guarantors</w:t>
              </w:r>
            </w:hyperlink>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10.34</w:t>
            </w:r>
          </w:p>
        </w:tc>
        <w:tc>
          <w:tcPr>
            <w:tcW w:w="5500" w:type="dxa"/>
            <w:vAlign w:val="bottom"/>
            <w:tcBorders>
              <w:bottom w:val="single" w:sz="8" w:color="0000FF"/>
            </w:tcBorders>
            <w:gridSpan w:val="16"/>
          </w:tcPr>
          <w:p>
            <w:pPr>
              <w:spacing w:after="0"/>
              <w:rPr>
                <w:rFonts w:ascii="Arial" w:cs="Arial" w:eastAsia="Arial" w:hAnsi="Arial"/>
                <w:sz w:val="18"/>
                <w:szCs w:val="18"/>
                <w:color w:val="0000FF"/>
                <w:w w:val="90"/>
              </w:rPr>
            </w:pPr>
            <w:hyperlink r:id="rId191">
              <w:r>
                <w:rPr>
                  <w:rFonts w:ascii="Arial" w:cs="Arial" w:eastAsia="Arial" w:hAnsi="Arial"/>
                  <w:sz w:val="18"/>
                  <w:szCs w:val="18"/>
                  <w:color w:val="0000FF"/>
                  <w:w w:val="90"/>
                </w:rPr>
                <w:t>Joinder Agreement to Intercreditor Agreement, dated November 9, 2015, by</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6"/>
          </w:tcPr>
          <w:p>
            <w:pPr>
              <w:spacing w:after="0" w:line="195" w:lineRule="exact"/>
              <w:rPr>
                <w:rFonts w:ascii="Arial" w:cs="Arial" w:eastAsia="Arial" w:hAnsi="Arial"/>
                <w:sz w:val="18"/>
                <w:szCs w:val="18"/>
                <w:color w:val="0000FF"/>
                <w:w w:val="94"/>
              </w:rPr>
            </w:pPr>
            <w:hyperlink r:id="rId191">
              <w:r>
                <w:rPr>
                  <w:rFonts w:ascii="Arial" w:cs="Arial" w:eastAsia="Arial" w:hAnsi="Arial"/>
                  <w:sz w:val="18"/>
                  <w:szCs w:val="18"/>
                  <w:color w:val="0000FF"/>
                  <w:w w:val="94"/>
                </w:rPr>
                <w:t>and among LSB Funding LLC, Wells Fargo Capital Finance, Inc., as ABL</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Agent, UMB Bank, N.A., as Notes Agent, LSB Industries, Inc. and the</w:t>
              </w:r>
            </w:hyperlink>
          </w:p>
        </w:tc>
      </w:tr>
      <w:tr>
        <w:trPr>
          <w:trHeight w:val="196"/>
        </w:trPr>
        <w:tc>
          <w:tcPr>
            <w:tcW w:w="1300" w:type="dxa"/>
            <w:vAlign w:val="bottom"/>
          </w:tcPr>
          <w:p>
            <w:pPr>
              <w:spacing w:after="0"/>
              <w:rPr>
                <w:sz w:val="17"/>
                <w:szCs w:val="17"/>
                <w:color w:val="auto"/>
              </w:rPr>
            </w:pPr>
          </w:p>
        </w:tc>
        <w:tc>
          <w:tcPr>
            <w:tcW w:w="5520" w:type="dxa"/>
            <w:vAlign w:val="bottom"/>
            <w:gridSpan w:val="17"/>
          </w:tcPr>
          <w:p>
            <w:pPr>
              <w:spacing w:after="0" w:line="195" w:lineRule="exact"/>
              <w:rPr>
                <w:rFonts w:ascii="Arial" w:cs="Arial" w:eastAsia="Arial" w:hAnsi="Arial"/>
                <w:sz w:val="18"/>
                <w:szCs w:val="18"/>
                <w:color w:val="0000FF"/>
              </w:rPr>
            </w:pPr>
            <w:hyperlink r:id="rId191">
              <w:r>
                <w:rPr>
                  <w:rFonts w:ascii="Arial" w:cs="Arial" w:eastAsia="Arial" w:hAnsi="Arial"/>
                  <w:sz w:val="18"/>
                  <w:szCs w:val="18"/>
                  <w:color w:val="0000FF"/>
                </w:rPr>
                <w:t>guarantors party thereto</w:t>
              </w:r>
            </w:hyperlink>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10.35</w:t>
            </w:r>
          </w:p>
        </w:tc>
        <w:tc>
          <w:tcPr>
            <w:tcW w:w="5500" w:type="dxa"/>
            <w:vAlign w:val="bottom"/>
            <w:tcBorders>
              <w:bottom w:val="single" w:sz="8" w:color="0000FF"/>
            </w:tcBorders>
            <w:gridSpan w:val="16"/>
          </w:tcPr>
          <w:p>
            <w:pPr>
              <w:spacing w:after="0"/>
              <w:rPr>
                <w:rFonts w:ascii="Arial" w:cs="Arial" w:eastAsia="Arial" w:hAnsi="Arial"/>
                <w:sz w:val="18"/>
                <w:szCs w:val="18"/>
                <w:color w:val="0000FF"/>
                <w:w w:val="94"/>
              </w:rPr>
            </w:pPr>
            <w:hyperlink r:id="rId192">
              <w:r>
                <w:rPr>
                  <w:rFonts w:ascii="Arial" w:cs="Arial" w:eastAsia="Arial" w:hAnsi="Arial"/>
                  <w:sz w:val="18"/>
                  <w:szCs w:val="18"/>
                  <w:color w:val="0000FF"/>
                  <w:w w:val="94"/>
                </w:rPr>
                <w:t>Amendment No. 1 to Intercreditor Agreement, dated as of April 25, 2018,</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6"/>
          </w:tcPr>
          <w:p>
            <w:pPr>
              <w:spacing w:after="0" w:line="195"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among Wells Fargo Capital Finance, LLC, UMB Bank, n.a. and Wilmington</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Trust, National Association, and acknowledged by LSB Industries, Inc. and</w:t>
              </w:r>
            </w:hyperlink>
          </w:p>
        </w:tc>
      </w:tr>
      <w:tr>
        <w:trPr>
          <w:trHeight w:val="196"/>
        </w:trPr>
        <w:tc>
          <w:tcPr>
            <w:tcW w:w="1300" w:type="dxa"/>
            <w:vAlign w:val="bottom"/>
          </w:tcPr>
          <w:p>
            <w:pPr>
              <w:spacing w:after="0"/>
              <w:rPr>
                <w:sz w:val="17"/>
                <w:szCs w:val="17"/>
                <w:color w:val="auto"/>
              </w:rPr>
            </w:pPr>
          </w:p>
        </w:tc>
        <w:tc>
          <w:tcPr>
            <w:tcW w:w="2820" w:type="dxa"/>
            <w:vAlign w:val="bottom"/>
            <w:tcBorders>
              <w:bottom w:val="single" w:sz="8" w:color="0000FF"/>
            </w:tcBorders>
            <w:gridSpan w:val="7"/>
          </w:tcPr>
          <w:p>
            <w:pPr>
              <w:spacing w:after="0" w:line="195" w:lineRule="exact"/>
              <w:rPr>
                <w:rFonts w:ascii="Arial" w:cs="Arial" w:eastAsia="Arial" w:hAnsi="Arial"/>
                <w:sz w:val="18"/>
                <w:szCs w:val="18"/>
                <w:color w:val="0000FF"/>
                <w:w w:val="89"/>
              </w:rPr>
            </w:pPr>
            <w:hyperlink r:id="rId192">
              <w:r>
                <w:rPr>
                  <w:rFonts w:ascii="Arial" w:cs="Arial" w:eastAsia="Arial" w:hAnsi="Arial"/>
                  <w:sz w:val="18"/>
                  <w:szCs w:val="18"/>
                  <w:color w:val="0000FF"/>
                  <w:w w:val="89"/>
                </w:rPr>
                <w:t>the subsidiary guarantors party thereto.</w:t>
              </w:r>
            </w:hyperlink>
          </w:p>
        </w:tc>
        <w:tc>
          <w:tcPr>
            <w:tcW w:w="2700" w:type="dxa"/>
            <w:vAlign w:val="bottom"/>
            <w:gridSpan w:val="10"/>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10.36</w:t>
            </w:r>
          </w:p>
        </w:tc>
        <w:tc>
          <w:tcPr>
            <w:tcW w:w="5520" w:type="dxa"/>
            <w:vAlign w:val="bottom"/>
            <w:tcBorders>
              <w:bottom w:val="single" w:sz="8" w:color="0000FF"/>
            </w:tcBorders>
            <w:gridSpan w:val="17"/>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Joinder Agreement to Security Agreement, dated November 9, 2015, by and</w:t>
              </w:r>
            </w:hyperlink>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6"/>
          </w:tcPr>
          <w:p>
            <w:pPr>
              <w:spacing w:after="0" w:line="195"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among LSB Funding LLC, UMB Bank, N.A., as Collateral Agent, LSB</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gridSpan w:val="17"/>
          </w:tcPr>
          <w:p>
            <w:pPr>
              <w:spacing w:after="0" w:line="195" w:lineRule="exact"/>
              <w:rPr>
                <w:rFonts w:ascii="Arial" w:cs="Arial" w:eastAsia="Arial" w:hAnsi="Arial"/>
                <w:sz w:val="18"/>
                <w:szCs w:val="18"/>
                <w:color w:val="0000FF"/>
              </w:rPr>
            </w:pPr>
            <w:hyperlink r:id="rId193">
              <w:r>
                <w:rPr>
                  <w:rFonts w:ascii="Arial" w:cs="Arial" w:eastAsia="Arial" w:hAnsi="Arial"/>
                  <w:sz w:val="18"/>
                  <w:szCs w:val="18"/>
                  <w:color w:val="0000FF"/>
                </w:rPr>
                <w:t>Industries, Inc. and the guarantors party thereto</w:t>
              </w:r>
            </w:hyperlink>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10.37</w:t>
            </w:r>
          </w:p>
        </w:tc>
        <w:tc>
          <w:tcPr>
            <w:tcW w:w="5520" w:type="dxa"/>
            <w:vAlign w:val="bottom"/>
            <w:tcBorders>
              <w:bottom w:val="single" w:sz="8" w:color="0000FF"/>
            </w:tcBorders>
            <w:gridSpan w:val="17"/>
          </w:tcPr>
          <w:p>
            <w:pPr>
              <w:spacing w:after="0"/>
              <w:rPr>
                <w:rFonts w:ascii="Arial" w:cs="Arial" w:eastAsia="Arial" w:hAnsi="Arial"/>
                <w:sz w:val="18"/>
                <w:szCs w:val="18"/>
                <w:color w:val="0000FF"/>
                <w:w w:val="94"/>
              </w:rPr>
            </w:pPr>
            <w:hyperlink r:id="rId194">
              <w:r>
                <w:rPr>
                  <w:rFonts w:ascii="Arial" w:cs="Arial" w:eastAsia="Arial" w:hAnsi="Arial"/>
                  <w:sz w:val="18"/>
                  <w:szCs w:val="18"/>
                  <w:color w:val="0000FF"/>
                  <w:w w:val="94"/>
                </w:rPr>
                <w:t>Board  Representation  and  Standstill  Agreement  by  and  among  LSB</w:t>
              </w:r>
            </w:hyperlink>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6"/>
          </w:tcPr>
          <w:p>
            <w:pPr>
              <w:spacing w:after="0" w:line="195" w:lineRule="exact"/>
              <w:rPr>
                <w:rFonts w:ascii="Arial" w:cs="Arial" w:eastAsia="Arial" w:hAnsi="Arial"/>
                <w:sz w:val="18"/>
                <w:szCs w:val="18"/>
                <w:color w:val="0000FF"/>
                <w:w w:val="98"/>
              </w:rPr>
            </w:pPr>
            <w:hyperlink r:id="rId194">
              <w:r>
                <w:rPr>
                  <w:rFonts w:ascii="Arial" w:cs="Arial" w:eastAsia="Arial" w:hAnsi="Arial"/>
                  <w:sz w:val="18"/>
                  <w:szCs w:val="18"/>
                  <w:color w:val="0000FF"/>
                  <w:w w:val="98"/>
                </w:rPr>
                <w:t>Industries, Inc., LSB Funding LLC, Security Benefit Corporation, Todd</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Boehly and the Golsen Holders (as defined therein), dated as of December</w:t>
              </w:r>
            </w:hyperlink>
          </w:p>
        </w:tc>
      </w:tr>
      <w:tr>
        <w:trPr>
          <w:trHeight w:val="196"/>
        </w:trPr>
        <w:tc>
          <w:tcPr>
            <w:tcW w:w="1300" w:type="dxa"/>
            <w:vAlign w:val="bottom"/>
          </w:tcPr>
          <w:p>
            <w:pPr>
              <w:spacing w:after="0"/>
              <w:rPr>
                <w:sz w:val="17"/>
                <w:szCs w:val="17"/>
                <w:color w:val="auto"/>
              </w:rPr>
            </w:pPr>
          </w:p>
        </w:tc>
        <w:tc>
          <w:tcPr>
            <w:tcW w:w="540" w:type="dxa"/>
            <w:vAlign w:val="bottom"/>
            <w:tcBorders>
              <w:bottom w:val="single" w:sz="8" w:color="0000FF"/>
            </w:tcBorders>
          </w:tcPr>
          <w:p>
            <w:pPr>
              <w:spacing w:after="0" w:line="195" w:lineRule="exact"/>
              <w:rPr>
                <w:rFonts w:ascii="Arial" w:cs="Arial" w:eastAsia="Arial" w:hAnsi="Arial"/>
                <w:sz w:val="18"/>
                <w:szCs w:val="18"/>
                <w:color w:val="0000FF"/>
                <w:w w:val="86"/>
              </w:rPr>
            </w:pPr>
            <w:hyperlink r:id="rId194">
              <w:r>
                <w:rPr>
                  <w:rFonts w:ascii="Arial" w:cs="Arial" w:eastAsia="Arial" w:hAnsi="Arial"/>
                  <w:sz w:val="18"/>
                  <w:szCs w:val="18"/>
                  <w:color w:val="0000FF"/>
                  <w:w w:val="86"/>
                </w:rPr>
                <w:t>4, 2015</w:t>
              </w:r>
            </w:hyperlink>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10.38</w:t>
            </w:r>
          </w:p>
        </w:tc>
        <w:tc>
          <w:tcPr>
            <w:tcW w:w="5520" w:type="dxa"/>
            <w:vAlign w:val="bottom"/>
            <w:tcBorders>
              <w:bottom w:val="single" w:sz="8" w:color="0000FF"/>
            </w:tcBorders>
            <w:gridSpan w:val="17"/>
          </w:tcPr>
          <w:p>
            <w:pPr>
              <w:spacing w:after="0"/>
              <w:rPr>
                <w:rFonts w:ascii="Arial" w:cs="Arial" w:eastAsia="Arial" w:hAnsi="Arial"/>
                <w:sz w:val="18"/>
                <w:szCs w:val="18"/>
                <w:color w:val="0000FF"/>
                <w:w w:val="95"/>
              </w:rPr>
            </w:pPr>
            <w:hyperlink r:id="rId195">
              <w:r>
                <w:rPr>
                  <w:rFonts w:ascii="Arial" w:cs="Arial" w:eastAsia="Arial" w:hAnsi="Arial"/>
                  <w:sz w:val="18"/>
                  <w:szCs w:val="18"/>
                  <w:color w:val="0000FF"/>
                  <w:w w:val="95"/>
                </w:rPr>
                <w:t>Registration Rights Agreement by and between LSB Industries, Inc. and</w:t>
              </w:r>
            </w:hyperlink>
          </w:p>
        </w:tc>
      </w:tr>
      <w:tr>
        <w:trPr>
          <w:trHeight w:val="196"/>
        </w:trPr>
        <w:tc>
          <w:tcPr>
            <w:tcW w:w="130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5"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LSB Funding LLC, dated as of December 4, 2015</w:t>
              </w:r>
            </w:hyperlink>
          </w:p>
        </w:tc>
        <w:tc>
          <w:tcPr>
            <w:tcW w:w="1920" w:type="dxa"/>
            <w:vAlign w:val="bottom"/>
            <w:gridSpan w:val="8"/>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10.39</w:t>
            </w:r>
          </w:p>
        </w:tc>
        <w:tc>
          <w:tcPr>
            <w:tcW w:w="5520" w:type="dxa"/>
            <w:vAlign w:val="bottom"/>
            <w:tcBorders>
              <w:bottom w:val="single" w:sz="8" w:color="0000FF"/>
            </w:tcBorders>
            <w:gridSpan w:val="17"/>
          </w:tcPr>
          <w:p>
            <w:pPr>
              <w:spacing w:after="0"/>
              <w:rPr>
                <w:rFonts w:ascii="Arial" w:cs="Arial" w:eastAsia="Arial" w:hAnsi="Arial"/>
                <w:sz w:val="18"/>
                <w:szCs w:val="18"/>
                <w:color w:val="0000FF"/>
              </w:rPr>
            </w:pPr>
            <w:hyperlink r:id="rId196">
              <w:r>
                <w:rPr>
                  <w:rFonts w:ascii="Arial" w:cs="Arial" w:eastAsia="Arial" w:hAnsi="Arial"/>
                  <w:sz w:val="18"/>
                  <w:szCs w:val="18"/>
                  <w:color w:val="0000FF"/>
                </w:rPr>
                <w:t>Letter Agreement, dated as of August 12, 2016, by and among LSB</w:t>
              </w:r>
            </w:hyperlink>
          </w:p>
        </w:tc>
      </w:tr>
      <w:tr>
        <w:trPr>
          <w:trHeight w:val="196"/>
        </w:trPr>
        <w:tc>
          <w:tcPr>
            <w:tcW w:w="1300" w:type="dxa"/>
            <w:vAlign w:val="bottom"/>
          </w:tcPr>
          <w:p>
            <w:pPr>
              <w:spacing w:after="0"/>
              <w:rPr>
                <w:sz w:val="17"/>
                <w:szCs w:val="17"/>
                <w:color w:val="auto"/>
              </w:rPr>
            </w:pPr>
          </w:p>
        </w:tc>
        <w:tc>
          <w:tcPr>
            <w:tcW w:w="5520" w:type="dxa"/>
            <w:vAlign w:val="bottom"/>
            <w:gridSpan w:val="17"/>
          </w:tcPr>
          <w:p>
            <w:pPr>
              <w:spacing w:after="0" w:line="195" w:lineRule="exact"/>
              <w:rPr>
                <w:rFonts w:ascii="Arial" w:cs="Arial" w:eastAsia="Arial" w:hAnsi="Arial"/>
                <w:sz w:val="18"/>
                <w:szCs w:val="18"/>
                <w:color w:val="0000FF"/>
              </w:rPr>
            </w:pPr>
            <w:hyperlink r:id="rId196">
              <w:r>
                <w:rPr>
                  <w:rFonts w:ascii="Arial" w:cs="Arial" w:eastAsia="Arial" w:hAnsi="Arial"/>
                  <w:sz w:val="18"/>
                  <w:szCs w:val="18"/>
                  <w:color w:val="0000FF"/>
                </w:rPr>
                <w:t>Industries, Inc., LSB Funding LLC and Security Benefit Corporation</w:t>
              </w:r>
            </w:hyperlink>
          </w:p>
        </w:tc>
      </w:tr>
      <w:tr>
        <w:trPr>
          <w:trHeight w:val="20"/>
        </w:trPr>
        <w:tc>
          <w:tcPr>
            <w:tcW w:w="1300" w:type="dxa"/>
            <w:vAlign w:val="bottom"/>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10.40*</w:t>
            </w:r>
          </w:p>
        </w:tc>
        <w:tc>
          <w:tcPr>
            <w:tcW w:w="5520" w:type="dxa"/>
            <w:vAlign w:val="bottom"/>
            <w:tcBorders>
              <w:bottom w:val="single" w:sz="8" w:color="0000FF"/>
            </w:tcBorders>
            <w:gridSpan w:val="17"/>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Transition Agreement dated June 30, 2017 by and between Jack E. Golsen</w:t>
              </w:r>
            </w:hyperlink>
          </w:p>
        </w:tc>
      </w:tr>
      <w:tr>
        <w:trPr>
          <w:trHeight w:val="196"/>
        </w:trPr>
        <w:tc>
          <w:tcPr>
            <w:tcW w:w="1300" w:type="dxa"/>
            <w:vAlign w:val="bottom"/>
          </w:tcPr>
          <w:p>
            <w:pPr>
              <w:spacing w:after="0"/>
              <w:rPr>
                <w:sz w:val="17"/>
                <w:szCs w:val="17"/>
                <w:color w:val="auto"/>
              </w:rPr>
            </w:pPr>
          </w:p>
        </w:tc>
        <w:tc>
          <w:tcPr>
            <w:tcW w:w="1760" w:type="dxa"/>
            <w:vAlign w:val="bottom"/>
            <w:tcBorders>
              <w:bottom w:val="single" w:sz="8" w:color="0000FF"/>
            </w:tcBorders>
            <w:gridSpan w:val="5"/>
          </w:tcPr>
          <w:p>
            <w:pPr>
              <w:spacing w:after="0" w:line="195"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and LSB Industries, Inc.</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11"/>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10.41</w:t>
            </w:r>
          </w:p>
        </w:tc>
        <w:tc>
          <w:tcPr>
            <w:tcW w:w="5500" w:type="dxa"/>
            <w:vAlign w:val="bottom"/>
            <w:tcBorders>
              <w:bottom w:val="single" w:sz="8" w:color="0000FF"/>
            </w:tcBorders>
            <w:gridSpan w:val="16"/>
          </w:tcPr>
          <w:p>
            <w:pPr>
              <w:spacing w:after="0"/>
              <w:rPr>
                <w:rFonts w:ascii="Arial" w:cs="Arial" w:eastAsia="Arial" w:hAnsi="Arial"/>
                <w:sz w:val="18"/>
                <w:szCs w:val="18"/>
                <w:color w:val="0000FF"/>
                <w:w w:val="96"/>
              </w:rPr>
            </w:pPr>
            <w:hyperlink r:id="rId198">
              <w:r>
                <w:rPr>
                  <w:rFonts w:ascii="Arial" w:cs="Arial" w:eastAsia="Arial" w:hAnsi="Arial"/>
                  <w:sz w:val="18"/>
                  <w:szCs w:val="18"/>
                  <w:color w:val="0000FF"/>
                  <w:w w:val="96"/>
                </w:rPr>
                <w:t>Amendment, dated October 26, 2017, to the Board Representation and</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6"/>
          </w:tcPr>
          <w:p>
            <w:pPr>
              <w:spacing w:after="0" w:line="195"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Standstill Agreement by and between LSB Industries, Inc., LSB Funding</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LLC, Security Benefit Corporation, Todd Boehly, Jack E. Golsen, Barry H.</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rPr>
            </w:pPr>
            <w:hyperlink r:id="rId198">
              <w:r>
                <w:rPr>
                  <w:rFonts w:ascii="Arial" w:cs="Arial" w:eastAsia="Arial" w:hAnsi="Arial"/>
                  <w:sz w:val="18"/>
                  <w:szCs w:val="18"/>
                  <w:color w:val="0000FF"/>
                </w:rPr>
                <w:t>Golsen, Linda Golsen Rappaport, Golsen Family LLC, SBL LLC and</w:t>
              </w:r>
            </w:hyperlink>
          </w:p>
        </w:tc>
      </w:tr>
      <w:tr>
        <w:trPr>
          <w:trHeight w:val="196"/>
        </w:trPr>
        <w:tc>
          <w:tcPr>
            <w:tcW w:w="1300" w:type="dxa"/>
            <w:vAlign w:val="bottom"/>
          </w:tcPr>
          <w:p>
            <w:pPr>
              <w:spacing w:after="0"/>
              <w:rPr>
                <w:sz w:val="17"/>
                <w:szCs w:val="17"/>
                <w:color w:val="auto"/>
              </w:rPr>
            </w:pPr>
          </w:p>
        </w:tc>
        <w:tc>
          <w:tcPr>
            <w:tcW w:w="5520" w:type="dxa"/>
            <w:vAlign w:val="bottom"/>
            <w:gridSpan w:val="17"/>
          </w:tcPr>
          <w:p>
            <w:pPr>
              <w:spacing w:after="0" w:line="195" w:lineRule="exact"/>
              <w:rPr>
                <w:rFonts w:ascii="Arial" w:cs="Arial" w:eastAsia="Arial" w:hAnsi="Arial"/>
                <w:sz w:val="18"/>
                <w:szCs w:val="18"/>
                <w:color w:val="0000FF"/>
              </w:rPr>
            </w:pPr>
            <w:hyperlink r:id="rId198">
              <w:r>
                <w:rPr>
                  <w:rFonts w:ascii="Arial" w:cs="Arial" w:eastAsia="Arial" w:hAnsi="Arial"/>
                  <w:sz w:val="18"/>
                  <w:szCs w:val="18"/>
                  <w:color w:val="0000FF"/>
                </w:rPr>
                <w:t>Golsen Petroleum Corp., dated as of December 4, 2015</w:t>
              </w:r>
            </w:hyperlink>
          </w:p>
        </w:tc>
      </w:tr>
      <w:tr>
        <w:trPr>
          <w:trHeight w:val="20"/>
        </w:trPr>
        <w:tc>
          <w:tcPr>
            <w:tcW w:w="1300" w:type="dxa"/>
            <w:vAlign w:val="bottom"/>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tcBorders>
              <w:right w:val="single" w:sz="8" w:color="0000EE"/>
            </w:tcBorders>
            <w:gridSpan w:val="7"/>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10.42</w:t>
            </w:r>
          </w:p>
        </w:tc>
        <w:tc>
          <w:tcPr>
            <w:tcW w:w="5520" w:type="dxa"/>
            <w:vAlign w:val="bottom"/>
            <w:tcBorders>
              <w:bottom w:val="single" w:sz="8" w:color="0000FF"/>
            </w:tcBorders>
            <w:gridSpan w:val="17"/>
          </w:tcPr>
          <w:p>
            <w:pPr>
              <w:spacing w:after="0"/>
              <w:rPr>
                <w:rFonts w:ascii="Arial" w:cs="Arial" w:eastAsia="Arial" w:hAnsi="Arial"/>
                <w:sz w:val="18"/>
                <w:szCs w:val="18"/>
                <w:color w:val="0000FF"/>
                <w:w w:val="91"/>
              </w:rPr>
            </w:pPr>
            <w:hyperlink r:id="rId199">
              <w:r>
                <w:rPr>
                  <w:rFonts w:ascii="Arial" w:cs="Arial" w:eastAsia="Arial" w:hAnsi="Arial"/>
                  <w:sz w:val="18"/>
                  <w:szCs w:val="18"/>
                  <w:color w:val="0000FF"/>
                  <w:w w:val="91"/>
                </w:rPr>
                <w:t>Amendment to Board Representation and Standstill Agreement, dated as of</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w w:val="94"/>
              </w:rPr>
            </w:pPr>
            <w:hyperlink r:id="rId199">
              <w:r>
                <w:rPr>
                  <w:rFonts w:ascii="Arial" w:cs="Arial" w:eastAsia="Arial" w:hAnsi="Arial"/>
                  <w:sz w:val="18"/>
                  <w:szCs w:val="18"/>
                  <w:color w:val="0000FF"/>
                  <w:w w:val="94"/>
                </w:rPr>
                <w:t>October 18, 2018, by and among LSB Industries, Inc., LSB Funding LLC,</w:t>
              </w:r>
            </w:hyperlink>
          </w:p>
        </w:tc>
      </w:tr>
      <w:tr>
        <w:trPr>
          <w:trHeight w:val="196"/>
        </w:trPr>
        <w:tc>
          <w:tcPr>
            <w:tcW w:w="1300" w:type="dxa"/>
            <w:vAlign w:val="bottom"/>
          </w:tcPr>
          <w:p>
            <w:pPr>
              <w:spacing w:after="0"/>
              <w:rPr>
                <w:sz w:val="17"/>
                <w:szCs w:val="17"/>
                <w:color w:val="auto"/>
              </w:rPr>
            </w:pPr>
          </w:p>
        </w:tc>
        <w:tc>
          <w:tcPr>
            <w:tcW w:w="5520" w:type="dxa"/>
            <w:vAlign w:val="bottom"/>
            <w:tcBorders>
              <w:bottom w:val="single" w:sz="8" w:color="0000FF"/>
            </w:tcBorders>
            <w:gridSpan w:val="17"/>
          </w:tcPr>
          <w:p>
            <w:pPr>
              <w:spacing w:after="0" w:line="195"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Security Benefit Corporation, Todd Boehly and the Golsen Holders (as</w:t>
              </w:r>
            </w:hyperlink>
          </w:p>
        </w:tc>
      </w:tr>
      <w:tr>
        <w:trPr>
          <w:trHeight w:val="196"/>
        </w:trPr>
        <w:tc>
          <w:tcPr>
            <w:tcW w:w="1300" w:type="dxa"/>
            <w:vAlign w:val="bottom"/>
          </w:tcPr>
          <w:p>
            <w:pPr>
              <w:spacing w:after="0"/>
              <w:rPr>
                <w:sz w:val="17"/>
                <w:szCs w:val="17"/>
                <w:color w:val="auto"/>
              </w:rPr>
            </w:pPr>
          </w:p>
        </w:tc>
        <w:tc>
          <w:tcPr>
            <w:tcW w:w="5520" w:type="dxa"/>
            <w:vAlign w:val="bottom"/>
            <w:gridSpan w:val="17"/>
          </w:tcPr>
          <w:p>
            <w:pPr>
              <w:spacing w:after="0" w:line="195" w:lineRule="exact"/>
              <w:rPr>
                <w:rFonts w:ascii="Arial" w:cs="Arial" w:eastAsia="Arial" w:hAnsi="Arial"/>
                <w:sz w:val="18"/>
                <w:szCs w:val="18"/>
                <w:color w:val="0000FF"/>
              </w:rPr>
            </w:pPr>
            <w:hyperlink r:id="rId199">
              <w:r>
                <w:rPr>
                  <w:rFonts w:ascii="Arial" w:cs="Arial" w:eastAsia="Arial" w:hAnsi="Arial"/>
                  <w:sz w:val="18"/>
                  <w:szCs w:val="18"/>
                  <w:color w:val="0000FF"/>
                </w:rPr>
                <w:t>defined therein)</w:t>
              </w:r>
            </w:hyperlink>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10.4 to the Company’s Form 8-K filed November 16, 2015</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April 25, 2018</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10.5 to the Company’s Form 8-K filed November 16, 2015</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10.3 to the Company’s Form 8-K filed December 8, 2015</w:t>
      </w: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10.4 to the Company’s Form 8-K filed December 8, 2015</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August 12, 2016</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on June 30, 2017</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on October 26, 2017</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10.2 to the Company’s Form 8-K filed October 19, 2018</w:t>
      </w:r>
    </w:p>
    <w:p>
      <w:pPr>
        <w:spacing w:after="0" w:line="572" w:lineRule="exact"/>
        <w:rPr>
          <w:sz w:val="20"/>
          <w:szCs w:val="20"/>
          <w:color w:val="auto"/>
        </w:rPr>
      </w:pPr>
    </w:p>
    <w:p>
      <w:pPr>
        <w:sectPr>
          <w:pgSz w:w="11900" w:h="16838" w:orient="portrait"/>
          <w:cols w:equalWidth="0" w:num="2">
            <w:col w:w="6860" w:space="140"/>
            <w:col w:w="4160"/>
          </w:cols>
          <w:pgMar w:left="380" w:top="372" w:right="359" w:bottom="1440" w:gutter="0" w:footer="0" w:header="0"/>
          <w:type w:val="continuous"/>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85090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372" w:right="359" w:bottom="1440" w:gutter="0" w:footer="0" w:header="0"/>
          <w:type w:val="continuous"/>
        </w:sectPr>
      </w:pPr>
    </w:p>
    <w:bookmarkStart w:id="45" w:name="page46"/>
    <w:bookmarkEnd w:id="45"/>
    <w:p>
      <w:pPr>
        <w:ind w:left="60"/>
        <w:spacing w:after="0"/>
        <w:tabs>
          <w:tab w:leader="none" w:pos="3760" w:val="left"/>
          <w:tab w:leader="none" w:pos="7780" w:val="left"/>
        </w:tabs>
        <w:rPr>
          <w:sz w:val="20"/>
          <w:szCs w:val="20"/>
          <w:color w:val="auto"/>
        </w:rPr>
      </w:pPr>
      <w:r>
        <w:rPr>
          <w:rFonts w:ascii="Arial" w:cs="Arial" w:eastAsia="Arial" w:hAnsi="Arial"/>
          <w:sz w:val="28"/>
          <w:szCs w:val="28"/>
          <w:b w:val="1"/>
          <w:bCs w:val="1"/>
          <w:color w:val="auto"/>
          <w:vertAlign w:val="superscript"/>
        </w:rPr>
        <w:t>Exhibit Number</w:t>
      </w:r>
      <w:r>
        <w:rPr>
          <w:sz w:val="20"/>
          <w:szCs w:val="20"/>
          <w:color w:val="auto"/>
        </w:rPr>
        <w:tab/>
      </w:r>
      <w:r>
        <w:rPr>
          <w:rFonts w:ascii="Arial" w:cs="Arial" w:eastAsia="Arial" w:hAnsi="Arial"/>
          <w:sz w:val="14"/>
          <w:szCs w:val="14"/>
          <w:b w:val="1"/>
          <w:bCs w:val="1"/>
          <w:color w:val="auto"/>
        </w:rPr>
        <w:t>Exhibit Title</w:t>
      </w:r>
      <w:r>
        <w:rPr>
          <w:sz w:val="20"/>
          <w:szCs w:val="20"/>
          <w:color w:val="auto"/>
        </w:rPr>
        <w:tab/>
      </w:r>
      <w:r>
        <w:rPr>
          <w:rFonts w:ascii="Arial" w:cs="Arial" w:eastAsia="Arial" w:hAnsi="Arial"/>
          <w:sz w:val="12"/>
          <w:szCs w:val="12"/>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87" w:right="379" w:bottom="1440" w:gutter="0" w:footer="0" w:header="0"/>
        </w:sectPr>
      </w:pP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10.43</w:t>
            </w:r>
          </w:p>
        </w:tc>
        <w:tc>
          <w:tcPr>
            <w:tcW w:w="5500" w:type="dxa"/>
            <w:vAlign w:val="bottom"/>
            <w:tcBorders>
              <w:bottom w:val="single" w:sz="8" w:color="0000FF"/>
            </w:tcBorders>
            <w:gridSpan w:val="18"/>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Amendment and Waiver to Board Representation and Standstill Agreement,</w:t>
              </w:r>
            </w:hyperlink>
          </w:p>
        </w:tc>
      </w:tr>
      <w:tr>
        <w:trPr>
          <w:trHeight w:val="196"/>
        </w:trPr>
        <w:tc>
          <w:tcPr>
            <w:tcW w:w="1300" w:type="dxa"/>
            <w:vAlign w:val="bottom"/>
          </w:tcPr>
          <w:p>
            <w:pPr>
              <w:spacing w:after="0"/>
              <w:rPr>
                <w:sz w:val="17"/>
                <w:szCs w:val="17"/>
                <w:color w:val="auto"/>
              </w:rPr>
            </w:pPr>
          </w:p>
        </w:tc>
        <w:tc>
          <w:tcPr>
            <w:tcW w:w="5280" w:type="dxa"/>
            <w:vAlign w:val="bottom"/>
            <w:tcBorders>
              <w:bottom w:val="single" w:sz="8" w:color="0000FF"/>
            </w:tcBorders>
            <w:gridSpan w:val="15"/>
          </w:tcPr>
          <w:p>
            <w:pPr>
              <w:spacing w:after="0" w:line="195" w:lineRule="exact"/>
              <w:rPr>
                <w:rFonts w:ascii="Arial" w:cs="Arial" w:eastAsia="Arial" w:hAnsi="Arial"/>
                <w:sz w:val="18"/>
                <w:szCs w:val="18"/>
                <w:color w:val="0000FF"/>
                <w:w w:val="89"/>
              </w:rPr>
            </w:pPr>
            <w:hyperlink r:id="rId202">
              <w:r>
                <w:rPr>
                  <w:rFonts w:ascii="Arial" w:cs="Arial" w:eastAsia="Arial" w:hAnsi="Arial"/>
                  <w:sz w:val="18"/>
                  <w:szCs w:val="18"/>
                  <w:color w:val="0000FF"/>
                  <w:w w:val="89"/>
                </w:rPr>
                <w:t>dated as of September 27, 2021, by and among the Company, the Holder</w:t>
              </w:r>
            </w:hyperlink>
          </w:p>
        </w:tc>
        <w:tc>
          <w:tcPr>
            <w:tcW w:w="22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00" w:type="dxa"/>
            <w:vAlign w:val="bottom"/>
            <w:gridSpan w:val="18"/>
          </w:tcPr>
          <w:p>
            <w:pPr>
              <w:spacing w:after="0" w:line="195" w:lineRule="exact"/>
              <w:rPr>
                <w:rFonts w:ascii="Arial" w:cs="Arial" w:eastAsia="Arial" w:hAnsi="Arial"/>
                <w:sz w:val="18"/>
                <w:szCs w:val="18"/>
                <w:color w:val="0000FF"/>
              </w:rPr>
            </w:pPr>
            <w:hyperlink r:id="rId202">
              <w:r>
                <w:rPr>
                  <w:rFonts w:ascii="Arial" w:cs="Arial" w:eastAsia="Arial" w:hAnsi="Arial"/>
                  <w:sz w:val="18"/>
                  <w:szCs w:val="18"/>
                  <w:color w:val="0000FF"/>
                </w:rPr>
                <w:t>and the other parties thereto</w:t>
              </w:r>
            </w:hyperlink>
          </w:p>
        </w:tc>
      </w:tr>
      <w:tr>
        <w:trPr>
          <w:trHeight w:val="20"/>
        </w:trPr>
        <w:tc>
          <w:tcPr>
            <w:tcW w:w="130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10.44</w:t>
            </w:r>
          </w:p>
        </w:tc>
        <w:tc>
          <w:tcPr>
            <w:tcW w:w="5440" w:type="dxa"/>
            <w:vAlign w:val="bottom"/>
            <w:tcBorders>
              <w:bottom w:val="single" w:sz="8" w:color="0000FF"/>
            </w:tcBorders>
            <w:gridSpan w:val="17"/>
          </w:tcPr>
          <w:p>
            <w:pPr>
              <w:spacing w:after="0"/>
              <w:rPr>
                <w:rFonts w:ascii="Arial" w:cs="Arial" w:eastAsia="Arial" w:hAnsi="Arial"/>
                <w:sz w:val="18"/>
                <w:szCs w:val="18"/>
                <w:color w:val="0000FF"/>
                <w:w w:val="90"/>
              </w:rPr>
            </w:pPr>
            <w:hyperlink r:id="rId203">
              <w:r>
                <w:rPr>
                  <w:rFonts w:ascii="Arial" w:cs="Arial" w:eastAsia="Arial" w:hAnsi="Arial"/>
                  <w:sz w:val="18"/>
                  <w:szCs w:val="18"/>
                  <w:color w:val="0000FF"/>
                  <w:w w:val="90"/>
                </w:rPr>
                <w:t>Securities Exchange Agreement, dated July 19, 2021, by and between LSB</w:t>
              </w:r>
            </w:hyperlink>
          </w:p>
        </w:tc>
        <w:tc>
          <w:tcPr>
            <w:tcW w:w="6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500" w:type="dxa"/>
            <w:vAlign w:val="bottom"/>
            <w:gridSpan w:val="18"/>
          </w:tcPr>
          <w:p>
            <w:pPr>
              <w:spacing w:after="0" w:line="195" w:lineRule="exact"/>
              <w:rPr>
                <w:rFonts w:ascii="Arial" w:cs="Arial" w:eastAsia="Arial" w:hAnsi="Arial"/>
                <w:sz w:val="18"/>
                <w:szCs w:val="18"/>
                <w:color w:val="0000FF"/>
              </w:rPr>
            </w:pPr>
            <w:hyperlink r:id="rId203">
              <w:r>
                <w:rPr>
                  <w:rFonts w:ascii="Arial" w:cs="Arial" w:eastAsia="Arial" w:hAnsi="Arial"/>
                  <w:sz w:val="18"/>
                  <w:szCs w:val="18"/>
                  <w:color w:val="0000FF"/>
                </w:rPr>
                <w:t>Industries, Inc. and LSB Funding LLC</w:t>
              </w:r>
            </w:hyperlink>
          </w:p>
        </w:tc>
      </w:tr>
      <w:tr>
        <w:trPr>
          <w:trHeight w:val="20"/>
        </w:trPr>
        <w:tc>
          <w:tcPr>
            <w:tcW w:w="130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10.45(a)</w:t>
            </w:r>
          </w:p>
        </w:tc>
        <w:tc>
          <w:tcPr>
            <w:tcW w:w="51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Written Consent of LSB Funding, LLC approving of the incurrence of</w:t>
            </w:r>
          </w:p>
        </w:tc>
        <w:tc>
          <w:tcPr>
            <w:tcW w:w="400" w:type="dxa"/>
            <w:vAlign w:val="bottom"/>
            <w:gridSpan w:val="9"/>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490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89"/>
              </w:rPr>
              <w:t>indebtedness by LSB Industries, Inc., dated September 22, 2021, as</w:t>
            </w:r>
          </w:p>
        </w:tc>
        <w:tc>
          <w:tcPr>
            <w:tcW w:w="600" w:type="dxa"/>
            <w:vAlign w:val="bottom"/>
            <w:gridSpan w:val="11"/>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00" w:type="dxa"/>
            <w:vAlign w:val="bottom"/>
            <w:tcBorders>
              <w:bottom w:val="single" w:sz="8" w:color="0000FF"/>
            </w:tcBorders>
            <w:gridSpan w:val="18"/>
          </w:tcPr>
          <w:p>
            <w:pPr>
              <w:spacing w:after="0" w:line="195" w:lineRule="exact"/>
              <w:rPr>
                <w:sz w:val="20"/>
                <w:szCs w:val="20"/>
                <w:color w:val="auto"/>
              </w:rPr>
            </w:pPr>
            <w:r>
              <w:rPr>
                <w:rFonts w:ascii="Arial" w:cs="Arial" w:eastAsia="Arial" w:hAnsi="Arial"/>
                <w:sz w:val="18"/>
                <w:szCs w:val="18"/>
                <w:color w:val="0000FF"/>
                <w:w w:val="88"/>
              </w:rPr>
              <w:t>amended September 28, 2021, provided pursuant to the Securities Exchange</w:t>
            </w:r>
          </w:p>
        </w:tc>
      </w:tr>
      <w:tr>
        <w:trPr>
          <w:trHeight w:val="196"/>
        </w:trPr>
        <w:tc>
          <w:tcPr>
            <w:tcW w:w="1300" w:type="dxa"/>
            <w:vAlign w:val="bottom"/>
          </w:tcPr>
          <w:p>
            <w:pPr>
              <w:spacing w:after="0"/>
              <w:rPr>
                <w:sz w:val="17"/>
                <w:szCs w:val="17"/>
                <w:color w:val="auto"/>
              </w:rPr>
            </w:pPr>
          </w:p>
        </w:tc>
        <w:tc>
          <w:tcPr>
            <w:tcW w:w="522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0"/>
              </w:rPr>
              <w:t>Agreement, dated as of July 19, 2021, between LSB Industries, Inc. and</w:t>
            </w:r>
          </w:p>
        </w:tc>
        <w:tc>
          <w:tcPr>
            <w:tcW w:w="280" w:type="dxa"/>
            <w:vAlign w:val="bottom"/>
            <w:gridSpan w:val="6"/>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00" w:type="dxa"/>
            <w:vAlign w:val="bottom"/>
            <w:gridSpan w:val="18"/>
          </w:tcPr>
          <w:p>
            <w:pPr>
              <w:spacing w:after="0" w:line="195" w:lineRule="exact"/>
              <w:rPr>
                <w:sz w:val="20"/>
                <w:szCs w:val="20"/>
                <w:color w:val="auto"/>
              </w:rPr>
            </w:pPr>
            <w:r>
              <w:rPr>
                <w:rFonts w:ascii="Arial" w:cs="Arial" w:eastAsia="Arial" w:hAnsi="Arial"/>
                <w:sz w:val="18"/>
                <w:szCs w:val="18"/>
                <w:color w:val="0000FF"/>
              </w:rPr>
              <w:t>LSB Funding, LLC</w:t>
            </w:r>
          </w:p>
        </w:tc>
      </w:tr>
      <w:tr>
        <w:trPr>
          <w:trHeight w:val="20"/>
        </w:trPr>
        <w:tc>
          <w:tcPr>
            <w:tcW w:w="130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10.46</w:t>
            </w:r>
          </w:p>
        </w:tc>
        <w:tc>
          <w:tcPr>
            <w:tcW w:w="5160" w:type="dxa"/>
            <w:vAlign w:val="bottom"/>
            <w:tcBorders>
              <w:bottom w:val="single" w:sz="8" w:color="0000FF"/>
            </w:tcBorders>
            <w:gridSpan w:val="11"/>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Joinder Agreement to Intercreditor Agreement, dated as of October 14,</w:t>
              </w:r>
            </w:hyperlink>
          </w:p>
        </w:tc>
        <w:tc>
          <w:tcPr>
            <w:tcW w:w="340" w:type="dxa"/>
            <w:vAlign w:val="bottom"/>
            <w:gridSpan w:val="7"/>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260" w:type="dxa"/>
            <w:vAlign w:val="bottom"/>
            <w:tcBorders>
              <w:bottom w:val="single" w:sz="8" w:color="0000FF"/>
            </w:tcBorders>
            <w:gridSpan w:val="14"/>
          </w:tcPr>
          <w:p>
            <w:pPr>
              <w:spacing w:after="0" w:line="195"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2021, by Wilmington Trust, National Association, as Notes Trustee, and</w:t>
              </w:r>
            </w:hyperlink>
          </w:p>
        </w:tc>
        <w:tc>
          <w:tcPr>
            <w:tcW w:w="240" w:type="dxa"/>
            <w:vAlign w:val="bottom"/>
            <w:gridSpan w:val="4"/>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120" w:type="dxa"/>
            <w:vAlign w:val="bottom"/>
            <w:tcBorders>
              <w:bottom w:val="single" w:sz="8" w:color="0000FF"/>
            </w:tcBorders>
            <w:gridSpan w:val="10"/>
          </w:tcPr>
          <w:p>
            <w:pPr>
              <w:spacing w:after="0" w:line="195"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acknowledged by Wilmington Trust, National Association, as Existing</w:t>
              </w:r>
            </w:hyperlink>
          </w:p>
        </w:tc>
        <w:tc>
          <w:tcPr>
            <w:tcW w:w="380" w:type="dxa"/>
            <w:vAlign w:val="bottom"/>
            <w:gridSpan w:val="8"/>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440" w:type="dxa"/>
            <w:vAlign w:val="bottom"/>
            <w:tcBorders>
              <w:bottom w:val="single" w:sz="8" w:color="0000FF"/>
            </w:tcBorders>
            <w:gridSpan w:val="17"/>
          </w:tcPr>
          <w:p>
            <w:pPr>
              <w:spacing w:after="0" w:line="195"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Notes Trustee, Wells Fargo Capital Finance, LLC, LSB Industries, Inc. and</w:t>
              </w:r>
            </w:hyperlink>
          </w:p>
        </w:tc>
        <w:tc>
          <w:tcPr>
            <w:tcW w:w="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20" w:type="dxa"/>
            <w:vAlign w:val="bottom"/>
            <w:tcBorders>
              <w:bottom w:val="single" w:sz="8" w:color="0000FF"/>
            </w:tcBorders>
            <w:gridSpan w:val="5"/>
          </w:tcPr>
          <w:p>
            <w:pPr>
              <w:spacing w:after="0" w:line="195"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the subsidiary guarantors party thereto.</w:t>
              </w:r>
            </w:hyperlink>
          </w:p>
        </w:tc>
        <w:tc>
          <w:tcPr>
            <w:tcW w:w="2680" w:type="dxa"/>
            <w:vAlign w:val="bottom"/>
            <w:gridSpan w:val="13"/>
          </w:tcPr>
          <w:p>
            <w:pPr>
              <w:spacing w:after="0"/>
              <w:rPr>
                <w:sz w:val="17"/>
                <w:szCs w:val="17"/>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10.47(a)</w:t>
            </w:r>
          </w:p>
        </w:tc>
        <w:tc>
          <w:tcPr>
            <w:tcW w:w="51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Written Consent of LSB Funding, LLC approving of the incurrence of</w:t>
            </w:r>
          </w:p>
        </w:tc>
        <w:tc>
          <w:tcPr>
            <w:tcW w:w="400" w:type="dxa"/>
            <w:vAlign w:val="bottom"/>
            <w:gridSpan w:val="9"/>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00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18"/>
                <w:szCs w:val="18"/>
                <w:color w:val="0000FF"/>
                <w:w w:val="91"/>
              </w:rPr>
              <w:t>indebtedness by LSB Industries, Inc., dated March 2, 2022, provided</w:t>
            </w:r>
          </w:p>
        </w:tc>
        <w:tc>
          <w:tcPr>
            <w:tcW w:w="500" w:type="dxa"/>
            <w:vAlign w:val="bottom"/>
            <w:gridSpan w:val="10"/>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40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89"/>
              </w:rPr>
              <w:t>pursuant to the Securities Exchange Agreement, dated as of July 19, 2021,</w:t>
            </w:r>
          </w:p>
        </w:tc>
        <w:tc>
          <w:tcPr>
            <w:tcW w:w="10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00" w:type="dxa"/>
            <w:vAlign w:val="bottom"/>
            <w:gridSpan w:val="18"/>
          </w:tcPr>
          <w:p>
            <w:pPr>
              <w:spacing w:after="0" w:line="195" w:lineRule="exact"/>
              <w:rPr>
                <w:sz w:val="20"/>
                <w:szCs w:val="20"/>
                <w:color w:val="auto"/>
              </w:rPr>
            </w:pPr>
            <w:r>
              <w:rPr>
                <w:rFonts w:ascii="Arial" w:cs="Arial" w:eastAsia="Arial" w:hAnsi="Arial"/>
                <w:sz w:val="18"/>
                <w:szCs w:val="18"/>
                <w:color w:val="0000FF"/>
              </w:rPr>
              <w:t>between LSB Industries, Inc. and LSB Funding, LLC</w:t>
            </w:r>
          </w:p>
        </w:tc>
      </w:tr>
      <w:tr>
        <w:trPr>
          <w:trHeight w:val="20"/>
        </w:trPr>
        <w:tc>
          <w:tcPr>
            <w:tcW w:w="130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EE"/>
            </w:tcBorders>
            <w:gridSpan w:val="5"/>
            <w:shd w:val="clear" w:color="auto" w:fill="0000FF"/>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10.48</w:t>
            </w:r>
          </w:p>
        </w:tc>
        <w:tc>
          <w:tcPr>
            <w:tcW w:w="5400" w:type="dxa"/>
            <w:vAlign w:val="bottom"/>
            <w:tcBorders>
              <w:bottom w:val="single" w:sz="8" w:color="0000FF"/>
            </w:tcBorders>
            <w:gridSpan w:val="16"/>
          </w:tcPr>
          <w:p>
            <w:pPr>
              <w:spacing w:after="0"/>
              <w:rPr>
                <w:rFonts w:ascii="Arial" w:cs="Arial" w:eastAsia="Arial" w:hAnsi="Arial"/>
                <w:sz w:val="18"/>
                <w:szCs w:val="18"/>
                <w:color w:val="0000FF"/>
                <w:w w:val="90"/>
              </w:rPr>
            </w:pPr>
            <w:hyperlink r:id="rId205">
              <w:r>
                <w:rPr>
                  <w:rFonts w:ascii="Arial" w:cs="Arial" w:eastAsia="Arial" w:hAnsi="Arial"/>
                  <w:sz w:val="18"/>
                  <w:szCs w:val="18"/>
                  <w:color w:val="0000FF"/>
                  <w:w w:val="90"/>
                </w:rPr>
                <w:t>The Board Representation Letter Agreement, dated as of August 10, 2022,</w:t>
              </w:r>
            </w:hyperlink>
          </w:p>
        </w:tc>
        <w:tc>
          <w:tcPr>
            <w:tcW w:w="10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240" w:type="dxa"/>
            <w:vAlign w:val="bottom"/>
            <w:tcBorders>
              <w:bottom w:val="single" w:sz="8" w:color="0000FF"/>
            </w:tcBorders>
            <w:gridSpan w:val="13"/>
          </w:tcPr>
          <w:p>
            <w:pPr>
              <w:spacing w:after="0" w:line="195"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by and among the Company, LSB Funding, SBT Investors and the other</w:t>
              </w:r>
            </w:hyperlink>
          </w:p>
        </w:tc>
        <w:tc>
          <w:tcPr>
            <w:tcW w:w="26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500" w:type="dxa"/>
            <w:vAlign w:val="bottom"/>
            <w:gridSpan w:val="18"/>
          </w:tcPr>
          <w:p>
            <w:pPr>
              <w:spacing w:after="0" w:line="195" w:lineRule="exact"/>
              <w:rPr>
                <w:rFonts w:ascii="Arial" w:cs="Arial" w:eastAsia="Arial" w:hAnsi="Arial"/>
                <w:sz w:val="18"/>
                <w:szCs w:val="18"/>
                <w:color w:val="0000FF"/>
              </w:rPr>
            </w:pPr>
            <w:hyperlink r:id="rId205">
              <w:r>
                <w:rPr>
                  <w:rFonts w:ascii="Arial" w:cs="Arial" w:eastAsia="Arial" w:hAnsi="Arial"/>
                  <w:sz w:val="18"/>
                  <w:szCs w:val="18"/>
                  <w:color w:val="0000FF"/>
                </w:rPr>
                <w:t>parties thereto</w:t>
              </w:r>
            </w:hyperlink>
          </w:p>
        </w:tc>
      </w:tr>
      <w:tr>
        <w:trPr>
          <w:trHeight w:val="20"/>
        </w:trPr>
        <w:tc>
          <w:tcPr>
            <w:tcW w:w="13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Exhibit 10.1 to the Company’s Form 8-K filed September 27, 2021</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 to the Company’s Form 8-K filed July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10.1 to the Company’s Form 8-K filed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 to the Company’s Form 8-K filed on August 15, 2022</w:t>
      </w:r>
    </w:p>
    <w:p>
      <w:pPr>
        <w:spacing w:after="0" w:line="246" w:lineRule="exact"/>
        <w:rPr>
          <w:sz w:val="20"/>
          <w:szCs w:val="20"/>
          <w:color w:val="auto"/>
        </w:rPr>
      </w:pPr>
    </w:p>
    <w:p>
      <w:pPr>
        <w:sectPr>
          <w:pgSz w:w="11900" w:h="16838" w:orient="portrait"/>
          <w:cols w:equalWidth="0" w:num="2">
            <w:col w:w="6920" w:space="140"/>
            <w:col w:w="4140"/>
          </w:cols>
          <w:pgMar w:left="320" w:top="387" w:right="3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00" w:type="dxa"/>
            <w:vAlign w:val="bottom"/>
          </w:tcPr>
          <w:p>
            <w:pPr>
              <w:jc w:val="right"/>
              <w:ind w:right="810"/>
              <w:spacing w:after="0"/>
              <w:rPr>
                <w:sz w:val="20"/>
                <w:szCs w:val="20"/>
                <w:color w:val="auto"/>
              </w:rPr>
            </w:pPr>
            <w:r>
              <w:rPr>
                <w:rFonts w:ascii="Arial" w:cs="Arial" w:eastAsia="Arial" w:hAnsi="Arial"/>
                <w:sz w:val="18"/>
                <w:szCs w:val="18"/>
                <w:color w:val="auto"/>
                <w:w w:val="84"/>
              </w:rPr>
              <w:t>10.49</w:t>
            </w:r>
          </w:p>
        </w:tc>
        <w:tc>
          <w:tcPr>
            <w:tcW w:w="5380" w:type="dxa"/>
            <w:vAlign w:val="bottom"/>
            <w:tcBorders>
              <w:bottom w:val="single" w:sz="8" w:color="0000FF"/>
            </w:tcBorders>
            <w:gridSpan w:val="2"/>
          </w:tcPr>
          <w:p>
            <w:pPr>
              <w:spacing w:after="0"/>
              <w:rPr>
                <w:rFonts w:ascii="Arial" w:cs="Arial" w:eastAsia="Arial" w:hAnsi="Arial"/>
                <w:sz w:val="18"/>
                <w:szCs w:val="18"/>
                <w:color w:val="0000FF"/>
                <w:w w:val="90"/>
              </w:rPr>
            </w:pPr>
            <w:hyperlink r:id="rId206">
              <w:r>
                <w:rPr>
                  <w:rFonts w:ascii="Arial" w:cs="Arial" w:eastAsia="Arial" w:hAnsi="Arial"/>
                  <w:sz w:val="18"/>
                  <w:szCs w:val="18"/>
                  <w:color w:val="0000FF"/>
                  <w:w w:val="90"/>
                </w:rPr>
                <w:t>The Rights Letter Agreement, dated as of August 10, 2022, by and among</w:t>
              </w:r>
            </w:hyperlink>
          </w:p>
        </w:tc>
      </w:tr>
      <w:tr>
        <w:trPr>
          <w:trHeight w:val="196"/>
        </w:trPr>
        <w:tc>
          <w:tcPr>
            <w:tcW w:w="1300" w:type="dxa"/>
            <w:vAlign w:val="bottom"/>
          </w:tcPr>
          <w:p>
            <w:pPr>
              <w:spacing w:after="0"/>
              <w:rPr>
                <w:sz w:val="17"/>
                <w:szCs w:val="17"/>
                <w:color w:val="auto"/>
              </w:rPr>
            </w:pPr>
          </w:p>
        </w:tc>
        <w:tc>
          <w:tcPr>
            <w:tcW w:w="5380" w:type="dxa"/>
            <w:vAlign w:val="bottom"/>
            <w:gridSpan w:val="2"/>
          </w:tcPr>
          <w:p>
            <w:pPr>
              <w:spacing w:after="0" w:line="195" w:lineRule="exact"/>
              <w:rPr>
                <w:rFonts w:ascii="Arial" w:cs="Arial" w:eastAsia="Arial" w:hAnsi="Arial"/>
                <w:sz w:val="18"/>
                <w:szCs w:val="18"/>
                <w:color w:val="0000FF"/>
              </w:rPr>
            </w:pPr>
            <w:hyperlink r:id="rId206">
              <w:r>
                <w:rPr>
                  <w:rFonts w:ascii="Arial" w:cs="Arial" w:eastAsia="Arial" w:hAnsi="Arial"/>
                  <w:sz w:val="18"/>
                  <w:szCs w:val="18"/>
                  <w:color w:val="0000FF"/>
                </w:rPr>
                <w:t>the Company, LSB Funding and SBT Investors</w:t>
              </w:r>
            </w:hyperlink>
          </w:p>
        </w:tc>
      </w:tr>
      <w:tr>
        <w:trPr>
          <w:trHeight w:val="20"/>
        </w:trPr>
        <w:tc>
          <w:tcPr>
            <w:tcW w:w="1300" w:type="dxa"/>
            <w:vAlign w:val="bottom"/>
          </w:tcPr>
          <w:p>
            <w:pPr>
              <w:spacing w:after="0" w:line="20" w:lineRule="exact"/>
              <w:rPr>
                <w:sz w:val="1"/>
                <w:szCs w:val="1"/>
                <w:color w:val="auto"/>
              </w:rPr>
            </w:pPr>
          </w:p>
        </w:tc>
        <w:tc>
          <w:tcPr>
            <w:tcW w:w="342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Exhibit 10.2 to the Company’s Form 8-K filed on August 15, 2022</w:t>
      </w:r>
    </w:p>
    <w:p>
      <w:pPr>
        <w:spacing w:after="0" w:line="31" w:lineRule="exact"/>
        <w:rPr>
          <w:sz w:val="20"/>
          <w:szCs w:val="20"/>
          <w:color w:val="auto"/>
        </w:rPr>
      </w:pPr>
    </w:p>
    <w:p>
      <w:pPr>
        <w:sectPr>
          <w:pgSz w:w="11900" w:h="16838" w:orient="portrait"/>
          <w:cols w:equalWidth="0" w:num="2">
            <w:col w:w="6800" w:space="260"/>
            <w:col w:w="4140"/>
          </w:cols>
          <w:pgMar w:left="320" w:top="387"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00" w:type="dxa"/>
            <w:vAlign w:val="bottom"/>
          </w:tcPr>
          <w:p>
            <w:pPr>
              <w:ind w:left="100"/>
              <w:spacing w:after="0"/>
              <w:rPr>
                <w:sz w:val="20"/>
                <w:szCs w:val="20"/>
                <w:color w:val="auto"/>
              </w:rPr>
            </w:pPr>
            <w:r>
              <w:rPr>
                <w:rFonts w:ascii="Arial" w:cs="Arial" w:eastAsia="Arial" w:hAnsi="Arial"/>
                <w:sz w:val="18"/>
                <w:szCs w:val="18"/>
                <w:color w:val="auto"/>
              </w:rPr>
              <w:t>21.1(a)</w:t>
            </w:r>
          </w:p>
        </w:tc>
        <w:tc>
          <w:tcPr>
            <w:tcW w:w="5500" w:type="dxa"/>
            <w:vAlign w:val="bottom"/>
            <w:gridSpan w:val="7"/>
          </w:tcPr>
          <w:p>
            <w:pPr>
              <w:spacing w:after="0"/>
              <w:rPr>
                <w:sz w:val="20"/>
                <w:szCs w:val="20"/>
                <w:color w:val="auto"/>
              </w:rPr>
            </w:pPr>
            <w:r>
              <w:rPr>
                <w:rFonts w:ascii="Arial" w:cs="Arial" w:eastAsia="Arial" w:hAnsi="Arial"/>
                <w:sz w:val="18"/>
                <w:szCs w:val="18"/>
                <w:color w:val="0000FF"/>
              </w:rPr>
              <w:t>Subsidiaries of the Company</w:t>
            </w:r>
          </w:p>
        </w:tc>
      </w:tr>
      <w:tr>
        <w:trPr>
          <w:trHeight w:val="20"/>
        </w:trPr>
        <w:tc>
          <w:tcPr>
            <w:tcW w:w="140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90"/>
        </w:trPr>
        <w:tc>
          <w:tcPr>
            <w:tcW w:w="1400" w:type="dxa"/>
            <w:vAlign w:val="bottom"/>
          </w:tcPr>
          <w:p>
            <w:pPr>
              <w:ind w:left="100"/>
              <w:spacing w:after="0"/>
              <w:rPr>
                <w:sz w:val="20"/>
                <w:szCs w:val="20"/>
                <w:color w:val="auto"/>
              </w:rPr>
            </w:pPr>
            <w:r>
              <w:rPr>
                <w:rFonts w:ascii="Arial" w:cs="Arial" w:eastAsia="Arial" w:hAnsi="Arial"/>
                <w:sz w:val="18"/>
                <w:szCs w:val="18"/>
                <w:color w:val="auto"/>
              </w:rPr>
              <w:t>23.1(a)</w:t>
            </w:r>
          </w:p>
        </w:tc>
        <w:tc>
          <w:tcPr>
            <w:tcW w:w="4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1160" w:type="dxa"/>
            <w:vAlign w:val="bottom"/>
          </w:tcPr>
          <w:p>
            <w:pPr>
              <w:spacing w:after="0"/>
              <w:rPr>
                <w:sz w:val="24"/>
                <w:szCs w:val="24"/>
                <w:color w:val="auto"/>
              </w:rPr>
            </w:pPr>
          </w:p>
        </w:tc>
      </w:tr>
      <w:tr>
        <w:trPr>
          <w:trHeight w:val="290"/>
        </w:trPr>
        <w:tc>
          <w:tcPr>
            <w:tcW w:w="1400" w:type="dxa"/>
            <w:vAlign w:val="bottom"/>
          </w:tcPr>
          <w:p>
            <w:pPr>
              <w:ind w:left="100"/>
              <w:spacing w:after="0"/>
              <w:rPr>
                <w:sz w:val="20"/>
                <w:szCs w:val="20"/>
                <w:color w:val="auto"/>
              </w:rPr>
            </w:pPr>
            <w:r>
              <w:rPr>
                <w:rFonts w:ascii="Arial" w:cs="Arial" w:eastAsia="Arial" w:hAnsi="Arial"/>
                <w:sz w:val="18"/>
                <w:szCs w:val="18"/>
                <w:color w:val="auto"/>
              </w:rPr>
              <w:t>31.1(a)</w:t>
            </w:r>
          </w:p>
        </w:tc>
        <w:tc>
          <w:tcPr>
            <w:tcW w:w="5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of Mark T. Behrman, Chief Executive Officer, pursuant to</w:t>
            </w:r>
          </w:p>
        </w:tc>
      </w:tr>
      <w:tr>
        <w:trPr>
          <w:trHeight w:val="196"/>
        </w:trPr>
        <w:tc>
          <w:tcPr>
            <w:tcW w:w="1400" w:type="dxa"/>
            <w:vAlign w:val="bottom"/>
          </w:tcPr>
          <w:p>
            <w:pPr>
              <w:spacing w:after="0"/>
              <w:rPr>
                <w:sz w:val="17"/>
                <w:szCs w:val="17"/>
                <w:color w:val="auto"/>
              </w:rPr>
            </w:pPr>
          </w:p>
        </w:tc>
        <w:tc>
          <w:tcPr>
            <w:tcW w:w="300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Sarbanes-Oxley Act of 2002, Section 302</w:t>
            </w:r>
          </w:p>
        </w:tc>
        <w:tc>
          <w:tcPr>
            <w:tcW w:w="20" w:type="dxa"/>
            <w:vAlign w:val="bottom"/>
            <w:tcBorders>
              <w:bottom w:val="single" w:sz="8" w:color="0000EE"/>
            </w:tcBorders>
          </w:tcPr>
          <w:p>
            <w:pPr>
              <w:spacing w:after="0"/>
              <w:rPr>
                <w:sz w:val="17"/>
                <w:szCs w:val="17"/>
                <w:color w:val="auto"/>
              </w:rPr>
            </w:pPr>
          </w:p>
        </w:tc>
        <w:tc>
          <w:tcPr>
            <w:tcW w:w="2480" w:type="dxa"/>
            <w:vAlign w:val="bottom"/>
            <w:gridSpan w:val="4"/>
          </w:tcPr>
          <w:p>
            <w:pPr>
              <w:spacing w:after="0"/>
              <w:rPr>
                <w:sz w:val="17"/>
                <w:szCs w:val="17"/>
                <w:color w:val="auto"/>
              </w:rPr>
            </w:pPr>
          </w:p>
        </w:tc>
      </w:tr>
      <w:tr>
        <w:trPr>
          <w:trHeight w:val="290"/>
        </w:trPr>
        <w:tc>
          <w:tcPr>
            <w:tcW w:w="1400" w:type="dxa"/>
            <w:vAlign w:val="bottom"/>
          </w:tcPr>
          <w:p>
            <w:pPr>
              <w:ind w:left="100"/>
              <w:spacing w:after="0"/>
              <w:rPr>
                <w:sz w:val="20"/>
                <w:szCs w:val="20"/>
                <w:color w:val="auto"/>
              </w:rPr>
            </w:pPr>
            <w:r>
              <w:rPr>
                <w:rFonts w:ascii="Arial" w:cs="Arial" w:eastAsia="Arial" w:hAnsi="Arial"/>
                <w:sz w:val="18"/>
                <w:szCs w:val="18"/>
                <w:color w:val="auto"/>
              </w:rPr>
              <w:t>31.2(a)</w:t>
            </w:r>
          </w:p>
        </w:tc>
        <w:tc>
          <w:tcPr>
            <w:tcW w:w="5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of Cheryl A. Maguire, Chief Financial Officer, pursuant to</w:t>
            </w:r>
          </w:p>
        </w:tc>
      </w:tr>
      <w:tr>
        <w:trPr>
          <w:trHeight w:val="196"/>
        </w:trPr>
        <w:tc>
          <w:tcPr>
            <w:tcW w:w="1400" w:type="dxa"/>
            <w:vAlign w:val="bottom"/>
          </w:tcPr>
          <w:p>
            <w:pPr>
              <w:spacing w:after="0"/>
              <w:rPr>
                <w:sz w:val="17"/>
                <w:szCs w:val="17"/>
                <w:color w:val="auto"/>
              </w:rPr>
            </w:pPr>
          </w:p>
        </w:tc>
        <w:tc>
          <w:tcPr>
            <w:tcW w:w="300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Sarbanes-Oxley Act of 2002, Section 302</w:t>
            </w:r>
          </w:p>
        </w:tc>
        <w:tc>
          <w:tcPr>
            <w:tcW w:w="20" w:type="dxa"/>
            <w:vAlign w:val="bottom"/>
            <w:tcBorders>
              <w:bottom w:val="single" w:sz="8" w:color="0000EE"/>
            </w:tcBorders>
          </w:tcPr>
          <w:p>
            <w:pPr>
              <w:spacing w:after="0"/>
              <w:rPr>
                <w:sz w:val="17"/>
                <w:szCs w:val="17"/>
                <w:color w:val="auto"/>
              </w:rPr>
            </w:pPr>
          </w:p>
        </w:tc>
        <w:tc>
          <w:tcPr>
            <w:tcW w:w="2480" w:type="dxa"/>
            <w:vAlign w:val="bottom"/>
            <w:gridSpan w:val="4"/>
          </w:tcPr>
          <w:p>
            <w:pPr>
              <w:spacing w:after="0"/>
              <w:rPr>
                <w:sz w:val="17"/>
                <w:szCs w:val="17"/>
                <w:color w:val="auto"/>
              </w:rPr>
            </w:pPr>
          </w:p>
        </w:tc>
      </w:tr>
      <w:tr>
        <w:trPr>
          <w:trHeight w:val="290"/>
        </w:trPr>
        <w:tc>
          <w:tcPr>
            <w:tcW w:w="1400" w:type="dxa"/>
            <w:vAlign w:val="bottom"/>
          </w:tcPr>
          <w:p>
            <w:pPr>
              <w:ind w:left="100"/>
              <w:spacing w:after="0"/>
              <w:rPr>
                <w:sz w:val="20"/>
                <w:szCs w:val="20"/>
                <w:color w:val="auto"/>
              </w:rPr>
            </w:pPr>
            <w:r>
              <w:rPr>
                <w:rFonts w:ascii="Arial" w:cs="Arial" w:eastAsia="Arial" w:hAnsi="Arial"/>
                <w:sz w:val="18"/>
                <w:szCs w:val="18"/>
                <w:color w:val="auto"/>
              </w:rPr>
              <w:t>32.1(a)</w:t>
            </w:r>
          </w:p>
        </w:tc>
        <w:tc>
          <w:tcPr>
            <w:tcW w:w="5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rPr>
              <w:t>Certification of Mark T. Behrman, Chief Executive Officer, furnished</w:t>
            </w:r>
          </w:p>
        </w:tc>
      </w:tr>
      <w:tr>
        <w:trPr>
          <w:trHeight w:val="196"/>
        </w:trPr>
        <w:tc>
          <w:tcPr>
            <w:tcW w:w="1400" w:type="dxa"/>
            <w:vAlign w:val="bottom"/>
          </w:tcPr>
          <w:p>
            <w:pPr>
              <w:spacing w:after="0"/>
              <w:rPr>
                <w:sz w:val="17"/>
                <w:szCs w:val="17"/>
                <w:color w:val="auto"/>
              </w:rPr>
            </w:pPr>
          </w:p>
        </w:tc>
        <w:tc>
          <w:tcPr>
            <w:tcW w:w="5500" w:type="dxa"/>
            <w:vAlign w:val="bottom"/>
            <w:gridSpan w:val="7"/>
          </w:tcPr>
          <w:p>
            <w:pPr>
              <w:spacing w:after="0" w:line="195" w:lineRule="exact"/>
              <w:rPr>
                <w:sz w:val="20"/>
                <w:szCs w:val="20"/>
                <w:color w:val="auto"/>
              </w:rPr>
            </w:pPr>
            <w:r>
              <w:rPr>
                <w:rFonts w:ascii="Arial" w:cs="Arial" w:eastAsia="Arial" w:hAnsi="Arial"/>
                <w:sz w:val="18"/>
                <w:szCs w:val="18"/>
                <w:color w:val="0000FF"/>
              </w:rPr>
              <w:t>pursuant to Sarbanes-Oxley Act of 2002, Section 906</w:t>
            </w:r>
          </w:p>
        </w:tc>
      </w:tr>
      <w:tr>
        <w:trPr>
          <w:trHeight w:val="20"/>
        </w:trPr>
        <w:tc>
          <w:tcPr>
            <w:tcW w:w="1400" w:type="dxa"/>
            <w:vAlign w:val="bottom"/>
          </w:tcPr>
          <w:p>
            <w:pPr>
              <w:spacing w:after="0" w:line="20" w:lineRule="exact"/>
              <w:rPr>
                <w:sz w:val="1"/>
                <w:szCs w:val="1"/>
                <w:color w:val="auto"/>
              </w:rPr>
            </w:pPr>
          </w:p>
        </w:tc>
        <w:tc>
          <w:tcPr>
            <w:tcW w:w="3860" w:type="dxa"/>
            <w:vAlign w:val="bottom"/>
            <w:tcBorders>
              <w:right w:val="single" w:sz="8" w:color="0000EE"/>
            </w:tcBorders>
            <w:gridSpan w:val="4"/>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290"/>
        </w:trPr>
        <w:tc>
          <w:tcPr>
            <w:tcW w:w="1400" w:type="dxa"/>
            <w:vAlign w:val="bottom"/>
          </w:tcPr>
          <w:p>
            <w:pPr>
              <w:ind w:left="100"/>
              <w:spacing w:after="0"/>
              <w:rPr>
                <w:sz w:val="20"/>
                <w:szCs w:val="20"/>
                <w:color w:val="auto"/>
              </w:rPr>
            </w:pPr>
            <w:r>
              <w:rPr>
                <w:rFonts w:ascii="Arial" w:cs="Arial" w:eastAsia="Arial" w:hAnsi="Arial"/>
                <w:sz w:val="18"/>
                <w:szCs w:val="18"/>
                <w:color w:val="auto"/>
              </w:rPr>
              <w:t>32.2(a)</w:t>
            </w:r>
          </w:p>
        </w:tc>
        <w:tc>
          <w:tcPr>
            <w:tcW w:w="5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rPr>
              <w:t>Certification of Cheryl A. Maguire, Chief Financial Officer, furnished</w:t>
            </w:r>
          </w:p>
        </w:tc>
      </w:tr>
      <w:tr>
        <w:trPr>
          <w:trHeight w:val="196"/>
        </w:trPr>
        <w:tc>
          <w:tcPr>
            <w:tcW w:w="1400" w:type="dxa"/>
            <w:vAlign w:val="bottom"/>
          </w:tcPr>
          <w:p>
            <w:pPr>
              <w:spacing w:after="0"/>
              <w:rPr>
                <w:sz w:val="17"/>
                <w:szCs w:val="17"/>
                <w:color w:val="auto"/>
              </w:rPr>
            </w:pPr>
          </w:p>
        </w:tc>
        <w:tc>
          <w:tcPr>
            <w:tcW w:w="5500" w:type="dxa"/>
            <w:vAlign w:val="bottom"/>
            <w:gridSpan w:val="7"/>
          </w:tcPr>
          <w:p>
            <w:pPr>
              <w:spacing w:after="0" w:line="195" w:lineRule="exact"/>
              <w:rPr>
                <w:sz w:val="20"/>
                <w:szCs w:val="20"/>
                <w:color w:val="auto"/>
              </w:rPr>
            </w:pPr>
            <w:r>
              <w:rPr>
                <w:rFonts w:ascii="Arial" w:cs="Arial" w:eastAsia="Arial" w:hAnsi="Arial"/>
                <w:sz w:val="18"/>
                <w:szCs w:val="18"/>
                <w:color w:val="0000FF"/>
              </w:rPr>
              <w:t>pursuant to Sarbanes-Oxley Act of 2002, Section 906</w:t>
            </w:r>
          </w:p>
        </w:tc>
      </w:tr>
      <w:tr>
        <w:trPr>
          <w:trHeight w:val="331"/>
        </w:trPr>
        <w:tc>
          <w:tcPr>
            <w:tcW w:w="1400" w:type="dxa"/>
            <w:vAlign w:val="bottom"/>
          </w:tcPr>
          <w:p>
            <w:pPr>
              <w:spacing w:after="0"/>
              <w:rPr>
                <w:sz w:val="20"/>
                <w:szCs w:val="20"/>
                <w:color w:val="auto"/>
              </w:rPr>
            </w:pPr>
            <w:r>
              <w:rPr>
                <w:rFonts w:ascii="Arial" w:cs="Arial" w:eastAsia="Arial" w:hAnsi="Arial"/>
                <w:sz w:val="18"/>
                <w:szCs w:val="18"/>
                <w:color w:val="auto"/>
              </w:rPr>
              <w:t>101.INS(a)</w:t>
            </w:r>
          </w:p>
        </w:tc>
        <w:tc>
          <w:tcPr>
            <w:tcW w:w="38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1640" w:type="dxa"/>
            <w:vAlign w:val="bottom"/>
            <w:gridSpan w:val="3"/>
          </w:tcPr>
          <w:p>
            <w:pPr>
              <w:spacing w:after="0"/>
              <w:rPr>
                <w:sz w:val="24"/>
                <w:szCs w:val="24"/>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101.SCH(a)</w:t>
            </w:r>
          </w:p>
        </w:tc>
        <w:tc>
          <w:tcPr>
            <w:tcW w:w="55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101.CAL(a)</w:t>
            </w:r>
          </w:p>
        </w:tc>
        <w:tc>
          <w:tcPr>
            <w:tcW w:w="55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101.DEF(a)</w:t>
            </w:r>
          </w:p>
        </w:tc>
        <w:tc>
          <w:tcPr>
            <w:tcW w:w="55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101.LAB(a)</w:t>
            </w:r>
          </w:p>
        </w:tc>
        <w:tc>
          <w:tcPr>
            <w:tcW w:w="55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101.PRE(a)</w:t>
            </w:r>
          </w:p>
        </w:tc>
        <w:tc>
          <w:tcPr>
            <w:tcW w:w="55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80" w:lineRule="exact"/>
        <w:rPr>
          <w:sz w:val="20"/>
          <w:szCs w:val="20"/>
          <w:color w:val="auto"/>
        </w:rPr>
      </w:pPr>
    </w:p>
    <w:p>
      <w:pPr>
        <w:ind w:left="1420" w:right="4280" w:hanging="1399"/>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7" w:right="37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Dated:</w:t>
            </w:r>
          </w:p>
        </w:tc>
        <w:tc>
          <w:tcPr>
            <w:tcW w:w="7960" w:type="dxa"/>
            <w:vAlign w:val="bottom"/>
            <w:gridSpan w:val="2"/>
          </w:tcPr>
          <w:p>
            <w:pPr>
              <w:ind w:left="1920"/>
              <w:spacing w:after="0"/>
              <w:rPr>
                <w:sz w:val="20"/>
                <w:szCs w:val="20"/>
                <w:color w:val="auto"/>
              </w:rPr>
            </w:pPr>
            <w:r>
              <w:rPr>
                <w:rFonts w:ascii="Arial" w:cs="Arial" w:eastAsia="Arial" w:hAnsi="Arial"/>
                <w:sz w:val="18"/>
                <w:szCs w:val="18"/>
                <w:color w:val="auto"/>
              </w:rPr>
              <w:t>By:  /s/ Mark T. Behrman</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February 23, 2023</w:t>
            </w:r>
          </w:p>
        </w:tc>
        <w:tc>
          <w:tcPr>
            <w:tcW w:w="2360" w:type="dxa"/>
            <w:vAlign w:val="bottom"/>
          </w:tcPr>
          <w:p>
            <w:pPr>
              <w:spacing w:after="0"/>
              <w:rPr>
                <w:sz w:val="20"/>
                <w:szCs w:val="20"/>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Behrman, President, Chief Executive Officer and Director</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341" w:right="339" w:bottom="1440" w:gutter="0" w:footer="0" w:header="0"/>
        </w:sectPr>
      </w:pPr>
    </w:p>
    <w:p>
      <w:pPr>
        <w:spacing w:after="0" w:line="183"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400"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400"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184"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right="1480"/>
        <w:spacing w:after="0" w:line="277" w:lineRule="auto"/>
        <w:rPr>
          <w:sz w:val="20"/>
          <w:szCs w:val="20"/>
          <w:color w:val="auto"/>
        </w:rPr>
      </w:pPr>
      <w:r>
        <w:rPr>
          <w:rFonts w:ascii="Arial" w:cs="Arial" w:eastAsia="Arial" w:hAnsi="Arial"/>
          <w:sz w:val="18"/>
          <w:szCs w:val="18"/>
          <w:color w:val="auto"/>
        </w:rPr>
        <w:t>Mark T. Behrman, President and Chief Executive Officer (Principal Executive Officer) and Director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Cheryl A. Maguire, Executive Vice President and Chief Financial Officer (Principal Financial and Accounting Officer Officer)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Richard W. Roedel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Richard W. Roedel, Chairman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Jonathan S. Bobb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Jonathan S. Bobb,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Barry H. Golsen,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Kanna Kitamura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Kanna Kitamura,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Steven L. Packebush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Steven L. Packebush,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Diana M. Peninger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Diana M. Peninger,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Richard S. Sanders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Richard S. Sanders Jr.,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Lynn 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17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Lynn F. White, Director</w:t>
      </w:r>
    </w:p>
    <w:p>
      <w:pPr>
        <w:spacing w:after="0" w:line="200" w:lineRule="exact"/>
        <w:rPr>
          <w:sz w:val="20"/>
          <w:szCs w:val="20"/>
          <w:color w:val="auto"/>
        </w:rPr>
      </w:pPr>
    </w:p>
    <w:p>
      <w:pPr>
        <w:sectPr>
          <w:pgSz w:w="11900" w:h="16838" w:orient="portrait"/>
          <w:cols w:equalWidth="0" w:num="2">
            <w:col w:w="5460" w:space="180"/>
            <w:col w:w="5600"/>
          </w:cols>
          <w:pgMar w:left="320" w:top="341"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7" w:name="page48"/>
    <w:bookmarkEnd w:id="47"/>
    <w:p>
      <w:pPr>
        <w:ind w:left="490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2022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Page</w:t>
            </w:r>
          </w:p>
        </w:tc>
      </w:tr>
      <w:tr>
        <w:trPr>
          <w:trHeight w:val="331"/>
        </w:trPr>
        <w:tc>
          <w:tcPr>
            <w:tcW w:w="2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71"/>
        </w:trPr>
        <w:tc>
          <w:tcPr>
            <w:tcW w:w="2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Arial" w:cs="Arial" w:eastAsia="Arial" w:hAnsi="Arial"/>
                <w:sz w:val="18"/>
                <w:szCs w:val="18"/>
                <w:color w:val="0000FF"/>
              </w:rPr>
              <w:t>Consolidated Balance Sheets</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8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24"/>
                <w:szCs w:val="24"/>
                <w:color w:val="auto"/>
              </w:rPr>
            </w:pPr>
          </w:p>
        </w:tc>
        <w:tc>
          <w:tcPr>
            <w:tcW w:w="2000" w:type="dxa"/>
            <w:vAlign w:val="bottom"/>
            <w:gridSpan w:val="5"/>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71"/>
        </w:trPr>
        <w:tc>
          <w:tcPr>
            <w:tcW w:w="2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Arial" w:cs="Arial" w:eastAsia="Arial" w:hAnsi="Arial"/>
                <w:sz w:val="18"/>
                <w:szCs w:val="18"/>
                <w:color w:val="0000FF"/>
              </w:rPr>
              <w:t>Consolidated Statements of Stockholders’ Equity</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71"/>
        </w:trPr>
        <w:tc>
          <w:tcPr>
            <w:tcW w:w="20" w:type="dxa"/>
            <w:vAlign w:val="bottom"/>
          </w:tcPr>
          <w:p>
            <w:pPr>
              <w:spacing w:after="0"/>
              <w:rPr>
                <w:sz w:val="24"/>
                <w:szCs w:val="24"/>
                <w:color w:val="auto"/>
              </w:rPr>
            </w:pPr>
          </w:p>
        </w:tc>
        <w:tc>
          <w:tcPr>
            <w:tcW w:w="35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1300" w:type="dxa"/>
            <w:vAlign w:val="bottom"/>
            <w:gridSpan w:val="2"/>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Arial" w:cs="Arial" w:eastAsia="Arial" w:hAnsi="Arial"/>
                <w:sz w:val="18"/>
                <w:szCs w:val="18"/>
                <w:color w:val="0000FF"/>
              </w:rPr>
              <w:t>Notes to Consolidated Financial Statements</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71"/>
        </w:trPr>
        <w:tc>
          <w:tcPr>
            <w:tcW w:w="20" w:type="dxa"/>
            <w:vAlign w:val="bottom"/>
          </w:tcPr>
          <w:p>
            <w:pPr>
              <w:spacing w:after="0"/>
              <w:rPr>
                <w:sz w:val="24"/>
                <w:szCs w:val="24"/>
                <w:color w:val="auto"/>
              </w:rPr>
            </w:pPr>
          </w:p>
        </w:tc>
        <w:tc>
          <w:tcPr>
            <w:tcW w:w="31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Quarterly Financial Data (Unaudited)</w:t>
            </w:r>
          </w:p>
        </w:tc>
        <w:tc>
          <w:tcPr>
            <w:tcW w:w="1700" w:type="dxa"/>
            <w:vAlign w:val="bottom"/>
            <w:gridSpan w:val="3"/>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71"/>
        </w:trPr>
        <w:tc>
          <w:tcPr>
            <w:tcW w:w="20" w:type="dxa"/>
            <w:vAlign w:val="bottom"/>
          </w:tcPr>
          <w:p>
            <w:pPr>
              <w:spacing w:after="0"/>
              <w:rPr>
                <w:sz w:val="24"/>
                <w:szCs w:val="24"/>
                <w:color w:val="auto"/>
              </w:rPr>
            </w:pPr>
          </w:p>
        </w:tc>
        <w:tc>
          <w:tcPr>
            <w:tcW w:w="2140" w:type="dxa"/>
            <w:vAlign w:val="bottom"/>
            <w:tcBorders>
              <w:top w:val="single" w:sz="8" w:color="0000FF"/>
              <w:bottom w:val="single" w:sz="8" w:color="auto"/>
            </w:tcBorders>
            <w:gridSpan w:val="3"/>
          </w:tcPr>
          <w:p>
            <w:pPr>
              <w:spacing w:after="0"/>
              <w:rPr>
                <w:sz w:val="20"/>
                <w:szCs w:val="20"/>
                <w:color w:val="auto"/>
              </w:rPr>
            </w:pPr>
            <w:r>
              <w:rPr>
                <w:rFonts w:ascii="Arial" w:cs="Arial" w:eastAsia="Arial" w:hAnsi="Arial"/>
                <w:sz w:val="18"/>
                <w:szCs w:val="18"/>
                <w:color w:val="auto"/>
                <w:w w:val="88"/>
              </w:rPr>
              <w:t>Financial Statement Schedule</w:t>
            </w:r>
          </w:p>
        </w:tc>
        <w:tc>
          <w:tcPr>
            <w:tcW w:w="560" w:type="dxa"/>
            <w:vAlign w:val="bottom"/>
            <w:tcBorders>
              <w:top w:val="single" w:sz="8" w:color="0000FF"/>
            </w:tcBorders>
          </w:tcPr>
          <w:p>
            <w:pPr>
              <w:spacing w:after="0"/>
              <w:rPr>
                <w:sz w:val="24"/>
                <w:szCs w:val="24"/>
                <w:color w:val="auto"/>
              </w:rPr>
            </w:pPr>
          </w:p>
        </w:tc>
        <w:tc>
          <w:tcPr>
            <w:tcW w:w="2140" w:type="dxa"/>
            <w:vAlign w:val="bottom"/>
            <w:gridSpan w:val="7"/>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Arial" w:cs="Arial" w:eastAsia="Arial" w:hAnsi="Arial"/>
                <w:sz w:val="18"/>
                <w:szCs w:val="18"/>
                <w:color w:val="0000FF"/>
              </w:rPr>
              <w:t>Schedule II – Valuation and Qualifying Accounts</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924"/>
        </w:trPr>
        <w:tc>
          <w:tcPr>
            <w:tcW w:w="20" w:type="dxa"/>
            <w:vAlign w:val="bottom"/>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80" w:type="dxa"/>
            <w:vAlign w:val="bottom"/>
            <w:gridSpan w:val="2"/>
          </w:tcPr>
          <w:p>
            <w:pPr>
              <w:jc w:val="right"/>
              <w:ind w:right="5412"/>
              <w:spacing w:after="0"/>
              <w:rPr>
                <w:sz w:val="20"/>
                <w:szCs w:val="20"/>
                <w:color w:val="auto"/>
              </w:rPr>
            </w:pPr>
            <w:r>
              <w:rPr>
                <w:rFonts w:ascii="Arial" w:cs="Arial" w:eastAsia="Arial" w:hAnsi="Arial"/>
                <w:sz w:val="18"/>
                <w:szCs w:val="18"/>
                <w:color w:val="auto"/>
              </w:rPr>
              <w:t>F-1</w:t>
            </w:r>
          </w:p>
        </w:tc>
      </w:tr>
      <w:tr>
        <w:trPr>
          <w:trHeight w:val="115"/>
        </w:trPr>
        <w:tc>
          <w:tcPr>
            <w:tcW w:w="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3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LSB Industries, Inc. (the Company) as of December 31, 2022 and 2021, the related consolidated statements of operations, stockholders’ equity, and cash flows for each of the three years in the period ended December 31,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23, 2022 expressed an unqualified opinion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(In</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color w:val="auto"/>
                <w:w w:val="7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63,769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330,553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75,494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86,902</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146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(699 )</w:t>
            </w:r>
          </w:p>
        </w:tc>
        <w:tc>
          <w:tcPr>
            <w:tcW w:w="4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(474 )</w:t>
            </w:r>
          </w:p>
        </w:tc>
      </w:tr>
      <w:tr>
        <w:trPr>
          <w:trHeight w:val="23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74,795</w:t>
            </w: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86,428</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28,893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1,990</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r>
      <w:tr>
        <w:trPr>
          <w:trHeight w:val="236"/>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inventories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30,883</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Supplies, prepaid items and other:</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insurance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17,429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14,244</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380"/>
              <w:spacing w:after="0"/>
              <w:rPr>
                <w:sz w:val="20"/>
                <w:szCs w:val="20"/>
                <w:color w:val="auto"/>
              </w:rPr>
            </w:pPr>
            <w:r>
              <w:rPr>
                <w:rFonts w:ascii="Arial" w:cs="Arial" w:eastAsia="Arial" w:hAnsi="Arial"/>
                <w:sz w:val="18"/>
                <w:szCs w:val="18"/>
                <w:color w:val="auto"/>
              </w:rPr>
              <w:t>Precious metals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13,323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Supplies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27,501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8,346</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r>
      <w:tr>
        <w:trPr>
          <w:trHeight w:val="236"/>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supplies, prepaid items and other</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66,599</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566,599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243,136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848,661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858,480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22,682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27,317</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Intangible and other assets, net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1"/>
                <w:szCs w:val="21"/>
                <w:color w:val="auto"/>
              </w:rPr>
            </w:pPr>
          </w:p>
        </w:tc>
      </w:tr>
      <w:tr>
        <w:trPr>
          <w:trHeight w:val="232"/>
        </w:trPr>
        <w:tc>
          <w:tcPr>
            <w:tcW w:w="77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24,559</w:t>
            </w:r>
          </w:p>
        </w:tc>
        <w:tc>
          <w:tcPr>
            <w:tcW w:w="28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31,224</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1,439,819</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1,132,840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-1437640</wp:posOffset>
            </wp:positionV>
            <wp:extent cx="6858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(In</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color w:val="auto"/>
                <w:w w:val="78"/>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78,182</w:t>
            </w:r>
          </w:p>
        </w:tc>
        <w:tc>
          <w:tcPr>
            <w:tcW w:w="7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0"/>
              <w:spacing w:after="0"/>
              <w:rPr>
                <w:sz w:val="20"/>
                <w:szCs w:val="20"/>
                <w:color w:val="auto"/>
              </w:rPr>
            </w:pPr>
            <w:r>
              <w:rPr>
                <w:rFonts w:ascii="Arial" w:cs="Arial" w:eastAsia="Arial" w:hAnsi="Arial"/>
                <w:sz w:val="18"/>
                <w:szCs w:val="18"/>
                <w:color w:val="auto"/>
              </w:rPr>
              <w:t>Short-term financing</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16,134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38,470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9,522</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142,308</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702,733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14,896</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accrued and other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63,487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Common stock, $.10 par value; 150 million shares authorized, 91.2</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9,117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340"/>
              <w:spacing w:after="0"/>
              <w:rPr>
                <w:sz w:val="20"/>
                <w:szCs w:val="20"/>
                <w:color w:val="auto"/>
              </w:rPr>
            </w:pPr>
            <w:r>
              <w:rPr>
                <w:rFonts w:ascii="Arial" w:cs="Arial" w:eastAsia="Arial" w:hAnsi="Arial"/>
                <w:sz w:val="18"/>
                <w:szCs w:val="18"/>
                <w:color w:val="auto"/>
              </w:rPr>
              <w:t>million shares issued</w:t>
            </w:r>
          </w:p>
        </w:tc>
        <w:tc>
          <w:tcPr>
            <w:tcW w:w="3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in excess of par value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497,179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199,092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(31,255 )</w:t>
            </w: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705,388</w:t>
            </w: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Less treasury stock, at cost: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14.9 million shares (1.4 million shares at</w:t>
            </w:r>
          </w:p>
        </w:tc>
        <w:tc>
          <w:tcPr>
            <w:tcW w:w="360" w:type="dxa"/>
            <w:vAlign w:val="bottom"/>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189,515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December 31, 2021)</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515,873</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7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1,439,819</w:t>
            </w:r>
          </w:p>
        </w:tc>
        <w:tc>
          <w:tcPr>
            <w:tcW w:w="2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78" w:lineRule="exact"/>
        <w:rPr>
          <w:sz w:val="20"/>
          <w:szCs w:val="20"/>
          <w:color w:val="auto"/>
        </w:rPr>
      </w:pPr>
    </w:p>
    <w:p>
      <w:pPr>
        <w:ind w:right="820"/>
        <w:spacing w:after="0" w:line="289" w:lineRule="auto"/>
        <w:rPr>
          <w:sz w:val="20"/>
          <w:szCs w:val="20"/>
          <w:color w:val="auto"/>
        </w:rPr>
      </w:pPr>
      <w:r>
        <w:rPr>
          <w:rFonts w:ascii="Arial" w:cs="Arial" w:eastAsia="Arial" w:hAnsi="Arial"/>
          <w:sz w:val="18"/>
          <w:szCs w:val="18"/>
          <w:color w:val="auto"/>
        </w:rPr>
        <w:t>Selling, general and administrative expense Other expense (income), net</w:t>
      </w:r>
    </w:p>
    <w:p>
      <w:pPr>
        <w:spacing w:after="0"/>
        <w:rPr>
          <w:sz w:val="20"/>
          <w:szCs w:val="20"/>
          <w:color w:val="auto"/>
        </w:rPr>
      </w:pPr>
      <w:r>
        <w:rPr>
          <w:rFonts w:ascii="Arial" w:cs="Arial" w:eastAsia="Arial" w:hAnsi="Arial"/>
          <w:sz w:val="18"/>
          <w:szCs w:val="18"/>
          <w:color w:val="auto"/>
        </w:rPr>
        <w:t>Operating income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36" w:lineRule="exact"/>
        <w:rPr>
          <w:sz w:val="20"/>
          <w:szCs w:val="20"/>
          <w:color w:val="auto"/>
        </w:rPr>
      </w:pPr>
    </w:p>
    <w:p>
      <w:pPr>
        <w:ind w:right="860"/>
        <w:spacing w:after="0" w:line="394" w:lineRule="auto"/>
        <w:rPr>
          <w:sz w:val="20"/>
          <w:szCs w:val="20"/>
          <w:color w:val="auto"/>
        </w:rPr>
      </w:pPr>
      <w:r>
        <w:rPr>
          <w:rFonts w:ascii="Arial" w:cs="Arial" w:eastAsia="Arial" w:hAnsi="Arial"/>
          <w:sz w:val="16"/>
          <w:szCs w:val="16"/>
          <w:color w:val="auto"/>
        </w:rPr>
        <w:t>Net loss on extinguishments of debt Non-operating other expense (income), net</w:t>
      </w:r>
    </w:p>
    <w:p>
      <w:pPr>
        <w:spacing w:after="0" w:line="138" w:lineRule="exact"/>
        <w:rPr>
          <w:sz w:val="20"/>
          <w:szCs w:val="20"/>
          <w:color w:val="auto"/>
        </w:rPr>
      </w:pPr>
    </w:p>
    <w:p>
      <w:pPr>
        <w:ind w:right="680"/>
        <w:spacing w:after="0" w:line="306" w:lineRule="auto"/>
        <w:rPr>
          <w:sz w:val="20"/>
          <w:szCs w:val="20"/>
          <w:color w:val="auto"/>
        </w:rPr>
      </w:pPr>
      <w:r>
        <w:rPr>
          <w:rFonts w:ascii="Arial" w:cs="Arial" w:eastAsia="Arial" w:hAnsi="Arial"/>
          <w:sz w:val="17"/>
          <w:szCs w:val="17"/>
          <w:color w:val="auto"/>
        </w:rPr>
        <w:t>Income (loss) before benefit for income taxes Provision (benefit) for income taxes</w:t>
      </w:r>
    </w:p>
    <w:p>
      <w:pPr>
        <w:spacing w:after="0"/>
        <w:rPr>
          <w:sz w:val="20"/>
          <w:szCs w:val="20"/>
          <w:color w:val="auto"/>
        </w:rPr>
      </w:pPr>
      <w:r>
        <w:rPr>
          <w:rFonts w:ascii="Arial" w:cs="Arial" w:eastAsia="Arial" w:hAnsi="Arial"/>
          <w:sz w:val="18"/>
          <w:szCs w:val="18"/>
          <w:color w:val="auto"/>
        </w:rPr>
        <w:t>Net income (loss)</w:t>
      </w:r>
    </w:p>
    <w:p>
      <w:pPr>
        <w:spacing w:after="0" w:line="27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Dividends on convertible preferred stocks Dividends on Series E redeemable preferred stock Accretion of Series E redeemable preferred stock Deemed dividend on Series E and Series F</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redeemable preferred stocks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common stockholders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Income (loss) per common share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(loss)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4180"/>
        <w:spacing w:after="0"/>
        <w:rPr>
          <w:sz w:val="20"/>
          <w:szCs w:val="20"/>
          <w:color w:val="auto"/>
        </w:rPr>
      </w:pPr>
      <w:r>
        <w:rPr>
          <w:rFonts w:ascii="Arial" w:cs="Arial" w:eastAsia="Arial" w:hAnsi="Arial"/>
          <w:sz w:val="16"/>
          <w:szCs w:val="16"/>
          <w:color w:val="auto"/>
        </w:rPr>
        <w:t>Consolidated Statements of Operations</w:t>
      </w:r>
    </w:p>
    <w:p>
      <w:pPr>
        <w:spacing w:after="0" w:line="253" w:lineRule="exact"/>
        <w:rPr>
          <w:sz w:val="20"/>
          <w:szCs w:val="20"/>
          <w:color w:val="auto"/>
        </w:rPr>
      </w:pPr>
    </w:p>
    <w:tbl>
      <w:tblPr>
        <w:tblLayout w:type="fixed"/>
        <w:tblInd w:w="2400"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4"/>
        </w:trPr>
        <w:tc>
          <w:tcPr>
            <w:tcW w:w="32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(In</w:t>
            </w:r>
          </w:p>
        </w:tc>
        <w:tc>
          <w:tcPr>
            <w:tcW w:w="1600" w:type="dxa"/>
            <w:vAlign w:val="bottom"/>
            <w:gridSpan w:val="4"/>
          </w:tcPr>
          <w:p>
            <w:pPr>
              <w:jc w:val="right"/>
              <w:spacing w:after="0"/>
              <w:rPr>
                <w:sz w:val="20"/>
                <w:szCs w:val="20"/>
                <w:color w:val="auto"/>
              </w:rPr>
            </w:pPr>
            <w:r>
              <w:rPr>
                <w:rFonts w:ascii="Arial" w:cs="Arial" w:eastAsia="Arial" w:hAnsi="Arial"/>
                <w:sz w:val="14"/>
                <w:szCs w:val="14"/>
                <w:color w:val="auto"/>
                <w:w w:val="82"/>
              </w:rPr>
              <w:t>Thousands, Except Per Share</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w w:val="90"/>
              </w:rPr>
              <w:t>Amounts)</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901,711</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556,239</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351,316</w:t>
            </w:r>
          </w:p>
        </w:tc>
        <w:tc>
          <w:tcPr>
            <w:tcW w:w="60" w:type="dxa"/>
            <w:vAlign w:val="bottom"/>
          </w:tcPr>
          <w:p>
            <w:pPr>
              <w:spacing w:after="0"/>
              <w:rPr>
                <w:sz w:val="20"/>
                <w:szCs w:val="20"/>
                <w:color w:val="auto"/>
              </w:rPr>
            </w:pPr>
          </w:p>
        </w:tc>
      </w:tr>
      <w:tr>
        <w:trPr>
          <w:trHeight w:val="250"/>
        </w:trPr>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417,260</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334,268</w:t>
            </w:r>
          </w:p>
        </w:tc>
        <w:tc>
          <w:tcPr>
            <w:tcW w:w="60" w:type="dxa"/>
            <w:vAlign w:val="bottom"/>
          </w:tcPr>
          <w:p>
            <w:pPr>
              <w:spacing w:after="0"/>
              <w:rPr>
                <w:sz w:val="21"/>
                <w:szCs w:val="21"/>
                <w:color w:val="auto"/>
              </w:rPr>
            </w:pPr>
          </w:p>
        </w:tc>
      </w:tr>
      <w:tr>
        <w:trPr>
          <w:trHeight w:val="234"/>
        </w:trPr>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348,367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138,979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17,048</w:t>
            </w:r>
          </w:p>
        </w:tc>
        <w:tc>
          <w:tcPr>
            <w:tcW w:w="60" w:type="dxa"/>
            <w:vAlign w:val="bottom"/>
          </w:tcPr>
          <w:p>
            <w:pPr>
              <w:spacing w:after="0"/>
              <w:rPr>
                <w:sz w:val="20"/>
                <w:szCs w:val="20"/>
                <w:color w:val="auto"/>
              </w:rPr>
            </w:pPr>
          </w:p>
        </w:tc>
      </w:tr>
      <w:tr>
        <w:trPr>
          <w:trHeight w:val="481"/>
        </w:trPr>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39,428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38,028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32,084</w:t>
            </w:r>
          </w:p>
        </w:tc>
        <w:tc>
          <w:tcPr>
            <w:tcW w:w="60" w:type="dxa"/>
            <w:vAlign w:val="bottom"/>
          </w:tcPr>
          <w:p>
            <w:pPr>
              <w:spacing w:after="0"/>
              <w:rPr>
                <w:sz w:val="24"/>
                <w:szCs w:val="24"/>
                <w:color w:val="auto"/>
              </w:rPr>
            </w:pPr>
          </w:p>
        </w:tc>
      </w:tr>
      <w:tr>
        <w:trPr>
          <w:trHeight w:val="250"/>
        </w:trPr>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5"/>
              <w:spacing w:after="0"/>
              <w:rPr>
                <w:sz w:val="20"/>
                <w:szCs w:val="20"/>
                <w:color w:val="auto"/>
              </w:rPr>
            </w:pPr>
            <w:r>
              <w:rPr>
                <w:rFonts w:ascii="Arial" w:cs="Arial" w:eastAsia="Arial" w:hAnsi="Arial"/>
                <w:sz w:val="18"/>
                <w:szCs w:val="18"/>
                <w:color w:val="auto"/>
              </w:rPr>
              <w:t>(97 )</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1"/>
                <w:szCs w:val="21"/>
                <w:color w:val="auto"/>
              </w:rPr>
            </w:pPr>
          </w:p>
        </w:tc>
      </w:tr>
      <w:tr>
        <w:trPr>
          <w:trHeight w:val="234"/>
        </w:trPr>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308,378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101,048</w:t>
            </w:r>
          </w:p>
        </w:tc>
        <w:tc>
          <w:tcPr>
            <w:tcW w:w="2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81"/>
        </w:trPr>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46,827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49,378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51,115</w:t>
            </w:r>
          </w:p>
        </w:tc>
        <w:tc>
          <w:tcPr>
            <w:tcW w:w="6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10,259</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49"/>
        </w:trPr>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(8,083 )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2"/>
        </w:trPr>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269,521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38,989</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(66,660 )</w:t>
            </w:r>
          </w:p>
        </w:tc>
      </w:tr>
      <w:tr>
        <w:trPr>
          <w:trHeight w:val="250"/>
        </w:trPr>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5"/>
              <w:spacing w:after="0"/>
              <w:rPr>
                <w:sz w:val="20"/>
                <w:szCs w:val="20"/>
                <w:color w:val="auto"/>
              </w:rPr>
            </w:pPr>
            <w:r>
              <w:rPr>
                <w:rFonts w:ascii="Arial" w:cs="Arial" w:eastAsia="Arial" w:hAnsi="Arial"/>
                <w:sz w:val="18"/>
                <w:szCs w:val="18"/>
                <w:color w:val="auto"/>
              </w:rPr>
              <w:t>(4,556 )</w:t>
            </w:r>
          </w:p>
        </w:tc>
        <w:tc>
          <w:tcPr>
            <w:tcW w:w="4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(4,749 )</w:t>
            </w:r>
          </w:p>
        </w:tc>
      </w:tr>
      <w:tr>
        <w:trPr>
          <w:trHeight w:val="234"/>
        </w:trPr>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230,347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43,545</w:t>
            </w:r>
          </w:p>
        </w:tc>
        <w:tc>
          <w:tcPr>
            <w:tcW w:w="2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81"/>
        </w:trPr>
        <w:tc>
          <w:tcPr>
            <w:tcW w:w="320" w:type="dxa"/>
            <w:vAlign w:val="bottom"/>
          </w:tcPr>
          <w:p>
            <w:pPr>
              <w:spacing w:after="0"/>
              <w:rPr>
                <w:sz w:val="24"/>
                <w:szCs w:val="24"/>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29,914</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35,182</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60" w:type="dxa"/>
            <w:vAlign w:val="bottom"/>
          </w:tcPr>
          <w:p>
            <w:pPr>
              <w:spacing w:after="0"/>
              <w:rPr>
                <w:sz w:val="21"/>
                <w:szCs w:val="21"/>
                <w:color w:val="auto"/>
              </w:rPr>
            </w:pPr>
          </w:p>
        </w:tc>
      </w:tr>
      <w:tr>
        <w:trPr>
          <w:trHeight w:val="465"/>
        </w:trPr>
        <w:tc>
          <w:tcPr>
            <w:tcW w:w="320" w:type="dxa"/>
            <w:vAlign w:val="bottom"/>
          </w:tcPr>
          <w:p>
            <w:pPr>
              <w:spacing w:after="0"/>
              <w:rPr>
                <w:sz w:val="24"/>
                <w:szCs w:val="24"/>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231,812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8"/>
        </w:trPr>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230,347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(220,002</w:t>
            </w:r>
          </w:p>
        </w:tc>
        <w:tc>
          <w:tcPr>
            <w:tcW w:w="260" w:type="dxa"/>
            <w:vAlign w:val="bottom"/>
          </w:tcPr>
          <w:p>
            <w:pPr>
              <w:jc w:val="right"/>
              <w:ind w:right="125"/>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(99,419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49"/>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25"/>
              <w:spacing w:after="0"/>
              <w:rPr>
                <w:sz w:val="20"/>
                <w:szCs w:val="20"/>
                <w:color w:val="auto"/>
              </w:rPr>
            </w:pPr>
            <w:r>
              <w:rPr>
                <w:rFonts w:ascii="Arial" w:cs="Arial" w:eastAsia="Arial" w:hAnsi="Arial"/>
                <w:sz w:val="18"/>
                <w:szCs w:val="18"/>
                <w:color w:val="auto"/>
              </w:rPr>
              <w:t>(4.40 )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(2.71 )</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09"/>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24"/>
                <w:szCs w:val="24"/>
                <w:color w:val="auto"/>
              </w:rPr>
            </w:pP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5"/>
              <w:spacing w:after="0"/>
              <w:rPr>
                <w:sz w:val="20"/>
                <w:szCs w:val="20"/>
                <w:color w:val="auto"/>
              </w:rPr>
            </w:pPr>
            <w:r>
              <w:rPr>
                <w:rFonts w:ascii="Arial" w:cs="Arial" w:eastAsia="Arial" w:hAnsi="Arial"/>
                <w:sz w:val="18"/>
                <w:szCs w:val="18"/>
                <w:color w:val="auto"/>
              </w:rPr>
              <w:t>(4.40 )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(2.71 )</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-4572000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-4255135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-3946525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-3629660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-3321685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-3013075</wp:posOffset>
            </wp:positionV>
            <wp:extent cx="7132320" cy="4711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-2379980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-2071370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-1763395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-1318260</wp:posOffset>
            </wp:positionV>
            <wp:extent cx="7132320" cy="4965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7132320" cy="49657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-667385</wp:posOffset>
            </wp:positionV>
            <wp:extent cx="7132320" cy="4883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960" w:space="240"/>
            <w:col w:w="6980"/>
          </w:cols>
          <w:pgMar w:left="340" w:top="341"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68"/>
              <w:spacing w:after="0"/>
              <w:rPr>
                <w:sz w:val="20"/>
                <w:szCs w:val="20"/>
                <w:color w:val="auto"/>
              </w:rPr>
            </w:pPr>
            <w:r>
              <w:rPr>
                <w:rFonts w:ascii="Arial" w:cs="Arial" w:eastAsia="Arial" w:hAnsi="Arial"/>
                <w:sz w:val="12"/>
                <w:szCs w:val="12"/>
                <w:b w:val="1"/>
                <w:bCs w:val="1"/>
                <w:color w:val="auto"/>
                <w:w w:val="86"/>
              </w:rPr>
              <w:t>Treasury</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8"/>
              <w:spacing w:after="0"/>
              <w:rPr>
                <w:sz w:val="20"/>
                <w:szCs w:val="20"/>
                <w:color w:val="auto"/>
              </w:rPr>
            </w:pPr>
            <w:r>
              <w:rPr>
                <w:rFonts w:ascii="Arial" w:cs="Arial" w:eastAsia="Arial" w:hAnsi="Arial"/>
                <w:sz w:val="12"/>
                <w:szCs w:val="12"/>
                <w:b w:val="1"/>
                <w:bCs w:val="1"/>
                <w:color w:val="auto"/>
                <w:w w:val="86"/>
              </w:rPr>
              <w:t>Retained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1"/>
                <w:szCs w:val="11"/>
                <w:color w:val="auto"/>
              </w:rPr>
            </w:pPr>
          </w:p>
        </w:tc>
        <w:tc>
          <w:tcPr>
            <w:tcW w:w="860" w:type="dxa"/>
            <w:vAlign w:val="bottom"/>
            <w:gridSpan w:val="2"/>
          </w:tcPr>
          <w:p>
            <w:pPr>
              <w:jc w:val="center"/>
              <w:ind w:right="68"/>
              <w:spacing w:after="0" w:line="135" w:lineRule="exact"/>
              <w:rPr>
                <w:sz w:val="20"/>
                <w:szCs w:val="20"/>
                <w:color w:val="auto"/>
              </w:rPr>
            </w:pPr>
            <w:r>
              <w:rPr>
                <w:rFonts w:ascii="Arial" w:cs="Arial" w:eastAsia="Arial" w:hAnsi="Arial"/>
                <w:sz w:val="12"/>
                <w:szCs w:val="12"/>
                <w:b w:val="1"/>
                <w:bCs w:val="1"/>
                <w:color w:val="auto"/>
                <w:w w:val="87"/>
              </w:rPr>
              <w:t>Stock-</w:t>
            </w: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4"/>
              </w:rPr>
              <w:t>Redeemable</w:t>
            </w:r>
          </w:p>
        </w:tc>
        <w:tc>
          <w:tcPr>
            <w:tcW w:w="5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Capital in</w:t>
            </w:r>
          </w:p>
        </w:tc>
        <w:tc>
          <w:tcPr>
            <w:tcW w:w="120" w:type="dxa"/>
            <w:vAlign w:val="bottom"/>
          </w:tcPr>
          <w:p>
            <w:pPr>
              <w:spacing w:after="0"/>
              <w:rPr>
                <w:sz w:val="11"/>
                <w:szCs w:val="11"/>
                <w:color w:val="auto"/>
              </w:rPr>
            </w:pPr>
          </w:p>
        </w:tc>
        <w:tc>
          <w:tcPr>
            <w:tcW w:w="800" w:type="dxa"/>
            <w:vAlign w:val="bottom"/>
            <w:gridSpan w:val="2"/>
          </w:tcPr>
          <w:p>
            <w:pPr>
              <w:jc w:val="center"/>
              <w:ind w:right="188"/>
              <w:spacing w:after="0" w:line="135" w:lineRule="exact"/>
              <w:rPr>
                <w:sz w:val="20"/>
                <w:szCs w:val="20"/>
                <w:color w:val="auto"/>
              </w:rPr>
            </w:pPr>
            <w:r>
              <w:rPr>
                <w:rFonts w:ascii="Arial" w:cs="Arial" w:eastAsia="Arial" w:hAnsi="Arial"/>
                <w:sz w:val="12"/>
                <w:szCs w:val="12"/>
                <w:b w:val="1"/>
                <w:bCs w:val="1"/>
                <w:color w:val="auto"/>
                <w:w w:val="89"/>
              </w:rPr>
              <w:t>Earnings</w:t>
            </w:r>
          </w:p>
        </w:tc>
        <w:tc>
          <w:tcPr>
            <w:tcW w:w="140" w:type="dxa"/>
            <w:vAlign w:val="bottom"/>
          </w:tcPr>
          <w:p>
            <w:pPr>
              <w:spacing w:after="0"/>
              <w:rPr>
                <w:sz w:val="11"/>
                <w:szCs w:val="11"/>
                <w:color w:val="auto"/>
              </w:rPr>
            </w:pPr>
          </w:p>
        </w:tc>
        <w:tc>
          <w:tcPr>
            <w:tcW w:w="104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auto"/>
                <w:w w:val="90"/>
              </w:rPr>
              <w:t>Treasury</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1"/>
                <w:szCs w:val="11"/>
                <w:color w:val="auto"/>
              </w:rPr>
            </w:pPr>
          </w:p>
        </w:tc>
        <w:tc>
          <w:tcPr>
            <w:tcW w:w="860" w:type="dxa"/>
            <w:vAlign w:val="bottom"/>
            <w:gridSpan w:val="2"/>
          </w:tcPr>
          <w:p>
            <w:pPr>
              <w:jc w:val="center"/>
              <w:ind w:right="88"/>
              <w:spacing w:after="0" w:line="135" w:lineRule="exact"/>
              <w:rPr>
                <w:sz w:val="20"/>
                <w:szCs w:val="20"/>
                <w:color w:val="auto"/>
              </w:rPr>
            </w:pPr>
            <w:r>
              <w:rPr>
                <w:rFonts w:ascii="Arial" w:cs="Arial" w:eastAsia="Arial" w:hAnsi="Arial"/>
                <w:sz w:val="12"/>
                <w:szCs w:val="12"/>
                <w:b w:val="1"/>
                <w:bCs w:val="1"/>
                <w:color w:val="auto"/>
                <w:w w:val="88"/>
              </w:rPr>
              <w:t>Common</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Preferred</w:t>
            </w:r>
          </w:p>
        </w:tc>
        <w:tc>
          <w:tcPr>
            <w:tcW w:w="100" w:type="dxa"/>
            <w:vAlign w:val="bottom"/>
          </w:tcPr>
          <w:p>
            <w:pPr>
              <w:spacing w:after="0"/>
              <w:rPr>
                <w:sz w:val="11"/>
                <w:szCs w:val="11"/>
                <w:color w:val="auto"/>
              </w:rPr>
            </w:pPr>
          </w:p>
        </w:tc>
        <w:tc>
          <w:tcPr>
            <w:tcW w:w="420" w:type="dxa"/>
            <w:vAlign w:val="bottom"/>
          </w:tcPr>
          <w:p>
            <w:pPr>
              <w:jc w:val="right"/>
              <w:ind w:right="50"/>
              <w:spacing w:after="0" w:line="135" w:lineRule="exact"/>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2"/>
              </w:rPr>
              <w:t>Excess of</w:t>
            </w:r>
          </w:p>
        </w:tc>
        <w:tc>
          <w:tcPr>
            <w:tcW w:w="920" w:type="dxa"/>
            <w:vAlign w:val="bottom"/>
            <w:gridSpan w:val="3"/>
          </w:tcPr>
          <w:p>
            <w:pPr>
              <w:jc w:val="center"/>
              <w:ind w:right="68"/>
              <w:spacing w:after="0" w:line="135" w:lineRule="exact"/>
              <w:rPr>
                <w:sz w:val="20"/>
                <w:szCs w:val="20"/>
                <w:color w:val="auto"/>
              </w:rPr>
            </w:pPr>
            <w:r>
              <w:rPr>
                <w:rFonts w:ascii="Arial" w:cs="Arial" w:eastAsia="Arial" w:hAnsi="Arial"/>
                <w:sz w:val="12"/>
                <w:szCs w:val="12"/>
                <w:b w:val="1"/>
                <w:bCs w:val="1"/>
                <w:color w:val="auto"/>
                <w:w w:val="88"/>
              </w:rPr>
              <w:t>(Accumulated</w:t>
            </w:r>
          </w:p>
        </w:tc>
        <w:tc>
          <w:tcPr>
            <w:tcW w:w="140" w:type="dxa"/>
            <w:vAlign w:val="bottom"/>
          </w:tcPr>
          <w:p>
            <w:pPr>
              <w:spacing w:after="0"/>
              <w:rPr>
                <w:sz w:val="11"/>
                <w:szCs w:val="11"/>
                <w:color w:val="auto"/>
              </w:rPr>
            </w:pPr>
          </w:p>
        </w:tc>
        <w:tc>
          <w:tcPr>
            <w:tcW w:w="104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auto"/>
                <w:w w:val="81"/>
              </w:rPr>
              <w:t>Stock-</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7"/>
              </w:rPr>
              <w:t>Par Value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1"/>
              </w:rPr>
              <w:t>Par Value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8"/>
              </w:rPr>
              <w:t>Deficit)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w w:val="95"/>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39,901</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(2,010 )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195,971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57,632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(13,266 ) $</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247,327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(61,911 )</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(61,911 )</w:t>
            </w:r>
          </w:p>
        </w:tc>
        <w:tc>
          <w:tcPr>
            <w:tcW w:w="0" w:type="dxa"/>
            <w:vAlign w:val="bottom"/>
          </w:tcPr>
          <w:p>
            <w:pPr>
              <w:spacing w:after="0"/>
              <w:rPr>
                <w:sz w:val="1"/>
                <w:szCs w:val="1"/>
                <w:color w:val="auto"/>
              </w:rPr>
            </w:pPr>
          </w:p>
        </w:tc>
      </w:tr>
      <w:tr>
        <w:trPr>
          <w:trHeight w:val="143"/>
        </w:trPr>
        <w:tc>
          <w:tcPr>
            <w:tcW w:w="43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Dividend accrued on redeemable</w:t>
            </w: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(35,182 )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(35,182 )</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Accretion of redeemable preferred stock</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(2,026 )</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(2,026 )</w:t>
            </w: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Other</w:t>
            </w: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0" w:type="dxa"/>
            <w:vAlign w:val="bottom"/>
            <w:gridSpan w:val="3"/>
          </w:tcPr>
          <w:p>
            <w:pPr>
              <w:jc w:val="right"/>
              <w:ind w:right="8"/>
              <w:spacing w:after="0"/>
              <w:rPr>
                <w:sz w:val="20"/>
                <w:szCs w:val="20"/>
                <w:color w:val="auto"/>
              </w:rPr>
            </w:pPr>
            <w:r>
              <w:rPr>
                <w:rFonts w:ascii="Arial" w:cs="Arial" w:eastAsia="Arial" w:hAnsi="Arial"/>
                <w:sz w:val="14"/>
                <w:szCs w:val="14"/>
                <w:color w:val="auto"/>
              </w:rPr>
              <w:t>(65 )</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(382 )</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169"/>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39,926</w:t>
            </w: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(2,075</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3,993</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197,350</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(41,487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(13,213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149,643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43,545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43,545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exchange</w:t>
            </w: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for redeemable preferred stocks</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49,066</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526,232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531,139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40" w:type="dxa"/>
            <w:vAlign w:val="bottom"/>
          </w:tcPr>
          <w:p>
            <w:pPr>
              <w:ind w:left="20"/>
              <w:spacing w:after="0" w:line="143" w:lineRule="exact"/>
              <w:rPr>
                <w:sz w:val="20"/>
                <w:szCs w:val="20"/>
                <w:color w:val="auto"/>
              </w:rPr>
            </w:pPr>
            <w:r>
              <w:rPr>
                <w:rFonts w:ascii="Arial" w:cs="Arial" w:eastAsia="Arial" w:hAnsi="Arial"/>
                <w:sz w:val="14"/>
                <w:szCs w:val="14"/>
                <w:color w:val="auto"/>
              </w:rPr>
              <w:t>Deemed dividend on redeemable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120"/>
              <w:spacing w:after="0"/>
              <w:rPr>
                <w:sz w:val="20"/>
                <w:szCs w:val="20"/>
                <w:color w:val="auto"/>
              </w:rPr>
            </w:pPr>
            <w:r>
              <w:rPr>
                <w:rFonts w:ascii="Arial" w:cs="Arial" w:eastAsia="Arial" w:hAnsi="Arial"/>
                <w:sz w:val="14"/>
                <w:szCs w:val="14"/>
                <w:color w:val="auto"/>
              </w:rPr>
              <w:t>preferred stocks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(231,812 )</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(231,812 )</w:t>
            </w:r>
          </w:p>
        </w:tc>
        <w:tc>
          <w:tcPr>
            <w:tcW w:w="0" w:type="dxa"/>
            <w:vAlign w:val="bottom"/>
          </w:tcPr>
          <w:p>
            <w:pPr>
              <w:spacing w:after="0"/>
              <w:rPr>
                <w:sz w:val="1"/>
                <w:szCs w:val="1"/>
                <w:color w:val="auto"/>
              </w:rPr>
            </w:pPr>
          </w:p>
        </w:tc>
      </w:tr>
      <w:tr>
        <w:trPr>
          <w:trHeight w:val="143"/>
        </w:trPr>
        <w:tc>
          <w:tcPr>
            <w:tcW w:w="43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Dividend accrued on redeemable</w:t>
            </w: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 prior to exchange</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(29,914 )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(29,914 )</w:t>
            </w:r>
          </w:p>
        </w:tc>
        <w:tc>
          <w:tcPr>
            <w:tcW w:w="0" w:type="dxa"/>
            <w:vAlign w:val="bottom"/>
          </w:tcPr>
          <w:p>
            <w:pPr>
              <w:spacing w:after="0"/>
              <w:rPr>
                <w:sz w:val="1"/>
                <w:szCs w:val="1"/>
                <w:color w:val="auto"/>
              </w:rPr>
            </w:pPr>
          </w:p>
        </w:tc>
      </w:tr>
      <w:tr>
        <w:trPr>
          <w:trHeight w:val="143"/>
        </w:trPr>
        <w:tc>
          <w:tcPr>
            <w:tcW w:w="4340" w:type="dxa"/>
            <w:vAlign w:val="bottom"/>
          </w:tcPr>
          <w:p>
            <w:pPr>
              <w:ind w:left="20"/>
              <w:spacing w:after="0" w:line="143" w:lineRule="exact"/>
              <w:rPr>
                <w:sz w:val="20"/>
                <w:szCs w:val="20"/>
                <w:color w:val="auto"/>
              </w:rPr>
            </w:pPr>
            <w:r>
              <w:rPr>
                <w:rFonts w:ascii="Arial" w:cs="Arial" w:eastAsia="Arial" w:hAnsi="Arial"/>
                <w:sz w:val="14"/>
                <w:szCs w:val="14"/>
                <w:color w:val="auto"/>
              </w:rPr>
              <w:t>Accretion of redeemable preferred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120"/>
              <w:spacing w:after="0"/>
              <w:rPr>
                <w:sz w:val="20"/>
                <w:szCs w:val="20"/>
                <w:color w:val="auto"/>
              </w:rPr>
            </w:pPr>
            <w:r>
              <w:rPr>
                <w:rFonts w:ascii="Arial" w:cs="Arial" w:eastAsia="Arial" w:hAnsi="Arial"/>
                <w:sz w:val="14"/>
                <w:szCs w:val="14"/>
                <w:color w:val="auto"/>
              </w:rPr>
              <w:t>stock prior to exchange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(1,523 )</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(1,523 )</w:t>
            </w:r>
          </w:p>
        </w:tc>
        <w:tc>
          <w:tcPr>
            <w:tcW w:w="0" w:type="dxa"/>
            <w:vAlign w:val="bottom"/>
          </w:tcPr>
          <w:p>
            <w:pPr>
              <w:spacing w:after="0"/>
              <w:rPr>
                <w:sz w:val="1"/>
                <w:szCs w:val="1"/>
                <w:color w:val="auto"/>
              </w:rPr>
            </w:pPr>
          </w:p>
        </w:tc>
      </w:tr>
      <w:tr>
        <w:trPr>
          <w:trHeight w:val="143"/>
        </w:trPr>
        <w:tc>
          <w:tcPr>
            <w:tcW w:w="43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Dividend paid on non-redeemable</w:t>
            </w: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 upon conversion</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(1,876 )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(1,876 )</w:t>
            </w:r>
          </w:p>
        </w:tc>
        <w:tc>
          <w:tcPr>
            <w:tcW w:w="0" w:type="dxa"/>
            <w:vAlign w:val="bottom"/>
          </w:tcPr>
          <w:p>
            <w:pPr>
              <w:spacing w:after="0"/>
              <w:rPr>
                <w:sz w:val="1"/>
                <w:szCs w:val="1"/>
                <w:color w:val="auto"/>
              </w:rPr>
            </w:pPr>
          </w:p>
        </w:tc>
      </w:tr>
      <w:tr>
        <w:trPr>
          <w:trHeight w:val="143"/>
        </w:trPr>
        <w:tc>
          <w:tcPr>
            <w:tcW w:w="4340" w:type="dxa"/>
            <w:vAlign w:val="bottom"/>
          </w:tcPr>
          <w:p>
            <w:pPr>
              <w:ind w:left="20"/>
              <w:spacing w:after="0" w:line="143" w:lineRule="exact"/>
              <w:rPr>
                <w:sz w:val="20"/>
                <w:szCs w:val="20"/>
                <w:color w:val="auto"/>
              </w:rPr>
            </w:pPr>
            <w:r>
              <w:rPr>
                <w:rFonts w:ascii="Arial" w:cs="Arial" w:eastAsia="Arial" w:hAnsi="Arial"/>
                <w:sz w:val="14"/>
                <w:szCs w:val="14"/>
                <w:color w:val="auto"/>
              </w:rPr>
              <w:t>Conversion of non-redeemable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120"/>
              <w:spacing w:after="0"/>
              <w:rPr>
                <w:sz w:val="20"/>
                <w:szCs w:val="20"/>
                <w:color w:val="auto"/>
              </w:rPr>
            </w:pPr>
            <w:r>
              <w:rPr>
                <w:rFonts w:ascii="Arial" w:cs="Arial" w:eastAsia="Arial" w:hAnsi="Arial"/>
                <w:sz w:val="14"/>
                <w:szCs w:val="14"/>
                <w:color w:val="auto"/>
              </w:rPr>
              <w:t>preferred stock into common stock</w:t>
            </w:r>
          </w:p>
        </w:tc>
        <w:tc>
          <w:tcPr>
            <w:tcW w:w="580" w:type="dxa"/>
            <w:vAlign w:val="bottom"/>
          </w:tcPr>
          <w:p>
            <w:pPr>
              <w:jc w:val="right"/>
              <w:spacing w:after="0"/>
              <w:rPr>
                <w:sz w:val="20"/>
                <w:szCs w:val="20"/>
                <w:color w:val="auto"/>
              </w:rPr>
            </w:pPr>
            <w:r>
              <w:rPr>
                <w:rFonts w:ascii="Arial" w:cs="Arial" w:eastAsia="Arial" w:hAnsi="Arial"/>
                <w:sz w:val="14"/>
                <w:szCs w:val="14"/>
                <w:color w:val="auto"/>
              </w:rPr>
              <w:t>1,192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(3,000 )</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40" w:type="dxa"/>
            <w:vAlign w:val="bottom"/>
          </w:tcPr>
          <w:p>
            <w:pPr>
              <w:ind w:left="20"/>
              <w:spacing w:after="0" w:line="143" w:lineRule="exact"/>
              <w:rPr>
                <w:sz w:val="20"/>
                <w:szCs w:val="20"/>
                <w:color w:val="auto"/>
              </w:rPr>
            </w:pPr>
            <w:r>
              <w:rPr>
                <w:rFonts w:ascii="Arial" w:cs="Arial" w:eastAsia="Arial" w:hAnsi="Arial"/>
                <w:sz w:val="14"/>
                <w:szCs w:val="14"/>
                <w:color w:val="auto"/>
              </w:rPr>
              <w:t>Issuance of restricted and</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984</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700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(7,006 )</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2,680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(4,228 )</w:t>
            </w:r>
          </w:p>
        </w:tc>
        <w:tc>
          <w:tcPr>
            <w:tcW w:w="0" w:type="dxa"/>
            <w:vAlign w:val="bottom"/>
          </w:tcPr>
          <w:p>
            <w:pPr>
              <w:spacing w:after="0"/>
              <w:rPr>
                <w:sz w:val="1"/>
                <w:szCs w:val="1"/>
                <w:color w:val="auto"/>
              </w:rPr>
            </w:pPr>
          </w:p>
        </w:tc>
      </w:tr>
      <w:tr>
        <w:trPr>
          <w:trHeight w:val="167"/>
        </w:trPr>
        <w:tc>
          <w:tcPr>
            <w:tcW w:w="4340" w:type="dxa"/>
            <w:vAlign w:val="bottom"/>
          </w:tcPr>
          <w:p>
            <w:pPr>
              <w:ind w:left="120"/>
              <w:spacing w:after="0"/>
              <w:rPr>
                <w:sz w:val="20"/>
                <w:szCs w:val="20"/>
                <w:color w:val="auto"/>
              </w:rPr>
            </w:pPr>
            <w:r>
              <w:rPr>
                <w:rFonts w:ascii="Arial" w:cs="Arial" w:eastAsia="Arial" w:hAnsi="Arial"/>
                <w:sz w:val="14"/>
                <w:szCs w:val="14"/>
                <w:color w:val="auto"/>
              </w:rPr>
              <w:t>unrestricted stock, net</w:t>
            </w:r>
          </w:p>
        </w:tc>
        <w:tc>
          <w:tcPr>
            <w:tcW w:w="5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91,168</w:t>
            </w: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(1,375</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9,117</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493,161</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(31,255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(10,533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460,490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230,347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230,347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580" w:type="dxa"/>
            <w:vAlign w:val="bottom"/>
          </w:tcPr>
          <w:p>
            <w:pPr>
              <w:spacing w:after="0"/>
              <w:rPr>
                <w:sz w:val="15"/>
                <w:szCs w:val="15"/>
                <w:color w:val="auto"/>
              </w:rPr>
            </w:pPr>
          </w:p>
        </w:tc>
        <w:tc>
          <w:tcPr>
            <w:tcW w:w="10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(13,168 )</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(175,083 )</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(175,083 )</w:t>
            </w: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(345 )</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(7 )</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(3,899 )</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(3,906 )</w:t>
            </w:r>
          </w:p>
        </w:tc>
        <w:tc>
          <w:tcPr>
            <w:tcW w:w="0" w:type="dxa"/>
            <w:vAlign w:val="bottom"/>
          </w:tcPr>
          <w:p>
            <w:pPr>
              <w:spacing w:after="0"/>
              <w:rPr>
                <w:sz w:val="1"/>
                <w:szCs w:val="1"/>
                <w:color w:val="auto"/>
              </w:rPr>
            </w:pPr>
          </w:p>
        </w:tc>
      </w:tr>
      <w:tr>
        <w:trPr>
          <w:trHeight w:val="20"/>
        </w:trPr>
        <w:tc>
          <w:tcPr>
            <w:tcW w:w="4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4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91,168</w:t>
            </w:r>
          </w:p>
        </w:tc>
        <w:tc>
          <w:tcPr>
            <w:tcW w:w="14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(14,888 )</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9,117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497,179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199,092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(189,515 ) $</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515,873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-144780</wp:posOffset>
            </wp:positionV>
            <wp:extent cx="7683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-144780</wp:posOffset>
            </wp:positionV>
            <wp:extent cx="7683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-144780</wp:posOffset>
            </wp:positionV>
            <wp:extent cx="76835"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-144780</wp:posOffset>
            </wp:positionV>
            <wp:extent cx="6858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-144780</wp:posOffset>
            </wp:positionV>
            <wp:extent cx="6858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-144780</wp:posOffset>
            </wp:positionV>
            <wp:extent cx="6858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-144780</wp:posOffset>
            </wp:positionV>
            <wp:extent cx="6858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color w:val="auto"/>
                <w:w w:val="93"/>
              </w:rPr>
              <w:t>(In Thousands)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230,347</w:t>
            </w:r>
          </w:p>
        </w:tc>
        <w:tc>
          <w:tcPr>
            <w:tcW w:w="10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43,545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(61,911 )</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(used) by operating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36,854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(4,306 )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(4,778 )</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 of property, plant and</w:t>
            </w:r>
          </w:p>
        </w:tc>
        <w:tc>
          <w:tcPr>
            <w:tcW w:w="32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66,937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Amortization of intangible and other assets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Charge on extinguishments of debt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8"/>
                <w:szCs w:val="18"/>
                <w:color w:val="auto"/>
              </w:rPr>
              <w:t>Amortization of debt issuance costs, including discounts</w:t>
            </w: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40"/>
              <w:spacing w:after="0"/>
              <w:rPr>
                <w:sz w:val="20"/>
                <w:szCs w:val="20"/>
                <w:color w:val="auto"/>
              </w:rPr>
            </w:pPr>
            <w:r>
              <w:rPr>
                <w:rFonts w:ascii="Arial" w:cs="Arial" w:eastAsia="Arial" w:hAnsi="Arial"/>
                <w:sz w:val="18"/>
                <w:szCs w:val="18"/>
                <w:color w:val="auto"/>
              </w:rPr>
              <w:t>and premiums</w:t>
            </w: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4,025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Loss (gain) associated with commodity contracts</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(2,706 )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(4,638 )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Cash provided (used) by changes in assets and liabilities: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10,197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(42,913 )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(4,702 )</w:t>
            </w:r>
          </w:p>
        </w:tc>
        <w:tc>
          <w:tcPr>
            <w:tcW w:w="0" w:type="dxa"/>
            <w:vAlign w:val="bottom"/>
          </w:tcPr>
          <w:p>
            <w:pPr>
              <w:spacing w:after="0"/>
              <w:rPr>
                <w:sz w:val="1"/>
                <w:szCs w:val="1"/>
                <w:color w:val="auto"/>
              </w:rPr>
            </w:pPr>
          </w:p>
        </w:tc>
      </w:tr>
      <w:tr>
        <w:trPr>
          <w:trHeight w:val="238"/>
        </w:trPr>
        <w:tc>
          <w:tcPr>
            <w:tcW w:w="66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(14,300 )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Supplies, prepaid items and other</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(8,548 )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(8,642 )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(6,585 )</w:t>
            </w:r>
          </w:p>
        </w:tc>
        <w:tc>
          <w:tcPr>
            <w:tcW w:w="0" w:type="dxa"/>
            <w:vAlign w:val="bottom"/>
          </w:tcPr>
          <w:p>
            <w:pPr>
              <w:spacing w:after="0"/>
              <w:rPr>
                <w:sz w:val="1"/>
                <w:szCs w:val="1"/>
                <w:color w:val="auto"/>
              </w:rPr>
            </w:pPr>
          </w:p>
        </w:tc>
      </w:tr>
      <w:tr>
        <w:trPr>
          <w:trHeight w:val="238"/>
        </w:trPr>
        <w:tc>
          <w:tcPr>
            <w:tcW w:w="66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(6,561 )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other liabilities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345,654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87,627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(2,513 )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(45,833 )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(35,128 )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(30,471 )</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Proceeds from short-term investments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158,879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(486,091 )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8"/>
                <w:szCs w:val="18"/>
                <w:color w:val="auto"/>
              </w:rPr>
              <w:t>Proceeds from vendor settlements associated with</w:t>
            </w:r>
          </w:p>
        </w:tc>
        <w:tc>
          <w:tcPr>
            <w:tcW w:w="32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(369,735 )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(34,694 )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(28,426 )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-1535430</wp:posOffset>
            </wp:positionV>
            <wp:extent cx="76835"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-1535430</wp:posOffset>
            </wp:positionV>
            <wp:extent cx="6858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-1535430</wp:posOffset>
            </wp:positionV>
            <wp:extent cx="6858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-156845</wp:posOffset>
            </wp:positionV>
            <wp:extent cx="76835"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-156845</wp:posOffset>
            </wp:positionV>
            <wp:extent cx="6858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color w:val="auto"/>
                <w:w w:val="93"/>
              </w:rPr>
              <w:t>(In Thousands)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Proceeds from revolving debt facility</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revolving debt facility</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(12,000 )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(30,000 )</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Proceeds from 6.25% senior secured notes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9.625% senior secured notes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(435,000 )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Proceeds from other long-term debt</w:t>
            </w: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other long-term debt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(13,750 )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(10,472 )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(21,356 )</w:t>
            </w:r>
          </w:p>
        </w:tc>
        <w:tc>
          <w:tcPr>
            <w:tcW w:w="0" w:type="dxa"/>
            <w:vAlign w:val="bottom"/>
          </w:tcPr>
          <w:p>
            <w:pPr>
              <w:spacing w:after="0"/>
              <w:rPr>
                <w:sz w:val="1"/>
                <w:szCs w:val="1"/>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8"/>
                <w:szCs w:val="18"/>
                <w:color w:val="auto"/>
              </w:rPr>
              <w:t>Payments of debt-related costs, including</w:t>
            </w:r>
          </w:p>
        </w:tc>
        <w:tc>
          <w:tcPr>
            <w:tcW w:w="32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(4,840 )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40"/>
              <w:spacing w:after="0"/>
              <w:rPr>
                <w:sz w:val="20"/>
                <w:szCs w:val="20"/>
                <w:color w:val="auto"/>
              </w:rPr>
            </w:pPr>
            <w:r>
              <w:rPr>
                <w:rFonts w:ascii="Arial" w:cs="Arial" w:eastAsia="Arial" w:hAnsi="Arial"/>
                <w:sz w:val="18"/>
                <w:szCs w:val="18"/>
                <w:color w:val="auto"/>
              </w:rPr>
              <w:t>extinguishment costs</w:t>
            </w: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(27,254 )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short-term financing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20,143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Payments on short-term financing</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(16,725 )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(17,549 )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(10,941 )</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costs to exchange redeemable preferred</w:t>
            </w:r>
          </w:p>
        </w:tc>
        <w:tc>
          <w:tcPr>
            <w:tcW w:w="32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(135 )</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stocks for common stock</w:t>
            </w:r>
          </w:p>
        </w:tc>
        <w:tc>
          <w:tcPr>
            <w:tcW w:w="320" w:type="dxa"/>
            <w:vAlign w:val="bottom"/>
            <w:shd w:val="clear" w:color="auto" w:fill="CFF0FC"/>
          </w:tcPr>
          <w:p>
            <w:pPr>
              <w:spacing w:after="0"/>
              <w:rPr>
                <w:sz w:val="21"/>
                <w:szCs w:val="21"/>
                <w:color w:val="auto"/>
              </w:rPr>
            </w:pPr>
          </w:p>
        </w:tc>
        <w:tc>
          <w:tcPr>
            <w:tcW w:w="1120" w:type="dxa"/>
            <w:vAlign w:val="bottom"/>
            <w:gridSpan w:val="2"/>
            <w:vMerge w:val="continue"/>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(7,363 )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Arial" w:cs="Arial" w:eastAsia="Arial" w:hAnsi="Arial"/>
                <w:sz w:val="18"/>
                <w:szCs w:val="18"/>
                <w:color w:val="auto"/>
              </w:rPr>
              <w:t>Acquisition of treasury stock, net</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(174,975 )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Taxes paid on equity awards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(4,012 )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(4,228 )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8"/>
                <w:szCs w:val="18"/>
                <w:color w:val="auto"/>
              </w:rPr>
              <w:t>Payments of dividends on non-redeemable</w:t>
            </w:r>
          </w:p>
        </w:tc>
        <w:tc>
          <w:tcPr>
            <w:tcW w:w="32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(1,876 )</w:t>
            </w:r>
          </w:p>
        </w:tc>
        <w:tc>
          <w:tcPr>
            <w:tcW w:w="300" w:type="dxa"/>
            <w:vAlign w:val="bottom"/>
          </w:tcPr>
          <w:p>
            <w:pPr>
              <w:spacing w:after="0"/>
              <w:rPr>
                <w:sz w:val="18"/>
                <w:szCs w:val="18"/>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preferred stocks</w:t>
            </w: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5,706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12,947</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(18,375 )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(6,527 )</w:t>
            </w: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82,144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63,769</w:t>
            </w:r>
          </w:p>
        </w:tc>
        <w:tc>
          <w:tcPr>
            <w:tcW w:w="10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82,144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Basis of Consolidation </w:t>
      </w:r>
      <w:r>
        <w:rPr>
          <w:rFonts w:ascii="Arial" w:cs="Arial" w:eastAsia="Arial" w:hAnsi="Arial"/>
          <w:sz w:val="17"/>
          <w:szCs w:val="17"/>
          <w:color w:val="auto"/>
        </w:rPr>
        <w:t>– 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 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Canada and the Caribbean.</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generally accepted accounting principles (“GAAP”)</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Stock Repurchase Program – </w:t>
      </w:r>
      <w:r>
        <w:rPr>
          <w:rFonts w:ascii="Arial" w:cs="Arial" w:eastAsia="Arial" w:hAnsi="Arial"/>
          <w:sz w:val="18"/>
          <w:szCs w:val="18"/>
          <w:color w:val="auto"/>
        </w:rPr>
        <w:t>During May 2022, our Board authorized a $50 million stock repurchase program. In August 2022, our Board authorized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size of the stock repurchase program to $100 million. In October 2022, our Board approved another expansion of the stock repurchase program, authorizing us to repurchase an additional $75 million of our outstanding common stock under the stock repurchase program. During 2022, we completed the repurchase authorizations by repurchasing approximately 13.5 million shares at an average cost of approximately $13 per share, including 9.0 million shares that were repurchased at an average cost of approximately $13 per share in connection with public offerings by LSB Funding and SBT Investors, each of which is an affiliate of Eldridge.</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Increase in Authorized Shares of Common Stock and a Stock Dividend – </w:t>
      </w:r>
      <w:r>
        <w:rPr>
          <w:rFonts w:ascii="Arial" w:cs="Arial" w:eastAsia="Arial" w:hAnsi="Arial"/>
          <w:sz w:val="17"/>
          <w:szCs w:val="17"/>
          <w:color w:val="auto"/>
        </w:rPr>
        <w:t>In 2021, our stockholders approved an increase the number of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our common stock to 150 million shares of common stock. The stockholder also approved the issuance and sale of up to approximately 60.4 million shares of common stock of the Company upon the exchange of all of the outstanding shares of Series E and Series F Redeemable Preferred. The stockholder also amended the certificate of designations of the Series E Redeemable Preferred to eliminate the right to participate in connection with the declaration of a proposed common stock dividend with respect to our common stock at the time of amendment.</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2021, our Board declared a common stock dividend (“Special Dividend”), the Special Dividend was completed in the form of a stock dividend of 0.3 shares of our common stock, for each outstanding share of common stock (excluding common stock held in the treasury and the common shares issued as part of the exchange of all of the outstanding shares of Series E and Series F Redeemable Preferred). The Special Dividend was paid through the issuance of approximately 9.1 million shares of common stock on October 8, 2021 to holders of record of common stock, including certain stock-based awards, on September 24, 2021 (the “Record Date”). Our common stock began trading on a stock dividend-adjusted basis on October 13, 2021.</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reporting purposes, the Special Dividend was accounted for as a stock split in the form of a stock dividend. As a result, all share and per share information herein was retroactively adjusted to reflect the Special Dividend.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result of the exchange transaction discussed above, a change of control event occurred as defined in certain equity award agreements outstanding at the time which are discussed in Note 10.</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U.S. treasury bills with an original maturity up to and less than 52 weeks, are considered short-term investments and are classified as Level 1. We intend and have the ability to hold these investments until maturity. These investments are carried at cost which approximated fair value for the period ended December 31, 2022.</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 Our accounts receivable is at net realizable value. This value includes an appropriate allowance for estimated uncollectible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 Any contract assets consist of receivables from contracts with customers. Our accounts receivable primarily relate to these contract assets and are presented in our consolidated balance sheets.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to our customers are generally unsecured. Credit is extended to customers based on an evaluation of the customer’s financial condition and other factors. Customer payments are generally due thirty to sixty days after the invoice date. Concentrations of credit risk with respect to trade receivables are monitored and this risk is reduced due to short-term payment terms relating to most of our significant customers. Six customers (including their affiliates) account for approximately 52% of our total net receivables at December 31, 2022.</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using the first-in, first-out (“FIFO”) basis) or net realizable value,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selling prices in the ordinary course of business, less reasonably predictable costs of completion, transportation or disposal. Finished goods include material, labor, and manufacturing overhead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reserves associated with cost exceeding net realizable value were not material at December 31, 2022 and 2021.</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(“PP&amp;E”) are stated at cost, net of accumulated depreciation amortization (“D&amp;A”).</w:t>
      </w:r>
      <w:r>
        <w:rPr>
          <w:rFonts w:ascii="Arial" w:cs="Arial" w:eastAsia="Arial" w:hAnsi="Arial"/>
          <w:sz w:val="18"/>
          <w:szCs w:val="18"/>
          <w:b w:val="1"/>
          <w:bCs w:val="1"/>
          <w:color w:val="auto"/>
        </w:rPr>
        <w:t xml:space="preserve"> </w:t>
      </w:r>
      <w:r>
        <w:rPr>
          <w:rFonts w:ascii="Arial" w:cs="Arial" w:eastAsia="Arial" w:hAnsi="Arial"/>
          <w:sz w:val="18"/>
          <w:szCs w:val="18"/>
          <w:color w:val="auto"/>
        </w:rPr>
        <w:t>Leases meeting finance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7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Fully depreciated assets are retained in PP&amp;E and accumulated D&amp;A accounts until disposal. When PP&amp;E is retired, sold, or otherwise disposed, the asset’s carrying amount and related accumulated D&amp;A is removed from the accounts and any gain or loss is included in other income or expense.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 financial reporting purposes, depreciation of the costs of PP&amp;E is computed using the straight-line method over the estimated useful lives of the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 provision for depreciation is made on construction in progress or capital spare parts until such time as the relevant assets are put into service.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Long-lived assets are reviewed for impairment whenever events or changes in circumstances indicate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the event or change in circumstance relates to the probable sale of an asset (or group of assets), the specific asset (or group of assets) is reviewed for impairment.</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We determine if an arrangement is a lease at inception or modification of a contract and classify each lease as either an operating or finance lease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operating lease asset represents our right to use the underlying asset as a lessee for the lease term and an operating lease liability represent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Concentration of Credit Risks for Cash and Cash Equivalents and Sales </w:t>
      </w:r>
      <w:r>
        <w:rPr>
          <w:rFonts w:ascii="Arial" w:cs="Arial" w:eastAsia="Arial" w:hAnsi="Arial"/>
          <w:sz w:val="18"/>
          <w:szCs w:val="18"/>
          <w:color w:val="auto"/>
        </w:rPr>
        <w:t>– Financial instruments relating to cash and cash equivalents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us to concentrations of credit risk. These financial instruments were held by financial institutions within the U.S. None of the financial instruments held within U.S. were in excess of the federally insured limits.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to one customer, Koch Fertilizer LLC (“Koch Fertilizer”), represented approximately 21%, 15% and 10% of our total net sales for 2022, 2021 and 2020, respectively. Net sales to one customer, Coffeyville Resources Nitrogen Fertilizer, LLC (“CVR”), represented approximately 14%, 12% and 13% of our total net sales for 2022, 2021 and 2020, respectively.</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Accrued Insurance Liabilities </w:t>
      </w:r>
      <w:r>
        <w:rPr>
          <w:rFonts w:ascii="Arial" w:cs="Arial" w:eastAsia="Arial" w:hAnsi="Arial"/>
          <w:sz w:val="18"/>
          <w:szCs w:val="18"/>
          <w:color w:val="auto"/>
        </w:rPr>
        <w:t>– We are self-insured up to certain limits for group health and general liability claims. Above these limits,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Executive Benefit Agreements </w:t>
      </w:r>
      <w:r>
        <w:rPr>
          <w:rFonts w:ascii="Arial" w:cs="Arial" w:eastAsia="Arial" w:hAnsi="Arial"/>
          <w:sz w:val="18"/>
          <w:szCs w:val="18"/>
          <w:color w:val="auto"/>
        </w:rPr>
        <w:t>– We are party to certain benefit agreements with certain key former executives. Costs associated with these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agreements are accrued based on the estimated remaining service period when such benefits become probable, or they will be paid. Total costs accrued equal the present value of specified payments to be made after benefits become payable.</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 rates</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the vesting of restricted stock. We reduce income tax expense for investment tax credits in the period the credit arises and is earned.</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 In general, we record the estimated fair value of an asset retirement obligation (“ARO”) associated with tangible long-lived assets in the period it is incurred and when there is sufficient information available to estimate the fair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4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35"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and shipment has occurred. Most of our contracts contain a single performance obligation with the promise to transfer a specific product.</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the following practical expedients and policy elections:</w:t>
      </w:r>
    </w:p>
    <w:p>
      <w:pPr>
        <w:spacing w:after="0" w:line="49" w:lineRule="exact"/>
        <w:rPr>
          <w:sz w:val="20"/>
          <w:szCs w:val="20"/>
          <w:color w:val="auto"/>
        </w:rPr>
      </w:pPr>
    </w:p>
    <w:p>
      <w:pPr>
        <w:ind w:left="1020" w:hanging="503"/>
        <w:spacing w:after="0" w:line="27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recognize revenue in the amount we have the right to invoice relating to certain services that are performed for customers and, not disclosing the value of unsatisfied performance obligations related to such services.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 disclosing the value of unsatisfied performance obligations for contracts with an original expected duration of one year or less.</w:t>
      </w:r>
    </w:p>
    <w:p>
      <w:pPr>
        <w:spacing w:after="0" w:line="47" w:lineRule="exact"/>
        <w:rPr>
          <w:rFonts w:ascii="Arial" w:cs="Arial" w:eastAsia="Arial" w:hAnsi="Arial"/>
          <w:sz w:val="17"/>
          <w:szCs w:val="17"/>
          <w:color w:val="auto"/>
        </w:rPr>
      </w:pPr>
    </w:p>
    <w:p>
      <w:pPr>
        <w:ind w:left="1020" w:hanging="503"/>
        <w:spacing w:after="0" w:line="27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adjusting the promised amount of consideration for the effects of a significant financing component if we expect the financing time period to be one year or less.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 as incurred any incremental costs of obtaining a contract if the associated period of benefit is one year or less.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2E2E38"/>
        </w:rPr>
        <w:t>to exclude from the measurement of the transaction price all taxes assessed by a governmental authority.</w:t>
      </w:r>
    </w:p>
    <w:p>
      <w:pPr>
        <w:spacing w:after="0" w:line="35"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2E2E38"/>
        </w:rPr>
        <w:t>to account for shipping and handling as activities to fulfill the promise to transfer the good.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net sales and long-lived assets relate to domestic operations for the periods presented. Our net sales were mainly to U.S. customers and to customers in Mexico, Canada and the Caribbean.</w:t>
      </w:r>
    </w:p>
    <w:p>
      <w:pPr>
        <w:spacing w:after="0" w:line="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 xml:space="preserve">Recognition of Incentive Tax Credits (Other Than Credits Associated with Income Taxes) </w:t>
      </w:r>
      <w:r>
        <w:rPr>
          <w:rFonts w:ascii="Arial" w:cs="Arial" w:eastAsia="Arial" w:hAnsi="Arial"/>
          <w:sz w:val="16"/>
          <w:szCs w:val="16"/>
          <w:color w:val="auto"/>
        </w:rPr>
        <w:t>– If an incentive tax credit relates to a recovery of taxes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when the contingencies have been resolved (generally at the time a settlement has been reached). Amounts recoverable from the taxing authorities, if any, are included in accounts receivable. The same financial statement classification is used for an incentive tax credit as the associated tax incurred.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did not have an incentive tax credit receivable and it was minimal at December 31, 2021.</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Recognition of Insurance Recoveries </w:t>
      </w:r>
      <w:r>
        <w:rPr>
          <w:rFonts w:ascii="Arial" w:cs="Arial" w:eastAsia="Arial" w:hAnsi="Arial"/>
          <w:sz w:val="16"/>
          <w:szCs w:val="16"/>
          <w:color w:val="auto"/>
        </w:rPr>
        <w:t>– If an insurance claim relates to a recovery of our losses, we recognize the recovery when it is probable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estimable. If our insurance claim relates to a contingent gain, we recognize the recovery when it is realized or when the contingencies have been resolved (generally at the time a settlement has been reached). Amounts recoverable from our insurance carriers, if any, are included in accounts receivable. An insurance recovery in excess of recoverable costs relating to a business interruption claim, if any, is a reduction to cost of sales.</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includes materials, labor and overhead costs, including depreciation, to manufacture the products sold plus inbound freight,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purchasing and receiving 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if any, are reductions to cost of sales.</w:t>
      </w:r>
    </w:p>
    <w:p>
      <w:pPr>
        <w:spacing w:after="0" w:line="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 </w:t>
      </w:r>
      <w:r>
        <w:rPr>
          <w:rFonts w:ascii="Arial" w:cs="Arial" w:eastAsia="Arial" w:hAnsi="Arial"/>
          <w:sz w:val="16"/>
          <w:szCs w:val="16"/>
          <w:color w:val="auto"/>
        </w:rPr>
        <w:t>– Selling, general and administrative expense (“SG&amp;A”) includes costs associated with the sales,</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spacing w:after="0" w:line="3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Derivatives, Hedges and Financial Instruments </w:t>
      </w:r>
      <w:r>
        <w:rPr>
          <w:rFonts w:ascii="Arial" w:cs="Arial" w:eastAsia="Arial" w:hAnsi="Arial"/>
          <w:sz w:val="16"/>
          <w:szCs w:val="16"/>
          <w:color w:val="auto"/>
        </w:rPr>
        <w:t>– Derivatives are recognized in the balance sheet and are measured at fair value. Changes in fair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are recorded in results of operations unless the normal purchase or sale exceptions apply, or hedge accounting is elected. These changes in fair value are changes in assets/liabilities in operating cash flows until cash settlement when the cash flows would be classified according to their nature.</w:t>
      </w:r>
    </w:p>
    <w:p>
      <w:pPr>
        <w:spacing w:after="0" w:line="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When applicable, we present the fair values of our derivative contracts under master netting agreements using a gross fair value presentation.</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5" w:lineRule="exact"/>
        <w:rPr>
          <w:sz w:val="20"/>
          <w:szCs w:val="20"/>
          <w:color w:val="auto"/>
        </w:rPr>
      </w:pPr>
    </w:p>
    <w:p>
      <w:pPr>
        <w:ind w:left="380"/>
        <w:spacing w:after="0" w:line="28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Income (Loss) per Common Share </w:t>
      </w:r>
      <w:r>
        <w:rPr>
          <w:rFonts w:ascii="Arial" w:cs="Arial" w:eastAsia="Arial" w:hAnsi="Arial"/>
          <w:sz w:val="17"/>
          <w:szCs w:val="17"/>
          <w:color w:val="auto"/>
        </w:rPr>
        <w:t>– 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(including the deemed dividend discussed above and presented in Note 2) on preferred stocks and the accretion of redeemable preferred stocks, if applicable. Basic loss per common share is computed by dividing net loss attributable to common stockholders by the weighted average number of common shares outstanding, excluding contingently issuable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prior to the Exchange Transaction and restricted stock units) participated in dividends declared on our common stock and were therefore considered to be participating securities.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was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We operate in one principal business segment – our chemical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U.S. GAAP are established by the FASB in the form of accounting standards updates (“ASUs”) to the FASB’s Accounting Standards Codification. We consider the applicability and impact of all ASUs. ASUs issued and outstanding or that became effective since January 1, 2022 through the date of these financial statements were assessed and determined not to be applicable or are expected to have minimal impact on our condensed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 In</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w w:val="82"/>
              </w:rPr>
              <w:t>Thousands, Except Per Share</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w w:val="93"/>
              </w:rPr>
              <w:t>Amounts)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230,347</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43,545</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(61,911 )</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for basic and diluted net loss per common share: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Arial" w:cs="Arial" w:eastAsia="Arial" w:hAnsi="Arial"/>
                <w:sz w:val="18"/>
                <w:szCs w:val="18"/>
                <w:color w:val="auto"/>
              </w:rPr>
              <w:t>Dividend requirements on Series E Redeemable Preferred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(29,914 )</w:t>
            </w: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(35,182 )</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Deemed dividend on Series E and Series F</w:t>
            </w:r>
          </w:p>
        </w:tc>
        <w:tc>
          <w:tcPr>
            <w:tcW w:w="32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Redeemable Preferred</w:t>
            </w:r>
          </w:p>
        </w:tc>
        <w:tc>
          <w:tcPr>
            <w:tcW w:w="320" w:type="dxa"/>
            <w:vAlign w:val="bottom"/>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(231,812 )</w:t>
            </w: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Arial" w:cs="Arial" w:eastAsia="Arial" w:hAnsi="Arial"/>
                <w:sz w:val="18"/>
                <w:szCs w:val="18"/>
                <w:color w:val="auto"/>
              </w:rPr>
              <w:t>Dividend and dividend requirements on Series B Preferred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(239 )</w:t>
            </w: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Dividend and dividend requirements on Series D Preferred</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(59 )</w:t>
            </w: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6600" w:type="dxa"/>
            <w:vAlign w:val="bottom"/>
          </w:tcPr>
          <w:p>
            <w:pPr>
              <w:ind w:left="380"/>
              <w:spacing w:after="0"/>
              <w:rPr>
                <w:sz w:val="20"/>
                <w:szCs w:val="20"/>
                <w:color w:val="auto"/>
              </w:rPr>
            </w:pPr>
            <w:r>
              <w:rPr>
                <w:rFonts w:ascii="Arial" w:cs="Arial" w:eastAsia="Arial" w:hAnsi="Arial"/>
                <w:sz w:val="18"/>
                <w:szCs w:val="18"/>
                <w:color w:val="auto"/>
              </w:rPr>
              <w:t>Accretion of Series E Redeemable Preferred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(1,523 )</w:t>
            </w:r>
          </w:p>
        </w:tc>
        <w:tc>
          <w:tcPr>
            <w:tcW w:w="4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(2,026 )</w:t>
            </w: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Numerator for basic and diluted net income (loss) per common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230,347</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(220,002</w:t>
            </w:r>
          </w:p>
        </w:tc>
        <w:tc>
          <w:tcPr>
            <w:tcW w:w="260" w:type="dxa"/>
            <w:vAlign w:val="bottom"/>
          </w:tcPr>
          <w:p>
            <w:pPr>
              <w:jc w:val="right"/>
              <w:ind w:right="125"/>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Denominator for basic net income (loss) per common</w:t>
            </w:r>
          </w:p>
        </w:tc>
        <w:tc>
          <w:tcPr>
            <w:tcW w:w="32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84,753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 - weighted- average shares (1)</w:t>
            </w:r>
          </w:p>
        </w:tc>
        <w:tc>
          <w:tcPr>
            <w:tcW w:w="320" w:type="dxa"/>
            <w:vAlign w:val="bottom"/>
            <w:shd w:val="clear" w:color="auto" w:fill="CFF0FC"/>
          </w:tcPr>
          <w:p>
            <w:pPr>
              <w:spacing w:after="0"/>
              <w:rPr>
                <w:sz w:val="21"/>
                <w:szCs w:val="21"/>
                <w:color w:val="auto"/>
              </w:rPr>
            </w:pPr>
          </w:p>
        </w:tc>
        <w:tc>
          <w:tcPr>
            <w:tcW w:w="1040" w:type="dxa"/>
            <w:vAlign w:val="bottom"/>
            <w:vMerge w:val="continue"/>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38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Unvested restricted stock and stock units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00" w:type="dxa"/>
            <w:vAlign w:val="bottom"/>
          </w:tcPr>
          <w:p>
            <w:pPr>
              <w:ind w:left="740"/>
              <w:spacing w:after="0"/>
              <w:rPr>
                <w:sz w:val="20"/>
                <w:szCs w:val="20"/>
                <w:color w:val="auto"/>
              </w:rPr>
            </w:pPr>
            <w:r>
              <w:rPr>
                <w:rFonts w:ascii="Arial" w:cs="Arial" w:eastAsia="Arial" w:hAnsi="Arial"/>
                <w:sz w:val="18"/>
                <w:szCs w:val="18"/>
                <w:color w:val="auto"/>
              </w:rPr>
              <w:t>Dilutive potential common shares</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1,272</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00"/>
              <w:spacing w:after="0"/>
              <w:rPr>
                <w:sz w:val="20"/>
                <w:szCs w:val="20"/>
                <w:color w:val="auto"/>
              </w:rPr>
            </w:pPr>
            <w:r>
              <w:rPr>
                <w:rFonts w:ascii="Arial" w:cs="Arial" w:eastAsia="Arial" w:hAnsi="Arial"/>
                <w:sz w:val="18"/>
                <w:szCs w:val="18"/>
                <w:color w:val="auto"/>
              </w:rPr>
              <w:t>Denominator for diluted net income (loss) per common</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86,025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49,963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340"/>
              <w:spacing w:after="0" w:line="203" w:lineRule="exact"/>
              <w:rPr>
                <w:sz w:val="20"/>
                <w:szCs w:val="20"/>
                <w:color w:val="auto"/>
              </w:rPr>
            </w:pPr>
            <w:r>
              <w:rPr>
                <w:rFonts w:ascii="Arial" w:cs="Arial" w:eastAsia="Arial" w:hAnsi="Arial"/>
                <w:sz w:val="18"/>
                <w:szCs w:val="18"/>
                <w:color w:val="auto"/>
              </w:rPr>
              <w:t>share - adjusted weighted-average shares (1)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(4.40 )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5"/>
              <w:spacing w:after="0"/>
              <w:rPr>
                <w:sz w:val="20"/>
                <w:szCs w:val="20"/>
                <w:color w:val="auto"/>
              </w:rPr>
            </w:pPr>
            <w:r>
              <w:rPr>
                <w:rFonts w:ascii="Arial" w:cs="Arial" w:eastAsia="Arial" w:hAnsi="Arial"/>
                <w:sz w:val="18"/>
                <w:szCs w:val="18"/>
                <w:color w:val="auto"/>
              </w:rPr>
              <w:t>(4.40 )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-1296670</wp:posOffset>
            </wp:positionV>
            <wp:extent cx="2114550" cy="196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0">
                      <a:extLst>
                        <a:ext uri="{28A0092B-C50C-407E-A947-70E740481C1C}"/>
                      </a:extLst>
                    </a:blip>
                    <a:srcRect/>
                    <a:stretch>
                      <a:fillRect/>
                    </a:stretch>
                  </pic:blipFill>
                  <pic:spPr bwMode="auto">
                    <a:xfrm>
                      <a:off x="0" y="0"/>
                      <a:ext cx="2114550" cy="196850"/>
                    </a:xfrm>
                    <a:prstGeom prst="rect">
                      <a:avLst/>
                    </a:prstGeom>
                    <a:noFill/>
                  </pic:spPr>
                </pic:pic>
              </a:graphicData>
            </a:graphic>
          </wp:anchor>
        </w:drawing>
      </w:r>
    </w:p>
    <w:p>
      <w:pPr>
        <w:spacing w:after="0" w:line="10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periods exclude the weighted-average shares of unvested restricted stock that are contingently issuable.</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3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2"/>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5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36"/>
        </w:trPr>
        <w:tc>
          <w:tcPr>
            <w:tcW w:w="4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and stock units</w:t>
            </w:r>
          </w:p>
        </w:tc>
        <w:tc>
          <w:tcPr>
            <w:tcW w:w="31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FF0FC"/>
          </w:tcPr>
          <w:p>
            <w:pPr>
              <w:spacing w:after="0"/>
              <w:rPr>
                <w:sz w:val="21"/>
                <w:szCs w:val="21"/>
                <w:color w:val="auto"/>
              </w:rPr>
            </w:pPr>
          </w:p>
        </w:tc>
      </w:tr>
      <w:tr>
        <w:trPr>
          <w:trHeight w:val="238"/>
        </w:trPr>
        <w:tc>
          <w:tcPr>
            <w:tcW w:w="48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E redeemable preferred stock - embedded derivative</w:t>
            </w:r>
          </w:p>
        </w:tc>
        <w:tc>
          <w:tcPr>
            <w:tcW w:w="18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Convertible preferred stocks</w:t>
            </w:r>
          </w:p>
        </w:tc>
        <w:tc>
          <w:tcPr>
            <w:tcW w:w="18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r>
      <w:tr>
        <w:trPr>
          <w:trHeight w:val="272"/>
        </w:trPr>
        <w:tc>
          <w:tcPr>
            <w:tcW w:w="4860" w:type="dxa"/>
            <w:vAlign w:val="bottom"/>
            <w:tcBorders>
              <w:bottom w:val="single" w:sz="8" w:color="CFF0FC"/>
            </w:tcBorders>
            <w:shd w:val="clear" w:color="auto" w:fill="CFF0FC"/>
          </w:tcPr>
          <w:p>
            <w:pPr>
              <w:spacing w:after="0"/>
              <w:rPr>
                <w:sz w:val="23"/>
                <w:szCs w:val="23"/>
                <w:color w:val="auto"/>
              </w:rPr>
            </w:pPr>
          </w:p>
        </w:tc>
        <w:tc>
          <w:tcPr>
            <w:tcW w:w="18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w:t>
            </w:r>
          </w:p>
        </w:tc>
        <w:tc>
          <w:tcPr>
            <w:tcW w:w="28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6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2"/>
        </w:trPr>
        <w:tc>
          <w:tcPr>
            <w:tcW w:w="4860" w:type="dxa"/>
            <w:vAlign w:val="bottom"/>
          </w:tcPr>
          <w:p>
            <w:pPr>
              <w:spacing w:after="0"/>
              <w:rPr>
                <w:sz w:val="24"/>
                <w:szCs w:val="24"/>
                <w:color w:val="auto"/>
              </w:rPr>
            </w:pPr>
          </w:p>
        </w:tc>
        <w:tc>
          <w:tcPr>
            <w:tcW w:w="3160" w:type="dxa"/>
            <w:vAlign w:val="bottom"/>
            <w:gridSpan w:val="2"/>
          </w:tcPr>
          <w:p>
            <w:pPr>
              <w:jc w:val="right"/>
              <w:ind w:right="2130"/>
              <w:spacing w:after="0"/>
              <w:rPr>
                <w:sz w:val="20"/>
                <w:szCs w:val="20"/>
                <w:color w:val="auto"/>
              </w:rPr>
            </w:pPr>
            <w:r>
              <w:rPr>
                <w:rFonts w:ascii="Arial" w:cs="Arial" w:eastAsia="Arial" w:hAnsi="Arial"/>
                <w:sz w:val="18"/>
                <w:szCs w:val="18"/>
                <w:color w:val="auto"/>
              </w:rPr>
              <w:t>F-15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-521970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-504825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-521970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-504825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000" w:type="dxa"/>
            <w:vAlign w:val="bottom"/>
          </w:tcPr>
          <w:p>
            <w:pPr>
              <w:jc w:val="center"/>
              <w:ind w:left="374"/>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40" w:type="dxa"/>
            <w:vAlign w:val="bottom"/>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useful lives</w:t>
            </w:r>
          </w:p>
        </w:tc>
        <w:tc>
          <w:tcPr>
            <w:tcW w:w="4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(In</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75"/>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equipment and automotive</w:t>
            </w:r>
          </w:p>
        </w:tc>
        <w:tc>
          <w:tcPr>
            <w:tcW w:w="1000" w:type="dxa"/>
            <w:vAlign w:val="bottom"/>
            <w:shd w:val="clear" w:color="auto" w:fill="CFF0FC"/>
          </w:tcPr>
          <w:p>
            <w:pPr>
              <w:jc w:val="center"/>
              <w:ind w:left="374"/>
              <w:spacing w:after="0"/>
              <w:rPr>
                <w:sz w:val="20"/>
                <w:szCs w:val="20"/>
                <w:color w:val="auto"/>
              </w:rPr>
            </w:pPr>
            <w:r>
              <w:rPr>
                <w:rFonts w:ascii="Arial" w:cs="Arial" w:eastAsia="Arial" w:hAnsi="Arial"/>
                <w:sz w:val="18"/>
                <w:szCs w:val="18"/>
                <w:b w:val="1"/>
                <w:bCs w:val="1"/>
                <w:color w:val="auto"/>
                <w:w w:val="89"/>
              </w:rPr>
              <w:t>25</w:t>
            </w: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1,283,429</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1,244,617</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00" w:type="dxa"/>
            <w:vAlign w:val="bottom"/>
          </w:tcPr>
          <w:p>
            <w:pPr>
              <w:jc w:val="center"/>
              <w:ind w:left="374"/>
              <w:spacing w:after="0"/>
              <w:rPr>
                <w:sz w:val="20"/>
                <w:szCs w:val="20"/>
                <w:color w:val="auto"/>
              </w:rPr>
            </w:pPr>
            <w:r>
              <w:rPr>
                <w:rFonts w:ascii="Arial" w:cs="Arial" w:eastAsia="Arial" w:hAnsi="Arial"/>
                <w:sz w:val="18"/>
                <w:szCs w:val="18"/>
                <w:b w:val="1"/>
                <w:bCs w:val="1"/>
                <w:color w:val="auto"/>
                <w:w w:val="89"/>
              </w:rPr>
              <w:t>26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38,021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44,814</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improvements</w:t>
            </w:r>
          </w:p>
        </w:tc>
        <w:tc>
          <w:tcPr>
            <w:tcW w:w="1000" w:type="dxa"/>
            <w:vAlign w:val="bottom"/>
            <w:shd w:val="clear" w:color="auto" w:fill="CFF0FC"/>
          </w:tcPr>
          <w:p>
            <w:pPr>
              <w:jc w:val="center"/>
              <w:ind w:left="374"/>
              <w:spacing w:after="0"/>
              <w:rPr>
                <w:sz w:val="20"/>
                <w:szCs w:val="20"/>
                <w:color w:val="auto"/>
              </w:rPr>
            </w:pPr>
            <w:r>
              <w:rPr>
                <w:rFonts w:ascii="Arial" w:cs="Arial" w:eastAsia="Arial" w:hAnsi="Arial"/>
                <w:sz w:val="18"/>
                <w:szCs w:val="18"/>
                <w:b w:val="1"/>
                <w:bCs w:val="1"/>
                <w:color w:val="auto"/>
                <w:w w:val="89"/>
              </w:rPr>
              <w:t>35</w:t>
            </w: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8,384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Arial" w:cs="Arial" w:eastAsia="Arial" w:hAnsi="Arial"/>
                <w:sz w:val="18"/>
                <w:szCs w:val="18"/>
                <w:color w:val="auto"/>
              </w:rPr>
              <w:t>Furniture, fixtures and store equipment</w:t>
            </w:r>
          </w:p>
        </w:tc>
        <w:tc>
          <w:tcPr>
            <w:tcW w:w="1000" w:type="dxa"/>
            <w:vAlign w:val="bottom"/>
          </w:tcPr>
          <w:p>
            <w:pPr>
              <w:jc w:val="center"/>
              <w:ind w:left="354"/>
              <w:spacing w:after="0"/>
              <w:rPr>
                <w:sz w:val="20"/>
                <w:szCs w:val="20"/>
                <w:color w:val="auto"/>
              </w:rPr>
            </w:pPr>
            <w:r>
              <w:rPr>
                <w:rFonts w:ascii="Arial" w:cs="Arial" w:eastAsia="Arial" w:hAnsi="Arial"/>
                <w:sz w:val="18"/>
                <w:szCs w:val="18"/>
                <w:b w:val="1"/>
                <w:bCs w:val="1"/>
                <w:color w:val="auto"/>
                <w:w w:val="79"/>
              </w:rPr>
              <w:t>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2,438</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000" w:type="dxa"/>
            <w:vAlign w:val="bottom"/>
            <w:shd w:val="clear" w:color="auto" w:fill="CFF0FC"/>
          </w:tcPr>
          <w:p>
            <w:pPr>
              <w:jc w:val="center"/>
              <w:ind w:left="354"/>
              <w:spacing w:after="0"/>
              <w:rPr>
                <w:sz w:val="20"/>
                <w:szCs w:val="20"/>
                <w:color w:val="auto"/>
              </w:rPr>
            </w:pPr>
            <w:r>
              <w:rPr>
                <w:rFonts w:ascii="Arial" w:cs="Arial" w:eastAsia="Arial" w:hAnsi="Arial"/>
                <w:sz w:val="18"/>
                <w:szCs w:val="18"/>
                <w:b w:val="1"/>
                <w:bCs w:val="1"/>
                <w:color w:val="auto"/>
              </w:rPr>
              <w:t>N/A</w:t>
            </w: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28,029</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15,298</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Arial" w:cs="Arial" w:eastAsia="Arial" w:hAnsi="Arial"/>
                <w:sz w:val="18"/>
                <w:szCs w:val="18"/>
                <w:color w:val="auto"/>
              </w:rPr>
              <w:t>Capital spare parts</w:t>
            </w:r>
          </w:p>
        </w:tc>
        <w:tc>
          <w:tcPr>
            <w:tcW w:w="1000" w:type="dxa"/>
            <w:vAlign w:val="bottom"/>
          </w:tcPr>
          <w:p>
            <w:pPr>
              <w:jc w:val="center"/>
              <w:ind w:left="354"/>
              <w:spacing w:after="0"/>
              <w:rPr>
                <w:sz w:val="20"/>
                <w:szCs w:val="20"/>
                <w:color w:val="auto"/>
              </w:rPr>
            </w:pPr>
            <w:r>
              <w:rPr>
                <w:rFonts w:ascii="Arial" w:cs="Arial" w:eastAsia="Arial" w:hAnsi="Arial"/>
                <w:sz w:val="18"/>
                <w:szCs w:val="18"/>
                <w:b w:val="1"/>
                <w:bCs w:val="1"/>
                <w:color w:val="auto"/>
              </w:rPr>
              <w:t>N/A</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22,300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26,744</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1000" w:type="dxa"/>
            <w:vAlign w:val="bottom"/>
            <w:tcBorders>
              <w:bottom w:val="single" w:sz="8" w:color="CFF0FC"/>
            </w:tcBorders>
            <w:shd w:val="clear" w:color="auto" w:fill="CFF0FC"/>
          </w:tcPr>
          <w:p>
            <w:pPr>
              <w:jc w:val="center"/>
              <w:ind w:left="354"/>
              <w:spacing w:after="0"/>
              <w:rPr>
                <w:sz w:val="20"/>
                <w:szCs w:val="20"/>
                <w:color w:val="auto"/>
              </w:rPr>
            </w:pPr>
            <w:r>
              <w:rPr>
                <w:rFonts w:ascii="Arial" w:cs="Arial" w:eastAsia="Arial" w:hAnsi="Arial"/>
                <w:sz w:val="18"/>
                <w:szCs w:val="18"/>
                <w:b w:val="1"/>
                <w:bCs w:val="1"/>
                <w:color w:val="auto"/>
              </w:rPr>
              <w:t>N/A</w:t>
            </w:r>
          </w:p>
        </w:tc>
        <w:tc>
          <w:tcPr>
            <w:tcW w:w="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1,387,168</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1,345,467</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538,507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848,661</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858,480</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 w:lineRule="exact"/>
        <w:rPr>
          <w:sz w:val="20"/>
          <w:szCs w:val="20"/>
          <w:color w:val="auto"/>
        </w:rPr>
      </w:pPr>
    </w:p>
    <w:p>
      <w:pPr>
        <w:ind w:left="660" w:hanging="27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Weighted average useful lives as of December 31, 2022.</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(4-7 years).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and Other Liabilities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76"/>
              <w:spacing w:after="0"/>
              <w:rPr>
                <w:sz w:val="20"/>
                <w:szCs w:val="20"/>
                <w:color w:val="auto"/>
              </w:rPr>
            </w:pPr>
            <w:r>
              <w:rPr>
                <w:rFonts w:ascii="Arial" w:cs="Arial" w:eastAsia="Arial" w:hAnsi="Arial"/>
                <w:sz w:val="14"/>
                <w:szCs w:val="14"/>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72"/>
              </w:rPr>
              <w:t>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12,440</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11,196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8,397</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7,259</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7,755</w:t>
            </w:r>
          </w:p>
        </w:tc>
        <w:tc>
          <w:tcPr>
            <w:tcW w:w="8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8,097</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80" w:type="dxa"/>
            <w:vAlign w:val="bottom"/>
          </w:tcPr>
          <w:p>
            <w:pPr>
              <w:spacing w:after="0"/>
              <w:rPr>
                <w:sz w:val="21"/>
                <w:szCs w:val="21"/>
                <w:color w:val="auto"/>
              </w:rPr>
            </w:pPr>
          </w:p>
        </w:tc>
      </w:tr>
      <w:tr>
        <w:trPr>
          <w:trHeight w:val="236"/>
        </w:trPr>
        <w:tc>
          <w:tcPr>
            <w:tcW w:w="5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38,992</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36,331</w:t>
            </w:r>
          </w:p>
        </w:tc>
        <w:tc>
          <w:tcPr>
            <w:tcW w:w="80" w:type="dxa"/>
            <w:vAlign w:val="bottom"/>
            <w:shd w:val="clear" w:color="auto" w:fill="CFF0FC"/>
          </w:tcPr>
          <w:p>
            <w:pPr>
              <w:spacing w:after="0"/>
              <w:rPr>
                <w:sz w:val="20"/>
                <w:szCs w:val="20"/>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21"/>
                <w:szCs w:val="21"/>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38,470</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-24765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Retirement Obligations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the land on which our plants operate, limiting AROs at our owned chemical facilities. However, we have various legal requirements related to operations at our chemical facilities mainly for the disposal of wastewater generated at certain of these facilities. At December 31, 2022 and 2021, our accrued liability for AROs was $100,000. However, the facilities and some of the water related assets have an indeterminate life and as a result there is insufficient information to estimate the fair value for certain of our AROs. We will continue to review these obligations and record a liability when a reasonable estimate of the fair value can be made.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ind w:left="560"/>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72"/>
              </w:rPr>
              <w:t>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8.00% (A)</w:t>
            </w:r>
          </w:p>
        </w:tc>
        <w:tc>
          <w:tcPr>
            <w:tcW w:w="260" w:type="dxa"/>
            <w:vAlign w:val="bottom"/>
            <w:vMerge w:val="continue"/>
            <w:shd w:val="clear" w:color="auto" w:fill="CFF0FC"/>
          </w:tcPr>
          <w:p>
            <w:pPr>
              <w:spacing w:after="0"/>
              <w:rPr>
                <w:sz w:val="21"/>
                <w:szCs w:val="21"/>
                <w:color w:val="auto"/>
              </w:rPr>
            </w:pPr>
          </w:p>
        </w:tc>
        <w:tc>
          <w:tcPr>
            <w:tcW w:w="1080" w:type="dxa"/>
            <w:vAlign w:val="bottom"/>
            <w:gridSpan w:val="2"/>
            <w:vMerge w:val="continue"/>
            <w:shd w:val="clear" w:color="auto" w:fill="CFF0FC"/>
          </w:tcPr>
          <w:p>
            <w:pPr>
              <w:spacing w:after="0"/>
              <w:rPr>
                <w:sz w:val="21"/>
                <w:szCs w:val="21"/>
                <w:color w:val="auto"/>
              </w:rPr>
            </w:pPr>
          </w:p>
        </w:tc>
        <w:tc>
          <w:tcPr>
            <w:tcW w:w="38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8"/>
                <w:szCs w:val="18"/>
                <w:color w:val="auto"/>
              </w:rPr>
              <w:t>Senior Secured Notes due 2028 (B)</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700,000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26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4,161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260" w:type="dxa"/>
            <w:vAlign w:val="bottom"/>
            <w:shd w:val="clear" w:color="auto" w:fill="CFF0FC"/>
          </w:tcPr>
          <w:p>
            <w:pPr>
              <w:spacing w:after="0"/>
              <w:rPr>
                <w:sz w:val="21"/>
                <w:szCs w:val="21"/>
                <w:color w:val="auto"/>
              </w:rPr>
            </w:pPr>
          </w:p>
        </w:tc>
        <w:tc>
          <w:tcPr>
            <w:tcW w:w="88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Secured Financing Agreement due 2025, with an interest</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19,277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(E)</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1,138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(12,321 )</w:t>
            </w:r>
          </w:p>
        </w:tc>
        <w:tc>
          <w:tcPr>
            <w:tcW w:w="3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(9,722 )</w:t>
            </w:r>
          </w:p>
        </w:tc>
        <w:tc>
          <w:tcPr>
            <w:tcW w:w="0" w:type="dxa"/>
            <w:vAlign w:val="bottom"/>
          </w:tcPr>
          <w:p>
            <w:pPr>
              <w:spacing w:after="0"/>
              <w:rPr>
                <w:sz w:val="1"/>
                <w:szCs w:val="1"/>
                <w:color w:val="auto"/>
              </w:rPr>
            </w:pPr>
          </w:p>
        </w:tc>
      </w:tr>
      <w:tr>
        <w:trPr>
          <w:trHeight w:val="232"/>
        </w:trPr>
        <w:tc>
          <w:tcPr>
            <w:tcW w:w="53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712,255</w:t>
            </w:r>
          </w:p>
        </w:tc>
        <w:tc>
          <w:tcPr>
            <w:tcW w:w="20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527,644</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current portion of long-term debt (F)</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9,522</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Long-term debt due after one year, net (F)</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702,733</w:t>
            </w:r>
          </w:p>
        </w:tc>
        <w:tc>
          <w:tcPr>
            <w:tcW w:w="200" w:type="dxa"/>
            <w:vAlign w:val="bottom"/>
          </w:tcPr>
          <w:p>
            <w:pPr>
              <w:spacing w:after="0"/>
              <w:rPr>
                <w:sz w:val="20"/>
                <w:szCs w:val="20"/>
                <w:color w:val="auto"/>
              </w:rPr>
            </w:pPr>
          </w:p>
        </w:tc>
        <w:tc>
          <w:tcPr>
            <w:tcW w:w="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-504825</wp:posOffset>
            </wp:positionV>
            <wp:extent cx="51435" cy="162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162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9">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5143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1">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316" w:lineRule="exact"/>
        <w:rPr>
          <w:sz w:val="20"/>
          <w:szCs w:val="20"/>
          <w:color w:val="auto"/>
        </w:rPr>
      </w:pPr>
    </w:p>
    <w:p>
      <w:pPr>
        <w:jc w:val="both"/>
        <w:ind w:firstLine="8"/>
        <w:spacing w:after="0" w:line="288" w:lineRule="auto"/>
        <w:tabs>
          <w:tab w:leader="none" w:pos="305"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of which reduces the available for borrowing under the Working Capital Revolver Loan. At December 31, 2022, our available borrowings under our Working Capital Revolver Loan were approximately $64.1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quarterly, if applicable.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contains customary covenants including limitations on asset sales, liens, debt incurrence, restricted payments, investments, dividends and transactions with affiliates.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Working Capital Revolver Loan includes customary events of default. Upon the occurrence of any event of default, the obligations under the Working Capital Revolver Loan may be accelerated and the revolver commitments may be terminated.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under the Working Capital Revolver Loan are secured by a first priority security interest in substantially all of our current assets, including accounts receivable and inventory, subject to certain customary exceptions.</w:t>
      </w:r>
    </w:p>
    <w:p>
      <w:pPr>
        <w:spacing w:after="0" w:line="62" w:lineRule="exact"/>
        <w:rPr>
          <w:sz w:val="20"/>
          <w:szCs w:val="20"/>
          <w:color w:val="auto"/>
        </w:rPr>
      </w:pPr>
    </w:p>
    <w:p>
      <w:pPr>
        <w:jc w:val="both"/>
        <w:ind w:firstLine="8"/>
        <w:spacing w:after="0" w:line="273" w:lineRule="auto"/>
        <w:tabs>
          <w:tab w:leader="none" w:pos="285"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On October 14, 2021, LSB completed the issuance and sale of $500 million in aggregate principal amount of its 6.25% Senior Secured Notes due 2028 (the “Notes”). The New Notes were issued pursuant to an indenture, dated as of October 14, 2021 (the “Indenture”), by and among LSB, the subsidiary guarantors which includes all of our consolidated subsidiaries named therein, and Wilmington Trust, National Association, a national banking association, as trustee and collateral agent. The New Notes were issued at a price equal to 100% of their face value. Most of the proceeds from the Notes were used to redeem all of our existing Senior Secured Notes due 2023 (the "Old Notes"), to pay related transaction fees, and the remaining portion to be used for general corporate purposes. The redemption was completed by the trustee on October 29, 2021.</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Old Notes were redeemed in accordance with the contractual terms and was accounted for as an extinguishment of debt. As a result, we recognized a loss on extinguishment of debt of approximately $20.3 million in 2021, primarily consisting of the contractual redemption premium paid and the expensing of unamortized debt issuance costs associated with the Old Notes.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8, 2022, LSB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Secured Notes mature on October 15, 2028, ranking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New Notes are jointly and severally guaranteed by the subsidiary guarantors named in the Indenture on a senior secured basis.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Senior Secured Notes accrues at a rate of 6.25% per annum and is payable semi-annually in arrears on May 15 and October 15 of each year.</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Indenture, LSB may redeem the New Notes at its option, in whole or in part, at certain redemption prices, including a “make-whole” premium, as set forth in the Indenture but also includes redemption requirements associated with a change of control (as defined in the Indenture). The New Notes do not have any conversion features. In addition, the Indenture contains customary covenants that limit, among other things, LSB and certain of its subsidiaries’ ability to engage in certain transactions and also provides for customary events of default (subject in certain cases to customary grace and cure periods). Generally, if an event of default occurs and is continuing, the trustee or holders of at least 25% in principal amount of the then outstanding New Notes may declare the principal of and accrued but unpaid interest on all the Senior Secured Notes to be due and payable.</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LSB may redeem the Senior Secured Notes at its option, in whole or in part, subject to the payment of a premium of 3.125% of the principal amount so redeemed, in the case of any optional redemption on or after October 15, 2024, a premium of 1.563% in the case of any optional redemption on or after October 15, 2025, and no premium in the case of any optional redemption on or after October 15, 2026. If LSB experiences a change of control, it must offer to purchase the Senior Secured Notes at 101% of their principal amount, plus accrued and unpaid interest, if any, to but excluding the date of purchase.</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in respect of the Senior Secured Notes are secured by a first priority security interest in substantially all of our fixed assets, subject to certain customary exceptions.</w:t>
      </w:r>
    </w:p>
    <w:p>
      <w:pPr>
        <w:spacing w:after="0" w:line="62" w:lineRule="exact"/>
        <w:rPr>
          <w:sz w:val="20"/>
          <w:szCs w:val="20"/>
          <w:color w:val="auto"/>
        </w:rPr>
      </w:pPr>
    </w:p>
    <w:p>
      <w:pPr>
        <w:ind w:firstLine="8"/>
        <w:spacing w:after="0" w:line="277" w:lineRule="auto"/>
        <w:tabs>
          <w:tab w:leader="none" w:pos="29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financing arrangement with an affiliate of Eldridge. Principal and interest are payable in 48 equal monthly installments with a final balloon payment of approximately $3 million due in June 2023.</w:t>
      </w:r>
    </w:p>
    <w:p>
      <w:pPr>
        <w:spacing w:after="0" w:line="61" w:lineRule="exact"/>
        <w:rPr>
          <w:rFonts w:ascii="Arial" w:cs="Arial" w:eastAsia="Arial" w:hAnsi="Arial"/>
          <w:sz w:val="18"/>
          <w:szCs w:val="18"/>
          <w:b w:val="1"/>
          <w:bCs w:val="1"/>
          <w:color w:val="auto"/>
        </w:rPr>
      </w:pPr>
    </w:p>
    <w:p>
      <w:pPr>
        <w:jc w:val="both"/>
        <w:ind w:firstLine="8"/>
        <w:spacing w:after="0" w:line="286" w:lineRule="auto"/>
        <w:tabs>
          <w:tab w:leader="none" w:pos="308"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In August 2020, El Dorado Ammonia L.L.C. (“EDA”), one of our subsidiaries, entered into a $30 million secured financing arrangement with an affiliate of Eldridge.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56" w:lineRule="exact"/>
        <w:rPr>
          <w:rFonts w:ascii="Arial" w:cs="Arial" w:eastAsia="Arial" w:hAnsi="Arial"/>
          <w:sz w:val="17"/>
          <w:szCs w:val="17"/>
          <w:b w:val="1"/>
          <w:bCs w:val="1"/>
          <w:color w:val="auto"/>
        </w:rPr>
      </w:pPr>
    </w:p>
    <w:p>
      <w:pPr>
        <w:ind w:right="20" w:firstLine="8"/>
        <w:spacing w:after="0" w:line="277" w:lineRule="auto"/>
        <w:tabs>
          <w:tab w:leader="none" w:pos="29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During 2022 EDC’s secured loan agreement with an affiliate of Eldridge was paid off resulting in a minimal loss on extinguishment of debt. This loan incurred interest at a rate of 8.75% and had an original maturity date of March 2025.</w:t>
      </w:r>
    </w:p>
    <w:p>
      <w:pPr>
        <w:spacing w:after="0" w:line="61" w:lineRule="exact"/>
        <w:rPr>
          <w:rFonts w:ascii="Arial" w:cs="Arial" w:eastAsia="Arial" w:hAnsi="Arial"/>
          <w:sz w:val="18"/>
          <w:szCs w:val="18"/>
          <w:b w:val="1"/>
          <w:bCs w:val="1"/>
          <w:color w:val="auto"/>
        </w:rPr>
      </w:pPr>
    </w:p>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2022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9,522</w:t>
            </w:r>
          </w:p>
        </w:tc>
        <w:tc>
          <w:tcPr>
            <w:tcW w:w="2260" w:type="dxa"/>
            <w:vAlign w:val="bottom"/>
          </w:tcPr>
          <w:p>
            <w:pPr>
              <w:spacing w:after="0"/>
              <w:rPr>
                <w:sz w:val="21"/>
                <w:szCs w:val="21"/>
                <w:color w:val="auto"/>
              </w:rPr>
            </w:pPr>
          </w:p>
        </w:tc>
      </w:tr>
      <w:tr>
        <w:trPr>
          <w:trHeight w:val="236"/>
        </w:trPr>
        <w:tc>
          <w:tcPr>
            <w:tcW w:w="226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2024</w:t>
            </w:r>
          </w:p>
        </w:tc>
        <w:tc>
          <w:tcPr>
            <w:tcW w:w="2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5,838</w:t>
            </w:r>
          </w:p>
        </w:tc>
        <w:tc>
          <w:tcPr>
            <w:tcW w:w="2260" w:type="dxa"/>
            <w:vAlign w:val="bottom"/>
          </w:tcPr>
          <w:p>
            <w:pPr>
              <w:spacing w:after="0"/>
              <w:rPr>
                <w:sz w:val="20"/>
                <w:szCs w:val="20"/>
                <w:color w:val="auto"/>
              </w:rPr>
            </w:pPr>
          </w:p>
        </w:tc>
      </w:tr>
      <w:tr>
        <w:trPr>
          <w:trHeight w:val="249"/>
        </w:trPr>
        <w:tc>
          <w:tcPr>
            <w:tcW w:w="2260" w:type="dxa"/>
            <w:vAlign w:val="bottom"/>
          </w:tcPr>
          <w:p>
            <w:pPr>
              <w:spacing w:after="0"/>
              <w:rPr>
                <w:sz w:val="21"/>
                <w:szCs w:val="21"/>
                <w:color w:val="auto"/>
              </w:rPr>
            </w:pPr>
          </w:p>
        </w:tc>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8,793</w:t>
            </w:r>
          </w:p>
        </w:tc>
        <w:tc>
          <w:tcPr>
            <w:tcW w:w="2260" w:type="dxa"/>
            <w:vAlign w:val="bottom"/>
          </w:tcPr>
          <w:p>
            <w:pPr>
              <w:spacing w:after="0"/>
              <w:rPr>
                <w:sz w:val="21"/>
                <w:szCs w:val="21"/>
                <w:color w:val="auto"/>
              </w:rPr>
            </w:pPr>
          </w:p>
        </w:tc>
      </w:tr>
      <w:tr>
        <w:trPr>
          <w:trHeight w:val="236"/>
        </w:trPr>
        <w:tc>
          <w:tcPr>
            <w:tcW w:w="226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2026</w:t>
            </w:r>
          </w:p>
        </w:tc>
        <w:tc>
          <w:tcPr>
            <w:tcW w:w="2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2260" w:type="dxa"/>
            <w:vAlign w:val="bottom"/>
          </w:tcPr>
          <w:p>
            <w:pPr>
              <w:spacing w:after="0"/>
              <w:rPr>
                <w:sz w:val="20"/>
                <w:szCs w:val="20"/>
                <w:color w:val="auto"/>
              </w:rPr>
            </w:pPr>
          </w:p>
        </w:tc>
      </w:tr>
      <w:tr>
        <w:trPr>
          <w:trHeight w:val="249"/>
        </w:trPr>
        <w:tc>
          <w:tcPr>
            <w:tcW w:w="2260" w:type="dxa"/>
            <w:vAlign w:val="bottom"/>
          </w:tcPr>
          <w:p>
            <w:pPr>
              <w:spacing w:after="0"/>
              <w:rPr>
                <w:sz w:val="21"/>
                <w:szCs w:val="21"/>
                <w:color w:val="auto"/>
              </w:rPr>
            </w:pPr>
          </w:p>
        </w:tc>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60" w:type="dxa"/>
            <w:vAlign w:val="bottom"/>
          </w:tcPr>
          <w:p>
            <w:pPr>
              <w:spacing w:after="0"/>
              <w:rPr>
                <w:sz w:val="21"/>
                <w:szCs w:val="21"/>
                <w:color w:val="auto"/>
              </w:rPr>
            </w:pPr>
          </w:p>
        </w:tc>
      </w:tr>
      <w:tr>
        <w:trPr>
          <w:trHeight w:val="243"/>
        </w:trPr>
        <w:tc>
          <w:tcPr>
            <w:tcW w:w="226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700,125</w:t>
            </w:r>
          </w:p>
        </w:tc>
        <w:tc>
          <w:tcPr>
            <w:tcW w:w="2260" w:type="dxa"/>
            <w:vAlign w:val="bottom"/>
          </w:tcPr>
          <w:p>
            <w:pPr>
              <w:spacing w:after="0"/>
              <w:rPr>
                <w:sz w:val="21"/>
                <w:szCs w:val="21"/>
                <w:color w:val="auto"/>
              </w:rPr>
            </w:pPr>
          </w:p>
        </w:tc>
      </w:tr>
      <w:tr>
        <w:trPr>
          <w:trHeight w:val="236"/>
        </w:trPr>
        <w:tc>
          <w:tcPr>
            <w:tcW w:w="2260" w:type="dxa"/>
            <w:vAlign w:val="bottom"/>
          </w:tcPr>
          <w:p>
            <w:pPr>
              <w:spacing w:after="0"/>
              <w:rPr>
                <w:sz w:val="20"/>
                <w:szCs w:val="20"/>
                <w:color w:val="auto"/>
              </w:rPr>
            </w:pPr>
          </w:p>
        </w:tc>
        <w:tc>
          <w:tcPr>
            <w:tcW w:w="2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Debt issuance costs</w:t>
            </w:r>
          </w:p>
        </w:tc>
        <w:tc>
          <w:tcPr>
            <w:tcW w:w="28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12,321</w:t>
            </w:r>
          </w:p>
        </w:tc>
        <w:tc>
          <w:tcPr>
            <w:tcW w:w="2260" w:type="dxa"/>
            <w:vAlign w:val="bottom"/>
          </w:tcPr>
          <w:p>
            <w:pPr>
              <w:spacing w:after="0"/>
              <w:rPr>
                <w:sz w:val="20"/>
                <w:szCs w:val="20"/>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712,255</w:t>
            </w:r>
          </w:p>
        </w:tc>
        <w:tc>
          <w:tcPr>
            <w:tcW w:w="22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34"/>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gridSpan w:val="2"/>
          </w:tcPr>
          <w:p>
            <w:pPr>
              <w:jc w:val="right"/>
              <w:ind w:right="221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-684530</wp:posOffset>
            </wp:positionV>
            <wp:extent cx="3429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are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color w:val="auto"/>
                <w:w w:val="93"/>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9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7"/>
        </w:trPr>
        <w:tc>
          <w:tcPr>
            <w:tcW w:w="5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2,320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(250 )</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920" w:type="dxa"/>
            <w:vAlign w:val="bottom"/>
          </w:tcPr>
          <w:p>
            <w:pPr>
              <w:ind w:left="360"/>
              <w:spacing w:after="0"/>
              <w:rPr>
                <w:sz w:val="20"/>
                <w:szCs w:val="20"/>
                <w:color w:val="auto"/>
              </w:rPr>
            </w:pPr>
            <w:r>
              <w:rPr>
                <w:rFonts w:ascii="Arial" w:cs="Arial" w:eastAsia="Arial" w:hAnsi="Arial"/>
                <w:sz w:val="18"/>
                <w:szCs w:val="18"/>
                <w:color w:val="auto"/>
              </w:rPr>
              <w:t>Total Current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(250 )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r>
      <w:tr>
        <w:trPr>
          <w:trHeight w:val="236"/>
        </w:trPr>
        <w:tc>
          <w:tcPr>
            <w:tcW w:w="59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43,217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(6,217 )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(4,631 )</w:t>
            </w: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(6,363 )</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36"/>
        </w:trPr>
        <w:tc>
          <w:tcPr>
            <w:tcW w:w="59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36,854</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5920" w:type="dxa"/>
            <w:vAlign w:val="bottom"/>
          </w:tcPr>
          <w:p>
            <w:pPr>
              <w:ind w:left="5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39,174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(4,556 )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(4,749 )</w:t>
            </w: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-1137920</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-1137920</wp:posOffset>
            </wp:positionV>
            <wp:extent cx="5969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-1137920</wp:posOffset>
            </wp:positionV>
            <wp:extent cx="5969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5969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provision (benefit) for federal and state income taxes shown above includes federal and state income tax after the consideration of permanent and temporary differences between income for GAAP and tax purposes.</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deferred tax provision (benefit) results from the recognition of changes in our prior year deferred tax assets and liabilities, and the utilization of federal and state NOL carryforwards and other temporary differences. We reduce income tax expense for tax credits in the year they arise and are earned. On December 31, 2022, our gross amount of tax credits available to offset state income taxes was $4.3 million ($3.4 million net of federal benefit). Most of these tax credits carryforward for 9 years and begin expiring in 2022. The gross amount of federal tax credits was $8.1 million. These credits carryforward for 20 years and begin expiring in 2034.</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we utilized approximately $240 million and $243 million of federal and state NOL carryforwards, respectively, to reduce tax liabilities and in 2021, we utilized approximately $64 million and $56 million of federal and state NOL carryforwards, respectively, to reduce tax liabilities (minimal in 2020). On December 31, 2022, we have remaining federal and state tax NOL carryforwards of $352 million and $440 million, respectively. The federal NOL carryforwards begin expiring in 2036 and the state NOL carryforwards began expiring in 2023.</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annual utilization limitations of interest expense and net operating losses and our results of operations. Based on our analysis, we believe that it is more-likely-than-not that all of our federal deferred tax assets will be utilized and a portion of our state deferred tax assets will not be able to be utilized. Information relating to our valuation allowance are included in the tables below. In 2022, the provision for income taxes includes the reversal of approximately $13 million of federal valuation allowance and $19 million of state valuation allowance primarily due to current year income. There is no federal valuation allowance left as of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ind w:left="560"/>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72"/>
              </w:rPr>
              <w:t>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2,354</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1,813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5,215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8"/>
                <w:szCs w:val="18"/>
                <w:color w:val="auto"/>
              </w:rPr>
              <w:t>Interest expense carryforward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93,201</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159,213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11,950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valuation allowance on deferred tax assets</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(14,916 )</w:t>
            </w:r>
          </w:p>
        </w:tc>
        <w:tc>
          <w:tcPr>
            <w:tcW w:w="3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(46,968 )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Total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115,642</w:t>
            </w:r>
          </w:p>
        </w:tc>
        <w:tc>
          <w:tcPr>
            <w:tcW w:w="2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163,024</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0"/>
                <w:szCs w:val="20"/>
                <w:color w:val="auto"/>
              </w:rPr>
            </w:pPr>
          </w:p>
        </w:tc>
        <w:tc>
          <w:tcPr>
            <w:tcW w:w="108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(169,507 )</w:t>
            </w:r>
          </w:p>
        </w:tc>
        <w:tc>
          <w:tcPr>
            <w:tcW w:w="3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(178,535 )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Right-of-use-assets</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(5,340 )</w:t>
            </w:r>
          </w:p>
        </w:tc>
        <w:tc>
          <w:tcPr>
            <w:tcW w:w="3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Arial" w:cs="Arial" w:eastAsia="Arial" w:hAnsi="Arial"/>
                <w:sz w:val="18"/>
                <w:szCs w:val="18"/>
                <w:color w:val="auto"/>
              </w:rPr>
              <w:t>Prepaid and other insurance reserves</w:t>
            </w:r>
          </w:p>
        </w:tc>
        <w:tc>
          <w:tcPr>
            <w:tcW w:w="260" w:type="dxa"/>
            <w:vAlign w:val="bottom"/>
          </w:tcPr>
          <w:p>
            <w:pPr>
              <w:spacing w:after="0"/>
              <w:rPr>
                <w:sz w:val="20"/>
                <w:szCs w:val="20"/>
                <w:color w:val="auto"/>
              </w:rPr>
            </w:pPr>
          </w:p>
        </w:tc>
        <w:tc>
          <w:tcPr>
            <w:tcW w:w="108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(4,282 )</w:t>
            </w:r>
          </w:p>
        </w:tc>
        <w:tc>
          <w:tcPr>
            <w:tcW w:w="3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(4,413 )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deferred tax liabilities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(179,129</w:t>
            </w:r>
          </w:p>
        </w:tc>
        <w:tc>
          <w:tcPr>
            <w:tcW w:w="200" w:type="dxa"/>
            <w:vAlign w:val="bottom"/>
            <w:tcBorders>
              <w:top w:val="single" w:sz="8" w:color="CFF0FC"/>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(189,657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(63,487</w:t>
            </w:r>
          </w:p>
        </w:tc>
        <w:tc>
          <w:tcPr>
            <w:tcW w:w="200" w:type="dxa"/>
            <w:vAlign w:val="bottom"/>
            <w:tcBorders>
              <w:top w:val="single" w:sz="8" w:color="CFF0FC"/>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(26,633</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-1335405</wp:posOffset>
            </wp:positionV>
            <wp:extent cx="5143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-1335405</wp:posOffset>
            </wp:positionV>
            <wp:extent cx="42545"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4">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-530225</wp:posOffset>
            </wp:positionV>
            <wp:extent cx="882015" cy="530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5">
                      <a:extLst>
                        <a:ext uri="{28A0092B-C50C-407E-A947-70E740481C1C}"/>
                      </a:extLst>
                    </a:blip>
                    <a:srcRect/>
                    <a:stretch>
                      <a:fillRect/>
                    </a:stretch>
                  </pic:blipFill>
                  <pic:spPr bwMode="auto">
                    <a:xfrm>
                      <a:off x="0" y="0"/>
                      <a:ext cx="882015" cy="530860"/>
                    </a:xfrm>
                    <a:prstGeom prst="rect">
                      <a:avLst/>
                    </a:prstGeom>
                    <a:noFill/>
                  </pic:spPr>
                </pic:pic>
              </a:graphicData>
            </a:graphic>
          </wp:anchor>
        </w:drawing>
      </w:r>
    </w:p>
    <w:p>
      <w:pPr>
        <w:spacing w:after="0" w:line="20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All of our income (loss) before taxes relates to domestic operations. Detailed below are the differences between the amount of the provision (benefit) for income taxes and the amount which would result from the application of the federal statutory rate to “Income (loss) before benefit for income taxes.”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color w:val="auto"/>
                <w:w w:val="99"/>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 at federal</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56,543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rate</w:t>
            </w:r>
          </w:p>
        </w:tc>
        <w:tc>
          <w:tcPr>
            <w:tcW w:w="240" w:type="dxa"/>
            <w:vAlign w:val="bottom"/>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(13,999 )</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State current and deferred income tax provision</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140"/>
              <w:spacing w:after="0"/>
              <w:rPr>
                <w:sz w:val="20"/>
                <w:szCs w:val="20"/>
                <w:color w:val="auto"/>
              </w:rPr>
            </w:pPr>
            <w:r>
              <w:rPr>
                <w:rFonts w:ascii="Arial" w:cs="Arial" w:eastAsia="Arial" w:hAnsi="Arial"/>
                <w:sz w:val="18"/>
                <w:szCs w:val="18"/>
                <w:color w:val="auto"/>
              </w:rPr>
              <w:t>(benefit)</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(5,094 )</w:t>
            </w:r>
          </w:p>
        </w:tc>
        <w:tc>
          <w:tcPr>
            <w:tcW w:w="0" w:type="dxa"/>
            <w:vAlign w:val="bottom"/>
          </w:tcPr>
          <w:p>
            <w:pPr>
              <w:spacing w:after="0"/>
              <w:rPr>
                <w:sz w:val="1"/>
                <w:szCs w:val="1"/>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 Federal</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(12,701 )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(13,400 )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color w:val="auto"/>
              </w:rPr>
              <w:t>Valuation allowance - State</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(19,351 )</w:t>
            </w:r>
          </w:p>
        </w:tc>
        <w:tc>
          <w:tcPr>
            <w:tcW w:w="26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(4,286 )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State tax rate changes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2,824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(660 )</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(2,835 )</w:t>
            </w:r>
          </w:p>
        </w:tc>
        <w:tc>
          <w:tcPr>
            <w:tcW w:w="24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PPP loan forgiveness</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(2,456 )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39,174</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-24765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4"/>
              <w:spacing w:after="0"/>
              <w:rPr>
                <w:sz w:val="20"/>
                <w:szCs w:val="20"/>
                <w:color w:val="auto"/>
              </w:rPr>
            </w:pPr>
            <w:r>
              <w:rPr>
                <w:rFonts w:ascii="Arial" w:cs="Arial" w:eastAsia="Arial" w:hAnsi="Arial"/>
                <w:sz w:val="14"/>
                <w:szCs w:val="14"/>
                <w:color w:val="auto"/>
                <w:w w:val="97"/>
              </w:rPr>
              <w:t>(In 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0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(464 )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(55 )</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As of December 31, 2022, there is no remaining uncertain tax position.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interest related to unrecognized tax positions in interest expense and penalties in operating other expense. For 2022, 2021 and 2020, the amounts for interest and penalties associated with unrecognized tax positions were minimal. At December 31, 2022, there was no accrued interest or penalties (none at December 31,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2019-2022 years remain open for all purposes of examination by the U.S. Internal Revenue Service (“IRS”) and other major tax jurisdictions. Additionally, the 2013-2018 years remain subject to examination for determining the amount of net operating loss and other carryforwards.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and Sales Commitments </w:t>
      </w:r>
      <w:r>
        <w:rPr>
          <w:rFonts w:ascii="Arial" w:cs="Arial" w:eastAsia="Arial" w:hAnsi="Arial"/>
          <w:sz w:val="18"/>
          <w:szCs w:val="18"/>
          <w:color w:val="auto"/>
        </w:rPr>
        <w:t>– We have the following significant purchase and sales commitments.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UAN supply agreement – During 2022, Pryor Chemical Company (“PCC”) provided notice of termination under the Urea Ammonium Nitrate Purchase Agreement with Coffeyville Resources Nitrogen Fertilizers, LLC (“CVR”), dated March 3, 2016 (as amended, the “CVR Purchase Agreement”). The termination was effective as of December 31, 2022. Under the CVR Purchase Agreement, CVR had the exclusive right to purchase substantially all of the UAN produced at the Pryor Facility. PCC did not incur any early termination penalties in connection with the termination of the CVR Purchase Agreement. PCC elected to terminate the CVR Purchase Agreement to pursue alternative marketing arrangements for the UAN it produces at the Pryor Facility. The CVR Purchase Agreement provided for a three-year term beginning June 1, 2016, with optional one-year renewals. The CVR Purchase Agreement permitted termination after May 31, 2019 (i) by CVR upon six months’ notice or (ii) by PCC upon three months’ notice or if the Pryor Facility is shut down for lack of profitability.</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Ammonia supply agreement – During 2022, El Dorado Chemical Company (“EDC”) received a notice of non-renewal of the Ammonia Purchase and Sale Agreement with Koch Fertilizer, dated November 2, 2015 (as amended, the “Ammonia Purchase Agreement” or the “Agreement”). Under the Agreement Koch Fertilizer agreed to purchase, with minimum purchase requirements, the ammonia that (a) will be produced at the El Dorado Facility and (b) a portion that is in excess of EDC’s needs as defined. The notice is a procedural requirement to keep the contract from automatically renewing and the parties are renegotiating the terms of the Agreement to continue supply beyond the termination date of June 30, 2023.</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Nitric acid supply agreement – EDC is party to an agreement with a customer to supply nitric acid. Under the agreement, EDC agreed to supply between 70,000 to 100,000 tons of nitric acid annually. The initial contract term began in 2021 and extends through 2027 but includes automatic one-year renewal terms unless terminated by either party in writing 180 days before the current contract expiration date.</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Settlements and Outstanding Natural Gas Purchase Commitments – </w:t>
      </w:r>
      <w:r>
        <w:rPr>
          <w:rFonts w:ascii="Arial" w:cs="Arial" w:eastAsia="Arial" w:hAnsi="Arial"/>
          <w:sz w:val="18"/>
          <w:szCs w:val="18"/>
          <w:color w:val="auto"/>
        </w:rPr>
        <w:t>During several days in February 2021, the Pryor Facility was taken out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El Dorado Facility asserted a claim of force majeure and materially restricted the supply of gas to the facility. 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2021, as a result of the extreme conditions previously described, we settled all of our natural gas forward contracts and certain volume purchase commitments at that time and recognized a realized gain of approximately $6.8 million, which includes the realized gain discussed under “Natural Gas Contracts” in Note 9 and was classified as a reduction to cost of sales.</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2022 certain of our natural gas contracts qualify as normal purchases under GAAP and thus are not mark-to-market, which contracts included volume purchase commitments with fixed costs of approximately 8.1 million MMBtus of natural gas. These contracts extend through December 2023 at a weighted-average cost of $6.25 per MMBtu ($50.8 million) and a weighted-average market value of $4.19 per MMBtu ($34.0 million).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had standby letters of credit outstanding of approximately $0.9 million at December 31, 2022.</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Wastewater Pipeline Operating Agreement – </w:t>
      </w:r>
      <w:r>
        <w:rPr>
          <w:rFonts w:ascii="Arial" w:cs="Arial" w:eastAsia="Arial" w:hAnsi="Arial"/>
          <w:sz w:val="18"/>
          <w:szCs w:val="18"/>
          <w:color w:val="auto"/>
        </w:rPr>
        <w:t>EDC is party to an operating agreement for the right to use a pipeline to dispose its wastewater. EDC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obligated to pay a portion of the operating costs of the pipeline, as incurred, which portion is estimated to be $60,000 to $90,000 annually. The initial term of the operating agreement is through December 2053.</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2022, we have agreed to indemnify the sureties for payments, up to $9.7 million, made by them in respect of such bonds. All of these insurance bonds are expected to expire or be renewed in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Employment and Severance Agreements - </w:t>
      </w:r>
      <w:r>
        <w:rPr>
          <w:rFonts w:ascii="Arial" w:cs="Arial" w:eastAsia="Arial" w:hAnsi="Arial"/>
          <w:sz w:val="18"/>
          <w:szCs w:val="18"/>
          <w:color w:val="auto"/>
        </w:rPr>
        <w:t>We have employment and severance agreements with several of our officers. The agreements,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annual base salaries, bonuses and other benefits commonly found in such agreements. In the event of termination of employment due to a change in control (as defined in the agreements), the agreements provide for payments aggregating $10.8 million at December 31, 2022. Also see Note 13-Related Party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2022,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2017, the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has submitted a formal response to the information request and is currently evaluating wastewater treatment alternatives.</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risk assessment was submitted in 2007. In 2015, the Arkansas Department of Environmental Quality (“ADEQ”) stated that El Dorado Chemical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No liability has been established as of December 31, 2022, in connection with this ADEQ matter.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December 31, 2022, no liability reserve has been established in connection with this matter.</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8"/>
          <w:szCs w:val="18"/>
          <w:i w:val="1"/>
          <w:iCs w:val="1"/>
          <w:color w:val="auto"/>
        </w:rPr>
        <w:t>Global Industrial, Inc. d/b/a Global Turnaround vs. Leidos Constructors,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LLC et al., </w:t>
      </w:r>
      <w:r>
        <w:rPr>
          <w:rFonts w:ascii="Arial" w:cs="Arial" w:eastAsia="Arial" w:hAnsi="Arial"/>
          <w:sz w:val="18"/>
          <w:szCs w:val="18"/>
          <w:color w:val="auto"/>
        </w:rPr>
        <w:t>in the Circuit court of Union County, Arkansas, wherein Global sought damages under breach of contract and other claims.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summons, our accounts payable included invoices totaling approximately $3.5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ind w:firstLine="58"/>
        <w:spacing w:after="0" w:line="259" w:lineRule="auto"/>
        <w:rPr>
          <w:sz w:val="20"/>
          <w:szCs w:val="20"/>
          <w:color w:val="auto"/>
        </w:rPr>
      </w:pPr>
      <w:r>
        <w:rPr>
          <w:rFonts w:ascii="Arial" w:cs="Arial" w:eastAsia="Arial" w:hAnsi="Arial"/>
          <w:sz w:val="18"/>
          <w:szCs w:val="18"/>
          <w:color w:val="auto"/>
        </w:rPr>
        <w:t>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This judgement was accrued for at the time of the ruling, and we continue to accrue post-judgement interest.</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filed a notice of intent to appeal and the court entered a stay of the judgment pending appeal. 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7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No liability was established at December 31, 2022 or December 31, 2021, in connection with the cross-claims in Part (2) of the matter, except for certain invoices held in accounts payable. 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entered into certain forward natural gas contracts, which are accounted for on a mark-to-market basis. We utilize these natural gas contracts as economic hedges for risk management purposes but are not designated as hedging instruments. At December 31, 2020, our natural gas contracts included 7.3 million MMBtu of natural gas, that extended through December 2021, but these contracts were settled during the first quarter of 2021, primarily due to the weather event discussed in Note 8. At December 31, 2022 and 2021, we had no outstanding natural gas contracts.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2021, we recognized a gain of $2.7 million (including a realized gain of $1.5 million). For 2020, we recognized a $1.6 million loss (none for 2022), which amount included an unrealized loss of $1.2 million attributed to natural gas contracts still held at the reporting date. The gain is classified as a reduction of cost of sales and the loss is classified as cost of sales.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and 2021, we did not have any financial instruments with fair values materially different from their carrying amounts (which excludes issuance costs, if applicable) except for our Senior Secured Notes included in the table below. Fair value of our Senior Secured Notes is classified as a Level 2 fair value measurement. The fair value of financial instruments is not indicative of the overall fair value of our assets and liabilities since financial instruments do not include all assets, including intangibles and all liabilities.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2022</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r>
      <w:tr>
        <w:trPr>
          <w:trHeight w:val="185"/>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620"/>
              <w:spacing w:after="0"/>
              <w:rPr>
                <w:sz w:val="20"/>
                <w:szCs w:val="20"/>
                <w:color w:val="auto"/>
              </w:rPr>
            </w:pPr>
            <w:r>
              <w:rPr>
                <w:rFonts w:ascii="Arial" w:cs="Arial" w:eastAsia="Arial" w:hAnsi="Arial"/>
                <w:sz w:val="14"/>
                <w:szCs w:val="14"/>
                <w:color w:val="auto"/>
              </w:rPr>
              <w:t>(In</w:t>
            </w:r>
          </w:p>
        </w:tc>
        <w:tc>
          <w:tcPr>
            <w:tcW w:w="1200" w:type="dxa"/>
            <w:vAlign w:val="bottom"/>
            <w:gridSpan w:val="3"/>
          </w:tcPr>
          <w:p>
            <w:pPr>
              <w:jc w:val="right"/>
              <w:ind w:right="704"/>
              <w:spacing w:after="0"/>
              <w:rPr>
                <w:sz w:val="20"/>
                <w:szCs w:val="20"/>
                <w:color w:val="auto"/>
              </w:rPr>
            </w:pPr>
            <w:r>
              <w:rPr>
                <w:rFonts w:ascii="Arial" w:cs="Arial" w:eastAsia="Arial" w:hAnsi="Arial"/>
                <w:sz w:val="14"/>
                <w:szCs w:val="14"/>
                <w:color w:val="auto"/>
                <w:w w:val="77"/>
              </w:rPr>
              <w:t>Millions)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700</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b w:val="1"/>
                <w:bCs w:val="1"/>
                <w:color w:val="auto"/>
                <w:w w:val="93"/>
              </w:rPr>
              <w:t>637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21"/>
                <w:szCs w:val="21"/>
                <w:color w:val="auto"/>
              </w:rPr>
            </w:pPr>
          </w:p>
        </w:tc>
      </w:tr>
    </w:tbl>
    <w:p>
      <w:pPr>
        <w:spacing w:after="0" w:line="314"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a quoted price of 91.00 at December 31, 2022 and 103.25 at December 31, 2021.</w:t>
      </w:r>
    </w:p>
    <w:p>
      <w:pPr>
        <w:spacing w:after="0" w:line="229"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2016 Long Term Incentive Plan </w:t>
      </w:r>
      <w:r>
        <w:rPr>
          <w:rFonts w:ascii="Arial" w:cs="Arial" w:eastAsia="Arial" w:hAnsi="Arial"/>
          <w:sz w:val="18"/>
          <w:szCs w:val="18"/>
          <w:color w:val="auto"/>
        </w:rPr>
        <w:t>– During 2016, our Board adopted our 2016 Long Term Incentive Plan, which plan was approved by our shareholders at</w:t>
      </w:r>
      <w:r>
        <w:rPr>
          <w:rFonts w:ascii="Arial" w:cs="Arial" w:eastAsia="Arial" w:hAnsi="Arial"/>
          <w:sz w:val="18"/>
          <w:szCs w:val="18"/>
          <w:b w:val="1"/>
          <w:bCs w:val="1"/>
          <w:color w:val="auto"/>
        </w:rPr>
        <w:t xml:space="preserve"> </w:t>
      </w:r>
      <w:r>
        <w:rPr>
          <w:rFonts w:ascii="Arial" w:cs="Arial" w:eastAsia="Arial" w:hAnsi="Arial"/>
          <w:sz w:val="18"/>
          <w:szCs w:val="18"/>
          <w:color w:val="auto"/>
        </w:rPr>
        <w:t>our annual meeting of shareholders held on June 2, 2016. During 2021, the 2016 Long Term Incentive Plan was amended as approved by our shareholders at our annual meeting of shareholders held on May 14, 2021 (together, the “2016 Plan”). No awards may be granted under the 2016 Plan on and after the tenth anniversary of its effective date.</w:t>
      </w:r>
    </w:p>
    <w:p>
      <w:pPr>
        <w:spacing w:after="0" w:line="7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After the effective date of the 2016 Plan, no further awards can be granted under our 2008 Incentive Stock Plan (the “2008 Plan”). Any awards that remain outstanding under the 2008 Plan will continue to be governed by the respective plan’s terms and the terms of the specific award agreement, as applicable.</w:t>
      </w:r>
    </w:p>
    <w:p>
      <w:pPr>
        <w:spacing w:after="0" w:line="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maximum aggregate number of shares reserved and available for issuance under the 2016 Plan shall not exceed 5,750,000 shares plus any shares that become available for reissuance under the share counting provisions of the 2008 Plan following the effective date of the 2016 Plan, subject to adjustment (including additional shares relating to the Special Dividend)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is administered by the compensation committee (the “Committee”) of our Board. Our Board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All share information was retroactively adjusted during 2021 to reflect the special dividend as discussed in Note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2016 Plan:</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 xml:space="preserve">Stock Awards, Restricted Stock, Restricted Stock Units, and Other Awards </w:t>
      </w:r>
      <w:r>
        <w:rPr>
          <w:rFonts w:ascii="Arial" w:cs="Arial" w:eastAsia="Arial" w:hAnsi="Arial"/>
          <w:sz w:val="17"/>
          <w:szCs w:val="17"/>
          <w:color w:val="auto"/>
        </w:rPr>
        <w:t>– The Committee may grant awards of restricted stock,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Appreciation Rights (“SARs”) </w:t>
      </w:r>
      <w:r>
        <w:rPr>
          <w:rFonts w:ascii="Arial" w:cs="Arial" w:eastAsia="Arial" w:hAnsi="Arial"/>
          <w:sz w:val="18"/>
          <w:szCs w:val="18"/>
          <w:color w:val="auto"/>
        </w:rPr>
        <w:t>– The Committee may grant SARs as a right in tandem with the number of shares underlying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2016 Plan or on a stand-alone basis. SARs are the right to receive payment per share of the SAR exercised in stock or in cash equal to the excess of the share’s fair market value, as defined in the 2016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The Committee may grant either incentive stock options or non-qualified stock options. The Committee sets option exercise prices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Incentive Plans </w:t>
      </w:r>
      <w:r>
        <w:rPr>
          <w:rFonts w:ascii="Arial" w:cs="Arial" w:eastAsia="Arial" w:hAnsi="Arial"/>
          <w:sz w:val="18"/>
          <w:szCs w:val="18"/>
          <w:color w:val="auto"/>
        </w:rPr>
        <w:t>- The following information relates to our long-term incentive plans: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 Plan</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 Plan</w:t>
            </w:r>
          </w:p>
        </w:tc>
        <w:tc>
          <w:tcPr>
            <w:tcW w:w="80" w:type="dxa"/>
            <w:vAlign w:val="bottom"/>
          </w:tcPr>
          <w:p>
            <w:pPr>
              <w:spacing w:after="0"/>
              <w:rPr>
                <w:sz w:val="14"/>
                <w:szCs w:val="14"/>
                <w:color w:val="auto"/>
              </w:rPr>
            </w:pPr>
          </w:p>
        </w:tc>
      </w:tr>
      <w:tr>
        <w:trPr>
          <w:trHeight w:val="23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Maximum number of securities for issuance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380" w:type="dxa"/>
            <w:vAlign w:val="bottom"/>
          </w:tcPr>
          <w:p>
            <w:pPr>
              <w:spacing w:after="0"/>
              <w:rPr>
                <w:sz w:val="20"/>
                <w:szCs w:val="20"/>
                <w:color w:val="auto"/>
              </w:rPr>
            </w:pPr>
            <w:r>
              <w:rPr>
                <w:rFonts w:ascii="Arial" w:cs="Arial" w:eastAsia="Arial" w:hAnsi="Arial"/>
                <w:sz w:val="18"/>
                <w:szCs w:val="18"/>
                <w:color w:val="auto"/>
              </w:rPr>
              <w:t>Number of awards available to be granted (1)</w:t>
            </w:r>
          </w:p>
        </w:tc>
        <w:tc>
          <w:tcPr>
            <w:tcW w:w="1120" w:type="dxa"/>
            <w:vAlign w:val="bottom"/>
          </w:tcPr>
          <w:p>
            <w:pPr>
              <w:jc w:val="right"/>
              <w:spacing w:after="0"/>
              <w:rPr>
                <w:sz w:val="20"/>
                <w:szCs w:val="20"/>
                <w:color w:val="auto"/>
              </w:rPr>
            </w:pPr>
            <w:r>
              <w:rPr>
                <w:rFonts w:ascii="Arial" w:cs="Arial" w:eastAsia="Arial" w:hAnsi="Arial"/>
                <w:sz w:val="18"/>
                <w:szCs w:val="18"/>
                <w:color w:val="auto"/>
              </w:rPr>
              <w:t>2,425,376</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1"/>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Number of unvested restricted stock/performance-based</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stock/restricted stock units outstanding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1,443,502</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6"/>
        </w:trPr>
        <w:tc>
          <w:tcPr>
            <w:tcW w:w="5380" w:type="dxa"/>
            <w:vAlign w:val="bottom"/>
          </w:tcPr>
          <w:p>
            <w:pPr>
              <w:spacing w:after="0"/>
              <w:rPr>
                <w:sz w:val="20"/>
                <w:szCs w:val="20"/>
                <w:color w:val="auto"/>
              </w:rPr>
            </w:pPr>
            <w:r>
              <w:rPr>
                <w:rFonts w:ascii="Arial" w:cs="Arial" w:eastAsia="Arial" w:hAnsi="Arial"/>
                <w:sz w:val="18"/>
                <w:szCs w:val="18"/>
                <w:color w:val="auto"/>
              </w:rPr>
              <w:t>Number of options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 exercisable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FF0FC"/>
          </w:tcPr>
          <w:p>
            <w:pPr>
              <w:spacing w:after="0"/>
              <w:rPr>
                <w:sz w:val="21"/>
                <w:szCs w:val="21"/>
                <w:color w:val="auto"/>
              </w:rPr>
            </w:pPr>
          </w:p>
        </w:tc>
      </w:tr>
    </w:tbl>
    <w:p>
      <w:pPr>
        <w:spacing w:after="0"/>
        <w:rPr>
          <w:sz w:val="20"/>
          <w:szCs w:val="20"/>
          <w:color w:val="auto"/>
        </w:rPr>
      </w:pPr>
      <w:r>
        <w:rPr>
          <w:rFonts w:ascii="Arial" w:cs="Arial" w:eastAsia="Arial" w:hAnsi="Arial"/>
          <w:sz w:val="18"/>
          <w:szCs w:val="18"/>
          <w:color w:val="auto"/>
        </w:rPr>
        <w:t>.</w:t>
      </w:r>
    </w:p>
    <w:p>
      <w:pPr>
        <w:spacing w:after="0" w:line="39"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2008 and 2016 Plan shares canceled, forfeited, expired unexercised, which became available for reissuance under the 2016 Plan.</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Restricted Stock and Restricted Stock Units </w:t>
      </w:r>
      <w:r>
        <w:rPr>
          <w:rFonts w:ascii="Arial" w:cs="Arial" w:eastAsia="Arial" w:hAnsi="Arial"/>
          <w:sz w:val="18"/>
          <w:szCs w:val="18"/>
          <w:color w:val="auto"/>
        </w:rPr>
        <w:t>– During the three years presented below, the Committee approved various grants under the 2016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and restricted stock units to certain executives and employees. The fair value of these grants are based on the closing price of our common stock on the day preceding the grant date. These shares have vesting provisions including vesting at the end of each one-year period at the rate of one-third per year for three years, vesting 100% at the end of three years,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vesting 100% at the end of one year. The unvested restricted shares and restricted stock units carry dividend and voting rights. Sales of these shares are restricted prior to the date of vesting. Pursuant to the terms of the underlying agreements, unvested shares and units will immediately vest upon the occurrence of a change in control (as defined by the agreement), termination without cause or death.</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2022, the Committee approved the grant of time-based restricted stock units ("RSU") and performance-based restricted stock units ("PBRSU") to certain executives and employees under our 2016 Plan. A portion of the time-based restricted stock unit shares will vest at the end of each one-year period at the rate of one-third per year for three years and a portion will vest 100% at the end of three years. The PBRSUs will vest on the third anniversary of the grant date subject to the achievement of certain performance metrics established by the Board as set out in the grant. Upon the third anniversary the grants may be modified in a range between 0% and 200% based upon achievement of the performance goals. The unvested restricted units carry dividend and voting rights contingent upon the vesting and lapsing of restriction. Sales of these units are restricted prior to the date of vesting. Pursuant to the terms of the underlying agreements, unvested restricted units may immediately vest upon the occurrence of a change in control (as defined by agreement), termination without cause or death.</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2021, the Committee approved the grant of shares of restricted stock and performance-based restricted stock (“PBRS”) to certain executives and the grant of shares of restricted stock units to certain employees. Pursuant to the terms of the performance-based awards outstanding as of the change of control event associated with the exchange of the Series E and Series F Redeemable Preferred discussed in Note 1, additional shares of restricted stock were issued including the satisfaction of certain performance conditions above the target performance level. Also, such restricted stock subsequent to the change of control event, are now subject only to the time-based vesting conditions set forth in the applicable award agreement and the 2016 Plan. The shares discussed above are reflected in the 2021 information below.</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years presented below, the Committee approved the grant of shares of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first anniversary of the grant date, or (iii) the occurrence of a change of control, as defined by the agreement. Based on terms of the RSU agreements, the grant date fair value was recognized as stock-based compensation expense (SG&amp;A) on the grant date in each respective year. Pursuant to the terms of these RSU awards all of these RSU awards outstanding during 2021 immediately vested as a result of the change of control event associated with the exchange of the Series E and Series F Redeemable Preferred discussed in Note 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during 2022 is presented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120" w:type="dxa"/>
            <w:vAlign w:val="bottom"/>
            <w:gridSpan w:val="4"/>
            <w:vMerge w:val="restart"/>
          </w:tcPr>
          <w:p>
            <w:pPr>
              <w:jc w:val="right"/>
              <w:ind w:right="477"/>
              <w:spacing w:after="0"/>
              <w:rPr>
                <w:sz w:val="20"/>
                <w:szCs w:val="20"/>
                <w:color w:val="auto"/>
              </w:rPr>
            </w:pPr>
            <w:r>
              <w:rPr>
                <w:rFonts w:ascii="Arial" w:cs="Arial" w:eastAsia="Arial" w:hAnsi="Arial"/>
                <w:sz w:val="14"/>
                <w:szCs w:val="14"/>
                <w:b w:val="1"/>
                <w:bCs w:val="1"/>
                <w:color w:val="auto"/>
              </w:rPr>
              <w:t>Restricted Stock</w:t>
            </w:r>
          </w:p>
        </w:tc>
        <w:tc>
          <w:tcPr>
            <w:tcW w:w="220" w:type="dxa"/>
            <w:vAlign w:val="bottom"/>
          </w:tcPr>
          <w:p>
            <w:pPr>
              <w:spacing w:after="0"/>
              <w:rPr>
                <w:sz w:val="14"/>
                <w:szCs w:val="14"/>
                <w:color w:val="auto"/>
              </w:rPr>
            </w:pPr>
          </w:p>
        </w:tc>
        <w:tc>
          <w:tcPr>
            <w:tcW w:w="20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Performance-Based</w:t>
            </w:r>
          </w:p>
        </w:tc>
        <w:tc>
          <w:tcPr>
            <w:tcW w:w="200" w:type="dxa"/>
            <w:vAlign w:val="bottom"/>
          </w:tcPr>
          <w:p>
            <w:pPr>
              <w:spacing w:after="0"/>
              <w:rPr>
                <w:sz w:val="14"/>
                <w:szCs w:val="14"/>
                <w:color w:val="auto"/>
              </w:rPr>
            </w:pPr>
          </w:p>
        </w:tc>
        <w:tc>
          <w:tcPr>
            <w:tcW w:w="1960" w:type="dxa"/>
            <w:vAlign w:val="bottom"/>
            <w:gridSpan w:val="4"/>
            <w:vMerge w:val="restart"/>
          </w:tcPr>
          <w:p>
            <w:pPr>
              <w:jc w:val="right"/>
              <w:ind w:right="217"/>
              <w:spacing w:after="0"/>
              <w:rPr>
                <w:sz w:val="20"/>
                <w:szCs w:val="20"/>
                <w:color w:val="auto"/>
              </w:rPr>
            </w:pPr>
            <w:r>
              <w:rPr>
                <w:rFonts w:ascii="Arial" w:cs="Arial" w:eastAsia="Arial" w:hAnsi="Arial"/>
                <w:sz w:val="14"/>
                <w:szCs w:val="14"/>
                <w:b w:val="1"/>
                <w:bCs w:val="1"/>
                <w:color w:val="auto"/>
              </w:rPr>
              <w:t>Restricted Stock Units</w:t>
            </w:r>
          </w:p>
        </w:tc>
        <w:tc>
          <w:tcPr>
            <w:tcW w:w="200" w:type="dxa"/>
            <w:vAlign w:val="bottom"/>
          </w:tcPr>
          <w:p>
            <w:pPr>
              <w:spacing w:after="0"/>
              <w:rPr>
                <w:sz w:val="14"/>
                <w:szCs w:val="1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Performance Based Restricted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Restricted Stock</w:t>
            </w:r>
          </w:p>
        </w:tc>
        <w:tc>
          <w:tcPr>
            <w:tcW w:w="200" w:type="dxa"/>
            <w:vAlign w:val="bottom"/>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84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7"/>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outstanding</w:t>
            </w: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year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948,979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742,264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209,743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264,800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161,922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(402,485 )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(429,625 )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Cancelled or forfeited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(52,096 )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outstanding end of</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546,494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spacing w:after="0"/>
              <w:rPr>
                <w:sz w:val="18"/>
                <w:szCs w:val="18"/>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312,639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spacing w:after="0"/>
              <w:rPr>
                <w:sz w:val="18"/>
                <w:szCs w:val="18"/>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422,447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spacing w:after="0"/>
              <w:rPr>
                <w:sz w:val="18"/>
                <w:szCs w:val="18"/>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161,922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year</w:t>
            </w: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2.72</w:t>
            </w: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2.71</w:t>
            </w: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10.50</w:t>
            </w: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09"/>
        </w:trPr>
        <w:tc>
          <w:tcPr>
            <w:tcW w:w="2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F-26</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-564515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-547370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-564515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-547370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-564515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-547370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-564515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-547370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4"/>
                <w:szCs w:val="24"/>
                <w:b w:val="1"/>
                <w:bCs w:val="1"/>
                <w:color w:val="auto"/>
                <w:vertAlign w:val="superscript"/>
              </w:rPr>
              <w:t>(1)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6"/>
          </w:tcPr>
          <w:p>
            <w:pPr>
              <w:ind w:left="40"/>
              <w:spacing w:after="0"/>
              <w:rPr>
                <w:sz w:val="20"/>
                <w:szCs w:val="20"/>
                <w:color w:val="auto"/>
              </w:rPr>
            </w:pPr>
            <w:r>
              <w:rPr>
                <w:rFonts w:ascii="Arial" w:cs="Arial" w:eastAsia="Arial" w:hAnsi="Arial"/>
                <w:sz w:val="14"/>
                <w:szCs w:val="14"/>
                <w:b w:val="1"/>
                <w:bCs w:val="1"/>
                <w:color w:val="auto"/>
              </w:rPr>
              <w:t>Restricted Stock</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Shares of restricted stock granted</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799,500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Total fair value of restricted stock granted</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spacing w:after="0"/>
              <w:rPr>
                <w:sz w:val="20"/>
                <w:szCs w:val="20"/>
                <w:color w:val="auto"/>
              </w:rPr>
            </w:pPr>
          </w:p>
        </w:tc>
        <w:tc>
          <w:tcPr>
            <w:tcW w:w="4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2,183,000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restricted stock granted during year</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spacing w:after="0"/>
              <w:rPr>
                <w:sz w:val="21"/>
                <w:szCs w:val="21"/>
                <w:color w:val="auto"/>
              </w:rPr>
            </w:pPr>
          </w:p>
        </w:tc>
        <w:tc>
          <w:tcPr>
            <w:tcW w:w="4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95,000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1,047,000</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1,645,000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(269,000 )</w:t>
            </w: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(430,000 )</w:t>
            </w: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(279,000 )</w:t>
            </w: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0.98</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Arial" w:cs="Arial" w:eastAsia="Arial" w:hAnsi="Arial"/>
                <w:sz w:val="18"/>
                <w:szCs w:val="18"/>
                <w:color w:val="auto"/>
              </w:rPr>
              <w:t>Total fair value of restricted stock vested during the year</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4,394,000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2,729,000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578,000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5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4"/>
                <w:szCs w:val="24"/>
                <w:b w:val="1"/>
                <w:bCs w:val="1"/>
                <w:color w:val="auto"/>
                <w:vertAlign w:val="superscript"/>
              </w:rPr>
              <w:t>(1)</w:t>
            </w:r>
          </w:p>
        </w:tc>
        <w:tc>
          <w:tcPr>
            <w:tcW w:w="2340" w:type="dxa"/>
            <w:vAlign w:val="bottom"/>
            <w:gridSpan w:val="14"/>
          </w:tcPr>
          <w:p>
            <w:pPr>
              <w:jc w:val="center"/>
              <w:spacing w:after="0"/>
              <w:rPr>
                <w:sz w:val="20"/>
                <w:szCs w:val="20"/>
                <w:color w:val="auto"/>
              </w:rPr>
            </w:pPr>
            <w:r>
              <w:rPr>
                <w:rFonts w:ascii="Arial" w:cs="Arial" w:eastAsia="Arial" w:hAnsi="Arial"/>
                <w:sz w:val="14"/>
                <w:szCs w:val="14"/>
                <w:b w:val="1"/>
                <w:bCs w:val="1"/>
                <w:color w:val="auto"/>
                <w:w w:val="91"/>
              </w:rPr>
              <w:t>Performance-Based Restricted Stock</w:t>
            </w:r>
          </w:p>
        </w:tc>
        <w:tc>
          <w:tcPr>
            <w:tcW w:w="86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84"/>
              </w:rPr>
              <w:t xml:space="preserve">2020 </w:t>
            </w:r>
            <w:r>
              <w:rPr>
                <w:rFonts w:ascii="Arial" w:cs="Arial" w:eastAsia="Arial" w:hAnsi="Arial"/>
                <w:sz w:val="24"/>
                <w:szCs w:val="24"/>
                <w:b w:val="1"/>
                <w:bCs w:val="1"/>
                <w:color w:val="auto"/>
                <w:w w:val="84"/>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w w:val="95"/>
              </w:rPr>
              <w:t>(2)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Shares of PBRS granted</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675,532</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Arial" w:cs="Arial" w:eastAsia="Arial" w:hAnsi="Arial"/>
                <w:sz w:val="18"/>
                <w:szCs w:val="18"/>
                <w:color w:val="auto"/>
              </w:rPr>
              <w:t>Total fair value of PBRS granted</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0"/>
                <w:szCs w:val="20"/>
                <w:color w:val="auto"/>
              </w:rPr>
            </w:pPr>
          </w:p>
        </w:tc>
        <w:tc>
          <w:tcPr>
            <w:tcW w:w="4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2,480,000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PBRS granted during year</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spacing w:after="0"/>
              <w:rPr>
                <w:sz w:val="21"/>
                <w:szCs w:val="21"/>
                <w:color w:val="auto"/>
              </w:rPr>
            </w:pPr>
          </w:p>
        </w:tc>
        <w:tc>
          <w:tcPr>
            <w:tcW w:w="4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b w:val="1"/>
                <w:bCs w:val="1"/>
                <w:color w:val="auto"/>
              </w:rPr>
              <w:t>70,000</w:t>
            </w:r>
          </w:p>
        </w:tc>
        <w:tc>
          <w:tcPr>
            <w:tcW w:w="100" w:type="dxa"/>
            <w:vAlign w:val="bottom"/>
          </w:tcPr>
          <w:p>
            <w:pPr>
              <w:spacing w:after="0"/>
              <w:rPr>
                <w:sz w:val="20"/>
                <w:szCs w:val="20"/>
                <w:color w:val="auto"/>
              </w:rPr>
            </w:pPr>
          </w:p>
        </w:tc>
        <w:tc>
          <w:tcPr>
            <w:tcW w:w="3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670,000</w:t>
            </w:r>
          </w:p>
        </w:tc>
        <w:tc>
          <w:tcPr>
            <w:tcW w:w="10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2,938,000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(174,000 )</w:t>
            </w:r>
          </w:p>
        </w:tc>
        <w:tc>
          <w:tcPr>
            <w:tcW w:w="3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(747,000 )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(53,000 )</w:t>
            </w: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0.91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Arial" w:cs="Arial" w:eastAsia="Arial" w:hAnsi="Arial"/>
                <w:sz w:val="18"/>
                <w:szCs w:val="18"/>
                <w:color w:val="auto"/>
              </w:rPr>
              <w:t>Total fair value of PBRS vested during the year</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b w:val="1"/>
                <w:bCs w:val="1"/>
                <w:color w:val="auto"/>
              </w:rPr>
              <w:t>4,976,000</w:t>
            </w:r>
          </w:p>
        </w:tc>
        <w:tc>
          <w:tcPr>
            <w:tcW w:w="100" w:type="dxa"/>
            <w:vAlign w:val="bottom"/>
          </w:tcPr>
          <w:p>
            <w:pPr>
              <w:spacing w:after="0"/>
              <w:rPr>
                <w:sz w:val="20"/>
                <w:szCs w:val="20"/>
                <w:color w:val="auto"/>
              </w:rPr>
            </w:pPr>
          </w:p>
        </w:tc>
        <w:tc>
          <w:tcPr>
            <w:tcW w:w="3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6,671,000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12"/>
        </w:trPr>
        <w:tc>
          <w:tcPr>
            <w:tcW w:w="5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Restricted Stock Units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Shares of RSU granted</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264,800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327,188</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Total fair value of RSU granted</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3,482,000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1,653,000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RSU granted during year</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13.15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297,000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1,229,000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562,000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(359,000 )</w:t>
            </w: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(178,000 )</w:t>
            </w: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(63,000 )</w:t>
            </w: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5"/>
              </w:rPr>
              <w:t>1.71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Arial" w:cs="Arial" w:eastAsia="Arial" w:hAnsi="Arial"/>
                <w:sz w:val="18"/>
                <w:szCs w:val="18"/>
                <w:color w:val="auto"/>
              </w:rPr>
              <w:t>Total fair value of RSU vested during the year</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spacing w:after="0"/>
              <w:rPr>
                <w:sz w:val="20"/>
                <w:szCs w:val="20"/>
                <w:color w:val="auto"/>
              </w:rPr>
            </w:pPr>
          </w:p>
        </w:tc>
        <w:tc>
          <w:tcPr>
            <w:tcW w:w="4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2,209,000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did not grant any restricted stock or performance based restricted stock awards during 2022.</w:t>
      </w:r>
    </w:p>
    <w:p>
      <w:pPr>
        <w:spacing w:after="0" w:line="95" w:lineRule="exact"/>
        <w:rPr>
          <w:rFonts w:ascii="Arial" w:cs="Arial" w:eastAsia="Arial" w:hAnsi="Arial"/>
          <w:sz w:val="14"/>
          <w:szCs w:val="14"/>
          <w:color w:val="auto"/>
        </w:rPr>
      </w:pPr>
    </w:p>
    <w:p>
      <w:pPr>
        <w:ind w:left="520" w:hanging="512"/>
        <w:spacing w:after="0" w:line="252"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Upon the change of control event associated with the exchange of the Series E and Series F Redeemable Preferred discussed in Note 1, during 2021 such PBRS are subject only to the time-based vesting conditions set forth in the applicable award agreement and the 2016 Plan.</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Performance-Based Restricted</w:t>
            </w:r>
          </w:p>
        </w:tc>
      </w:tr>
      <w:tr>
        <w:trPr>
          <w:trHeight w:val="175"/>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Stock Units</w:t>
            </w:r>
          </w:p>
        </w:tc>
      </w:tr>
      <w:tr>
        <w:trPr>
          <w:trHeight w:val="18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Shares of PBRSU granted</w:t>
            </w:r>
          </w:p>
        </w:tc>
        <w:tc>
          <w:tcPr>
            <w:tcW w:w="3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161,922</w:t>
            </w:r>
          </w:p>
        </w:tc>
        <w:tc>
          <w:tcPr>
            <w:tcW w:w="100" w:type="dxa"/>
            <w:vAlign w:val="bottom"/>
            <w:shd w:val="clear" w:color="auto" w:fill="CFF0FC"/>
          </w:tcPr>
          <w:p>
            <w:pPr>
              <w:spacing w:after="0"/>
              <w:rPr>
                <w:sz w:val="20"/>
                <w:szCs w:val="20"/>
                <w:color w:val="auto"/>
              </w:rPr>
            </w:pPr>
          </w:p>
        </w:tc>
      </w:tr>
      <w:tr>
        <w:trPr>
          <w:trHeight w:val="238"/>
        </w:trPr>
        <w:tc>
          <w:tcPr>
            <w:tcW w:w="8020" w:type="dxa"/>
            <w:vAlign w:val="bottom"/>
          </w:tcPr>
          <w:p>
            <w:pPr>
              <w:spacing w:after="0"/>
              <w:rPr>
                <w:sz w:val="20"/>
                <w:szCs w:val="20"/>
                <w:color w:val="auto"/>
              </w:rPr>
            </w:pPr>
            <w:r>
              <w:rPr>
                <w:rFonts w:ascii="Arial" w:cs="Arial" w:eastAsia="Arial" w:hAnsi="Arial"/>
                <w:sz w:val="18"/>
                <w:szCs w:val="18"/>
                <w:color w:val="auto"/>
              </w:rPr>
              <w:t>Total fair value of PBRSU granted</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2,141,000</w:t>
            </w:r>
          </w:p>
        </w:tc>
        <w:tc>
          <w:tcPr>
            <w:tcW w:w="100" w:type="dxa"/>
            <w:vAlign w:val="bottom"/>
          </w:tcPr>
          <w:p>
            <w:pPr>
              <w:spacing w:after="0"/>
              <w:rPr>
                <w:sz w:val="20"/>
                <w:szCs w:val="20"/>
                <w:color w:val="auto"/>
              </w:rPr>
            </w:pPr>
          </w:p>
        </w:tc>
      </w:tr>
      <w:tr>
        <w:trPr>
          <w:trHeight w:val="247"/>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PBRSU granted during year</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13.22</w:t>
            </w:r>
          </w:p>
        </w:tc>
        <w:tc>
          <w:tcPr>
            <w:tcW w:w="100" w:type="dxa"/>
            <w:vAlign w:val="bottom"/>
            <w:shd w:val="clear" w:color="auto" w:fill="CFF0FC"/>
          </w:tcPr>
          <w:p>
            <w:pPr>
              <w:spacing w:after="0"/>
              <w:rPr>
                <w:sz w:val="21"/>
                <w:szCs w:val="21"/>
                <w:color w:val="auto"/>
              </w:rPr>
            </w:pPr>
          </w:p>
        </w:tc>
      </w:tr>
      <w:tr>
        <w:trPr>
          <w:trHeight w:val="238"/>
        </w:trPr>
        <w:tc>
          <w:tcPr>
            <w:tcW w:w="802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Pr>
          <w:p>
            <w:pPr>
              <w:spacing w:after="0"/>
              <w:rPr>
                <w:sz w:val="20"/>
                <w:szCs w:val="20"/>
                <w:color w:val="auto"/>
              </w:rPr>
            </w:pPr>
          </w:p>
        </w:tc>
      </w:tr>
      <w:tr>
        <w:trPr>
          <w:trHeight w:val="247"/>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567,000</w:t>
            </w:r>
          </w:p>
        </w:tc>
        <w:tc>
          <w:tcPr>
            <w:tcW w:w="100" w:type="dxa"/>
            <w:vAlign w:val="bottom"/>
            <w:shd w:val="clear" w:color="auto" w:fill="CFF0FC"/>
          </w:tcPr>
          <w:p>
            <w:pPr>
              <w:spacing w:after="0"/>
              <w:rPr>
                <w:sz w:val="21"/>
                <w:szCs w:val="21"/>
                <w:color w:val="auto"/>
              </w:rPr>
            </w:pPr>
          </w:p>
        </w:tc>
      </w:tr>
      <w:tr>
        <w:trPr>
          <w:trHeight w:val="238"/>
        </w:trPr>
        <w:tc>
          <w:tcPr>
            <w:tcW w:w="802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(145,000 )</w:t>
            </w:r>
          </w:p>
        </w:tc>
      </w:tr>
      <w:tr>
        <w:trPr>
          <w:trHeight w:val="247"/>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3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FF0FC"/>
          </w:tcPr>
          <w:p>
            <w:pPr>
              <w:spacing w:after="0"/>
              <w:rPr>
                <w:sz w:val="21"/>
                <w:szCs w:val="21"/>
                <w:color w:val="auto"/>
              </w:rPr>
            </w:pPr>
          </w:p>
        </w:tc>
      </w:tr>
      <w:tr>
        <w:trPr>
          <w:trHeight w:val="234"/>
        </w:trPr>
        <w:tc>
          <w:tcPr>
            <w:tcW w:w="8020" w:type="dxa"/>
            <w:vAlign w:val="bottom"/>
          </w:tcPr>
          <w:p>
            <w:pPr>
              <w:spacing w:after="0"/>
              <w:rPr>
                <w:sz w:val="20"/>
                <w:szCs w:val="20"/>
                <w:color w:val="auto"/>
              </w:rPr>
            </w:pPr>
            <w:r>
              <w:rPr>
                <w:rFonts w:ascii="Arial" w:cs="Arial" w:eastAsia="Arial" w:hAnsi="Arial"/>
                <w:sz w:val="18"/>
                <w:szCs w:val="18"/>
                <w:color w:val="auto"/>
              </w:rPr>
              <w:t>Total fair value of PBRSU vested during the year</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bl>
    <w:p>
      <w:pPr>
        <w:spacing w:after="0" w:line="1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PBRSU grants are tied to the total stockholder return of the fair market value of our common stock (“TSR”) and fixed costs per ton of ammonia (“FC”) measured annually over a three-year period. The TSR and FC goals utilize annual target share amounts based on 1/3 of the total target award for each grant. The annual goals include payout factors for both the TSR and FC goals. The payout factors are based on the actual results. The payout factors include a minimum threshold (if not met, no shares will be banked for that specific goal) and a maximum ceiling for each of the three year periods within the grant. As a result, the number of shares earned annually could be lower or higher than the annual target PRBSU shares. The annual goals are independently earned and are not affected by the performance goals attained in the other periods. Banked shares are used in the final calculation to determine the vested shares. These awards granted require the grantee to be continuously employed through the end of the term for vesting purposes.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the FC is based on the closing price of our common stock on the day preceding the grant date. We estimate the fair value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PBRSU TSR on the date of grant using a Monte Carlo simulation with the following assumptions:</w:t>
      </w:r>
    </w:p>
    <w:p>
      <w:pPr>
        <w:spacing w:after="0" w:line="9" w:lineRule="exact"/>
        <w:rPr>
          <w:sz w:val="20"/>
          <w:szCs w:val="20"/>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closing stock price on the day preceding the grant,</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prediction time horizon, the vesting term of the grant,</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three-year Treasury yield curve rate on the grant date,</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standard deviation of historical daily returns for the length of the vesting term of the grant.</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No stock options have been granted under the 2016 Plan during the three years presented below. As it relates to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2008 plan, the exercise price of the outstanding options granted were equal to the market value of our common stock at the date of grant and vested at the end of each one-year period at the rate of 16.5% per year for the first five years and the remaining unvested options vested at the end of the sixth year. The fair value for of the stock options granted under the 2008 Plan were estimated, using an option pricing model, as of the date of the grant, which date was also the service inception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in 2022 is presented below:</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2022</w:t>
            </w: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13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-205105</wp:posOffset>
            </wp:positionV>
            <wp:extent cx="51435"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9">
                      <a:extLst>
                        <a:ext uri="{28A0092B-C50C-407E-A947-70E740481C1C}"/>
                      </a:extLst>
                    </a:blip>
                    <a:srcRect/>
                    <a:stretch>
                      <a:fillRect/>
                    </a:stretch>
                  </pic:blipFill>
                  <pic:spPr bwMode="auto">
                    <a:xfrm>
                      <a:off x="0" y="0"/>
                      <a:ext cx="51435" cy="20574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 Cost of sales</w:t>
            </w:r>
          </w:p>
        </w:tc>
        <w:tc>
          <w:tcPr>
            <w:tcW w:w="64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Stock-based compensation expense - SG&amp;A</w:t>
            </w:r>
          </w:p>
        </w:tc>
        <w:tc>
          <w:tcPr>
            <w:tcW w:w="64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640" w:type="dxa"/>
            <w:vAlign w:val="bottom"/>
            <w:shd w:val="clear" w:color="auto" w:fill="CFF0FC"/>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(36,000 )</w:t>
            </w: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 during the year</w:t>
            </w:r>
          </w:p>
        </w:tc>
        <w:tc>
          <w:tcPr>
            <w:tcW w:w="64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fair value of options vested during the year</w:t>
            </w:r>
          </w:p>
        </w:tc>
        <w:tc>
          <w:tcPr>
            <w:tcW w:w="640" w:type="dxa"/>
            <w:vAlign w:val="bottom"/>
            <w:shd w:val="clear" w:color="auto" w:fill="CFF0FC"/>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Total intrinsic value of options outstanding at end of year</w:t>
            </w:r>
          </w:p>
        </w:tc>
        <w:tc>
          <w:tcPr>
            <w:tcW w:w="64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intrinsic value of options exercisable at end of year</w:t>
            </w:r>
          </w:p>
        </w:tc>
        <w:tc>
          <w:tcPr>
            <w:tcW w:w="640" w:type="dxa"/>
            <w:vAlign w:val="bottom"/>
            <w:shd w:val="clear" w:color="auto" w:fill="CFF0FC"/>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Total weighted-average remaining vesting period in years</w:t>
            </w: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weighted-average remaining contractual life period in years (options outstanding)</w:t>
            </w: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1.92</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2.92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21"/>
                <w:szCs w:val="21"/>
                <w:color w:val="auto"/>
              </w:rPr>
            </w:pPr>
          </w:p>
        </w:tc>
      </w:tr>
      <w:tr>
        <w:trPr>
          <w:trHeight w:val="234"/>
        </w:trPr>
        <w:tc>
          <w:tcPr>
            <w:tcW w:w="7780" w:type="dxa"/>
            <w:vAlign w:val="bottom"/>
          </w:tcPr>
          <w:p>
            <w:pPr>
              <w:ind w:left="20"/>
              <w:spacing w:after="0"/>
              <w:rPr>
                <w:sz w:val="20"/>
                <w:szCs w:val="20"/>
                <w:color w:val="auto"/>
              </w:rPr>
            </w:pPr>
            <w:r>
              <w:rPr>
                <w:rFonts w:ascii="Arial" w:cs="Arial" w:eastAsia="Arial" w:hAnsi="Arial"/>
                <w:sz w:val="18"/>
                <w:szCs w:val="18"/>
                <w:color w:val="auto"/>
              </w:rPr>
              <w:t>Total weighted-average remaining contractual life period in years (options exercisable)</w:t>
            </w: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1.92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2.92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r>
      <w:tr>
        <w:trPr>
          <w:trHeight w:val="656"/>
        </w:trPr>
        <w:tc>
          <w:tcPr>
            <w:tcW w:w="7780" w:type="dxa"/>
            <w:vAlign w:val="bottom"/>
          </w:tcPr>
          <w:p>
            <w:pPr>
              <w:ind w:left="5460"/>
              <w:spacing w:after="0"/>
              <w:rPr>
                <w:sz w:val="20"/>
                <w:szCs w:val="20"/>
                <w:color w:val="auto"/>
              </w:rPr>
            </w:pPr>
            <w:r>
              <w:rPr>
                <w:rFonts w:ascii="Arial" w:cs="Arial" w:eastAsia="Arial" w:hAnsi="Arial"/>
                <w:sz w:val="18"/>
                <w:szCs w:val="18"/>
                <w:color w:val="auto"/>
              </w:rPr>
              <w:t>F-28</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7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auto"/>
        </w:rPr>
        <w:t xml:space="preserve">Stock-based Compensation Expense Not Yet Recognized – </w:t>
      </w:r>
      <w:r>
        <w:rPr>
          <w:rFonts w:ascii="Arial" w:cs="Arial" w:eastAsia="Arial" w:hAnsi="Arial"/>
          <w:sz w:val="18"/>
          <w:szCs w:val="18"/>
          <w:color w:val="auto"/>
        </w:rPr>
        <w:t>At December 31, 2022, the total stock-based compensation expense not yet recognized is</w:t>
      </w:r>
      <w:r>
        <w:rPr>
          <w:rFonts w:ascii="Arial" w:cs="Arial" w:eastAsia="Arial" w:hAnsi="Arial"/>
          <w:sz w:val="18"/>
          <w:szCs w:val="18"/>
          <w:b w:val="1"/>
          <w:bCs w:val="1"/>
          <w:color w:val="auto"/>
        </w:rPr>
        <w:t xml:space="preserve"> </w:t>
      </w:r>
      <w:r>
        <w:rPr>
          <w:rFonts w:ascii="Arial" w:cs="Arial" w:eastAsia="Arial" w:hAnsi="Arial"/>
          <w:sz w:val="18"/>
          <w:szCs w:val="18"/>
          <w:color w:val="auto"/>
        </w:rPr>
        <w:t>$4,819,000, relating to all forms of non-vested equity awards, which we will be amortizing (subject to adjustments for actual forfeitures) through the respective remaining vesting periods through November 2025.</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Reserved Shares of Common Stock – </w:t>
      </w:r>
      <w:r>
        <w:rPr>
          <w:rFonts w:ascii="Arial" w:cs="Arial" w:eastAsia="Arial" w:hAnsi="Arial"/>
          <w:sz w:val="18"/>
          <w:szCs w:val="18"/>
          <w:color w:val="auto"/>
        </w:rPr>
        <w:t>As of December 31, 2022, we have reserved 0.6 million shares of common stock issuable upon vesting of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pursuant to their respective terms.</w:t>
      </w:r>
    </w:p>
    <w:p>
      <w:pPr>
        <w:spacing w:after="0" w:line="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 xml:space="preserve">NOL Rights Agreement - </w:t>
      </w:r>
      <w:r>
        <w:rPr>
          <w:rFonts w:ascii="Arial" w:cs="Arial" w:eastAsia="Arial" w:hAnsi="Arial"/>
          <w:sz w:val="17"/>
          <w:szCs w:val="17"/>
          <w:color w:val="auto"/>
        </w:rPr>
        <w:t>On July 6, 2020, we entered into the Section 382 Rights Agreement (the “NOL Rights Agreement”), dated as of July 6, 2020,</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LSB and Computershare Trust Company, N.A., as rights agent. During 2021, the NOL Rights Agreement was ratified by our shareholders at our annual meeting of shareholders held on May 14, 2021. The NOL Rights Agreement remains in effect as of December 31, 2022.</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(“Group”) from acquiring beneficial ownership of 4.9% or more of our outstanding common shares.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rights issued under the NOL Rights Agreement will expire on the earliest to occur of (i) the close of business on the day following the certification of the voting results of our 2021 annual meeting of stockholders, or other duly held stockholders’ meeting, (ii) the date on which our Board determines in its sole discretion that (x) the NOL Rights Agreement is no longer necessary for the preservation of material valuable NOLs or tax attributes or (y) the NOLs and tax attributes have been fully utilized and may no longer be carried forward and (iii) the close of business on July 6,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may, in its discretion, determine that a person, entity or a certain transaction is exempt from the operation of the NOL Rights Agreement or amend the terms of the rights.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of the NOL Rights Agreement does not purport to be complete and is qualified in its entirety by reference to the Rights Agreement filed as an exhibit to our Current Report on Form 8-K filed on July 6,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12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At December 31, 2022, we are authorized to issue an additional 250,000 shares of $100 par value preferred stock and an additional 5,000,000 shares of no-par value preferred stock. Upon issuance, our Board will determine the specific terms and conditions of such preferred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Savings and Stock Purchase Plans, Collective Bargaining Agreements and Executive Benefit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were party to a death benefit agreement (“2005 Agreement”) with Jack E. Golsen (“J. Golsen”), who retired effective December 31, 2017.</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2005 Agreement provided that, upon J. Golsen’s death, we would pay to the designated beneficiary, a lump-sum payment of $2.5 million. J. Golsen passed away in April 2022. Further, we maintained and owned a life insurance policy with a face value of $3.0 million for which we were the beneficiary. The policy did not have any cash surrender value, premium payments were current, and the policy was in force at the time of J. Golsen’s death. We received the settlement payment of $3.0 million and paid the death benefit of $2.5 million in July 2022. We have recorded $3.0 million in a settlement of life insurance presented within non-operating other expense (income), net within our consolidated statements of operations for the twelve months ended December 31, 2022. The settlement of life insurance is included in our consolidated statement of cash flows in “Other” investing activities.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this agreement: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40" w:type="dxa"/>
            <w:vAlign w:val="bottom"/>
            <w:vMerge w:val="restart"/>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8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w w:val="97"/>
              </w:rPr>
              <w:t>(In Thousands)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undiscounted death benefit</w:t>
            </w:r>
          </w:p>
        </w:tc>
        <w:tc>
          <w:tcPr>
            <w:tcW w:w="29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accrued death benefit</w:t>
            </w:r>
          </w:p>
        </w:tc>
        <w:tc>
          <w:tcPr>
            <w:tcW w:w="294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60" w:type="dxa"/>
            <w:vAlign w:val="bottom"/>
            <w:gridSpan w:val="2"/>
          </w:tcPr>
          <w:p>
            <w:pPr>
              <w:jc w:val="right"/>
              <w:ind w:right="2356"/>
              <w:spacing w:after="0"/>
              <w:rPr>
                <w:sz w:val="20"/>
                <w:szCs w:val="20"/>
                <w:color w:val="auto"/>
              </w:rPr>
            </w:pPr>
            <w:r>
              <w:rPr>
                <w:rFonts w:ascii="Arial" w:cs="Arial" w:eastAsia="Arial" w:hAnsi="Arial"/>
                <w:sz w:val="18"/>
                <w:szCs w:val="18"/>
                <w:color w:val="auto"/>
              </w:rPr>
              <w:t>F-29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-692785</wp:posOffset>
            </wp:positionV>
            <wp:extent cx="916305"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2">
                      <a:extLst>
                        <a:ext uri="{28A0092B-C50C-407E-A947-70E740481C1C}"/>
                      </a:extLst>
                    </a:blip>
                    <a:srcRect/>
                    <a:stretch>
                      <a:fillRect/>
                    </a:stretch>
                  </pic:blipFill>
                  <pic:spPr bwMode="auto">
                    <a:xfrm>
                      <a:off x="0" y="0"/>
                      <a:ext cx="916305" cy="20574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assist us in funding the 2005 Agreement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about these life insurance policies.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4"/>
              <w:spacing w:after="0"/>
              <w:rPr>
                <w:sz w:val="20"/>
                <w:szCs w:val="20"/>
                <w:color w:val="auto"/>
              </w:rPr>
            </w:pPr>
            <w:r>
              <w:rPr>
                <w:rFonts w:ascii="Arial" w:cs="Arial" w:eastAsia="Arial" w:hAnsi="Arial"/>
                <w:sz w:val="14"/>
                <w:szCs w:val="14"/>
                <w:color w:val="auto"/>
              </w:rPr>
              <w:t>(In</w:t>
            </w:r>
          </w:p>
        </w:tc>
        <w:tc>
          <w:tcPr>
            <w:tcW w:w="620" w:type="dxa"/>
            <w:vAlign w:val="bottom"/>
            <w:gridSpan w:val="3"/>
          </w:tcPr>
          <w:p>
            <w:pPr>
              <w:jc w:val="center"/>
              <w:spacing w:after="0"/>
              <w:rPr>
                <w:sz w:val="20"/>
                <w:szCs w:val="20"/>
                <w:color w:val="auto"/>
              </w:rPr>
            </w:pPr>
            <w:r>
              <w:rPr>
                <w:rFonts w:ascii="Arial" w:cs="Arial" w:eastAsia="Arial" w:hAnsi="Arial"/>
                <w:sz w:val="14"/>
                <w:szCs w:val="14"/>
                <w:color w:val="auto"/>
                <w:w w:val="72"/>
              </w:rPr>
              <w:t>Thousands)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83"/>
        </w:trPr>
        <w:tc>
          <w:tcPr>
            <w:tcW w:w="560" w:type="dxa"/>
            <w:vAlign w:val="bottom"/>
          </w:tcPr>
          <w:p>
            <w:pPr>
              <w:spacing w:after="0"/>
              <w:rPr>
                <w:sz w:val="24"/>
                <w:szCs w:val="24"/>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face value of life insurance policies</w:t>
            </w:r>
          </w:p>
        </w:tc>
        <w:tc>
          <w:tcPr>
            <w:tcW w:w="6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1,500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6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cash surrender values of life insurance policies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1,936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Loans on cash surrender values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w w:val="96"/>
              </w:rPr>
              <w:t>(1,642 )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(1,642 )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560" w:type="dxa"/>
            <w:vAlign w:val="bottom"/>
          </w:tcPr>
          <w:p>
            <w:pPr>
              <w:spacing w:after="0"/>
              <w:rPr>
                <w:sz w:val="24"/>
                <w:szCs w:val="24"/>
                <w:color w:val="auto"/>
              </w:rPr>
            </w:pPr>
          </w:p>
        </w:tc>
        <w:tc>
          <w:tcPr>
            <w:tcW w:w="4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cash surrender values</w:t>
            </w:r>
          </w:p>
        </w:tc>
        <w:tc>
          <w:tcPr>
            <w:tcW w:w="6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294</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4"/>
                <w:szCs w:val="2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4"/>
                <w:szCs w:val="14"/>
                <w:color w:val="auto"/>
                <w:w w:val="99"/>
              </w:rPr>
              <w:t>(In Thousands)</w:t>
            </w:r>
          </w:p>
        </w:tc>
        <w:tc>
          <w:tcPr>
            <w:tcW w:w="2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life insurance premiums</w:t>
            </w:r>
          </w:p>
        </w:tc>
        <w:tc>
          <w:tcPr>
            <w:tcW w:w="620" w:type="dxa"/>
            <w:vAlign w:val="bottom"/>
            <w:shd w:val="clear" w:color="auto" w:fill="CFF0FC"/>
          </w:tcPr>
          <w:p>
            <w:pPr>
              <w:jc w:val="right"/>
              <w:ind w:right="435"/>
              <w:spacing w:after="0"/>
              <w:rPr>
                <w:sz w:val="20"/>
                <w:szCs w:val="20"/>
                <w:color w:val="auto"/>
              </w:rPr>
            </w:pPr>
            <w:r>
              <w:rPr>
                <w:rFonts w:ascii="Arial" w:cs="Arial" w:eastAsia="Arial" w:hAnsi="Arial"/>
                <w:sz w:val="18"/>
                <w:szCs w:val="18"/>
                <w:b w:val="1"/>
                <w:bCs w:val="1"/>
                <w:color w:val="auto"/>
                <w:w w:val="79"/>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8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215</w:t>
            </w:r>
          </w:p>
        </w:tc>
        <w:tc>
          <w:tcPr>
            <w:tcW w:w="7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215</w:t>
            </w:r>
          </w:p>
        </w:tc>
        <w:tc>
          <w:tcPr>
            <w:tcW w:w="80" w:type="dxa"/>
            <w:vAlign w:val="bottom"/>
            <w:shd w:val="clear" w:color="auto" w:fill="CFF0FC"/>
          </w:tcPr>
          <w:p>
            <w:pPr>
              <w:spacing w:after="0"/>
              <w:rPr>
                <w:sz w:val="21"/>
                <w:szCs w:val="21"/>
                <w:color w:val="auto"/>
              </w:rPr>
            </w:pP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Increase in cash surrender values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(73 )</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35"/>
              <w:spacing w:after="0"/>
              <w:rPr>
                <w:sz w:val="20"/>
                <w:szCs w:val="20"/>
                <w:color w:val="auto"/>
              </w:rPr>
            </w:pPr>
            <w:r>
              <w:rPr>
                <w:rFonts w:ascii="Arial" w:cs="Arial" w:eastAsia="Arial" w:hAnsi="Arial"/>
                <w:sz w:val="18"/>
                <w:szCs w:val="18"/>
                <w:color w:val="auto"/>
                <w:w w:val="97"/>
              </w:rPr>
              <w:t>(69 )</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(69 )</w:t>
            </w:r>
          </w:p>
        </w:tc>
      </w:tr>
      <w:tr>
        <w:trPr>
          <w:trHeight w:val="276"/>
        </w:trPr>
        <w:tc>
          <w:tcPr>
            <w:tcW w:w="5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620" w:type="dxa"/>
            <w:vAlign w:val="bottom"/>
            <w:tcBorders>
              <w:top w:val="single" w:sz="8" w:color="auto"/>
              <w:bottom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146</w:t>
            </w:r>
          </w:p>
        </w:tc>
        <w:tc>
          <w:tcPr>
            <w:tcW w:w="2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-1523365</wp:posOffset>
            </wp:positionV>
            <wp:extent cx="882015"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5">
                      <a:extLst>
                        <a:ext uri="{28A0092B-C50C-407E-A947-70E740481C1C}"/>
                      </a:extLst>
                    </a:blip>
                    <a:srcRect/>
                    <a:stretch>
                      <a:fillRect/>
                    </a:stretch>
                  </pic:blipFill>
                  <pic:spPr bwMode="auto">
                    <a:xfrm>
                      <a:off x="0" y="0"/>
                      <a:ext cx="882015" cy="17970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-872490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-855345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-872490</wp:posOffset>
            </wp:positionV>
            <wp:extent cx="425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-855345</wp:posOffset>
            </wp:positionV>
            <wp:extent cx="425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Savings Plans - We sponsor a savings plan under Section 401(k) of the Internal Revenue Code under which participation is available to substantially all full-time employees. We match 50% of an employee’s contribution, up to 8% which was increased during 2022 from 6%, for substantially all full-time employees. For 2022, 2021 and 2020, the amounts contributed to this plan were approximately $1.3 million, $1.0 million, and $1.0 million respectively.</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Employee Stock Purchase Plan - During 2022 our Board adopted our 2022 Employee Stock Purchase Plan (“ESPP”), which plan was approved by our shareholders at our annual meeting of shareholders held May 12, 2022. The ESPP is administered by the compensation committee of the Board. The maximum number of shares reserved and available for issuance under the ESPP shall not exceed 4,500,000 shares. Eligibility in the ESPP is limited to our employees and employees of our subsidiaries who have been continuously employed for a period of at least 30 days as of the first day of an offering and satisfy other requirements set forth in the ESPP. The ESPP offering period under the ESPP will be 6 months in duration and commence on the first business day of January and July of each year. ESPP participants may elect to authorize payroll deductions between 1 to 10 percent of eligible compensation each payroll period. Participants may purchase a maximum of 4,500 shares with respect to any offering period. The ESPP limits purchases not to exceed $25,000 in fair market value for each calendar year during which any option granted to the participant is outstanding. The purchase price of each share will be 90 percent of the closing price of a share of our common stock on the exercise date. Shares purchased by the participant are issued from our treasury stock. During 2022, we had one offering and approximately 9,000 shares were issued from our treasury stock to participants at a closing price of $13.30.</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 Bargaining Agreements - As of December 31, 2022, we employed 571 persons, 180 whom are represented by unions under collective bargaining agreements. We have three 3-year union contracts which were successfully ratified in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as the result of the stockholders’ approval, the Series E and Series F Redeemable Preferred exchange transaction was consummated during 2021. Pursuant to the terms of the exchange agreement, an affiliate of Eldridge exchanged all of the shares of the Series E and Series F Redeemable Preferred for approximately 49.1 million shares of our common stock.</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SBT Investors and LSB Funding, each of which is an affiliate of Eldridge beneficially own, in the aggregate, 19.9 million shares of our outstanding common stock, or approximately 26% of our outstanding common stock.</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in Note 1, our Board declared the Special Dividend that was paid through the issuance of approximately 9.1 million shares of common stock in 2021, which amount included approximately 1.2 million shares to LSB Funding and approximately 0.7 million shares to certain of the Golsen Holders. In addition, pursuant to the anti-dilution terms of the Series B and Series D Preferred, which shares were held by certain of the Golsen Holders, the conversion ratio of the 12% Cumulative, Convertible Preferred Stock, par value $100 (“Series B Preferred”) increased to 43.3333 to 1 from 33.3333 to 1 and Series D 6% Cumulative, Convertible Class C Preferred Stock, no par value (“Series D Preferred”) increased to 0.325 to 1 from 0.25 to 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exchange transaction in 2021, certain of the Golsen Holders who held all of the outstanding shares of Series B Preferred and Series D Preferred provided notice to convert all of their shares of Series B Preferred and Series D Preferred into approximately 1.2 million shares of our common stock, pursuant to the terms of these securities. Pursuant to the terms of these securities, our Board declared and we paid the accumulated dividends totaling approximately $1.9 million on the Series B and Series D Preferred. As a result, no shares of the Series B Preferred and Series D Preferred remain outstanding at December 31, 2021.</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have two separate outstanding financing arrangements by an affiliate of Eldridge as discussed in footnotes (C) and (D) of Note 6. In addition, an affiliate of LSB Funding held $50 million of our Old Notes, which Old Notes were redeemed with the proceeds from the New Notes as discussed in footnote (B) of Note 6. An affiliate of Eldridge holds $30 million of the New Notes.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we exhausted our stock repurchase authorization, including by repurchasing 9.0 million shares at an average cost of $12.58 per share in connection with a public offerings by LSB Funding and SBT Investors, each of which is an affiliate of Eldridge.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Board Representation and Standstill Agreement, as amended, our Board includes two directors that are employees of affiliates of LSB Funding and SBT Investors. During 2022, 2021 and 2020, we incurred director fees associated with these directors totaling approximately $0.3 million for each respective year.</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During 2022, 2021 and 2020, we incurred director fees associated with Barry H. Golsen totaling approximately $0.1 million for each respective year.</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result of Jack E. Golsen (“J. Golsen”) informing the Board of his election to retire as Executive Chairman effective December 31, 2017, we determined not to extend the employment agreement with J. Golsen beyond its then current term that expired on December 31, 2017 (the “Retirement Date”) and, in accordance with the terms his employment agreement, delivered a notice of non-renewal to J. Golsen. Following the Retirement Date, J. Golsen served as Chairman Emeritus of our Board.</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we entered into a transition agreement (the “Transition Agreement”) with J. Golsen that commenced on January 1, 2018 and ends upon the earlier of his death or a change in control as defined in the agreement. During the term, J. Golsen received an annual cash retainer of $480,000 and an additional monthly amount of $4,400 to cover certain expenses. In accordance with the terms of the Transition Agreement, we also reimburse J. Golsen for his cost of certain medical insurance coverage until his death. J. Golsen passed away in April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party to a death benefit agreement (“2005 Agreement”) with J. Golsen. See discussion in Note 12-Employee Savings and Stock Purchase Plans, Collective Bargaining Agreements and Executive Benefit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Interest on long-term debt and other, net of capitalized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41,956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43,583</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45,730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taxes, net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1,508</w:t>
            </w:r>
          </w:p>
        </w:tc>
        <w:tc>
          <w:tcPr>
            <w:tcW w:w="4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Supplies, other assets and accounts payable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80" w:type="dxa"/>
            <w:vAlign w:val="bottom"/>
          </w:tcPr>
          <w:p>
            <w:pPr>
              <w:ind w:left="360"/>
              <w:spacing w:after="0"/>
              <w:rPr>
                <w:sz w:val="20"/>
                <w:szCs w:val="20"/>
                <w:color w:val="auto"/>
              </w:rPr>
            </w:pPr>
            <w:r>
              <w:rPr>
                <w:rFonts w:ascii="Arial" w:cs="Arial" w:eastAsia="Arial" w:hAnsi="Arial"/>
                <w:sz w:val="18"/>
                <w:szCs w:val="18"/>
                <w:color w:val="auto"/>
              </w:rPr>
              <w:t>and accrued liabilities associated with additions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28,394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80" w:type="dxa"/>
            <w:vAlign w:val="bottom"/>
          </w:tcPr>
          <w:p>
            <w:pPr>
              <w:ind w:left="360"/>
              <w:spacing w:after="0"/>
              <w:rPr>
                <w:sz w:val="20"/>
                <w:szCs w:val="20"/>
                <w:color w:val="auto"/>
              </w:rPr>
            </w:pPr>
            <w:r>
              <w:rPr>
                <w:rFonts w:ascii="Arial" w:cs="Arial" w:eastAsia="Arial" w:hAnsi="Arial"/>
                <w:sz w:val="18"/>
                <w:szCs w:val="18"/>
                <w:color w:val="auto"/>
              </w:rPr>
              <w:t>of property, plant and equipment</w:t>
            </w: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17,649</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4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Series E and Series F Redeemable Preferred and related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dividends, accretion, and embedded derivative exchanged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for common stock, net of related costs in accounts payable</w:t>
            </w: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306,690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37,208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Gain on extinguishment of PPP loan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Series B and Series D preferred converted into common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stock</w:t>
            </w: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4"/>
                <w:szCs w:val="24"/>
                <w:color w:val="auto"/>
              </w:rPr>
            </w:pPr>
          </w:p>
        </w:tc>
        <w:tc>
          <w:tcPr>
            <w:tcW w:w="5480" w:type="dxa"/>
            <w:vAlign w:val="bottom"/>
          </w:tcPr>
          <w:p>
            <w:pPr>
              <w:ind w:left="4320"/>
              <w:spacing w:after="0"/>
              <w:rPr>
                <w:sz w:val="20"/>
                <w:szCs w:val="20"/>
                <w:color w:val="auto"/>
              </w:rPr>
            </w:pPr>
            <w:r>
              <w:rPr>
                <w:rFonts w:ascii="Arial" w:cs="Arial" w:eastAsia="Arial" w:hAnsi="Arial"/>
                <w:sz w:val="18"/>
                <w:szCs w:val="18"/>
                <w:color w:val="auto"/>
              </w:rPr>
              <w:t>F-31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175"/>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4"/>
                <w:szCs w:val="14"/>
                <w:color w:val="auto"/>
                <w:w w:val="97"/>
              </w:rPr>
              <w:t>(In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5300" w:type="dxa"/>
            <w:vAlign w:val="bottom"/>
          </w:tcPr>
          <w:p>
            <w:pPr>
              <w:ind w:left="180"/>
              <w:spacing w:after="0"/>
              <w:rPr>
                <w:sz w:val="20"/>
                <w:szCs w:val="20"/>
                <w:color w:val="auto"/>
              </w:rPr>
            </w:pPr>
            <w:r>
              <w:rPr>
                <w:rFonts w:ascii="Arial" w:cs="Arial" w:eastAsia="Arial" w:hAnsi="Arial"/>
                <w:sz w:val="18"/>
                <w:szCs w:val="18"/>
                <w:color w:val="auto"/>
              </w:rPr>
              <w:t>AN &amp; Nitric Acid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315,679</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228,754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150,902</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Urea ammonium nitrate (UAN)</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239,463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123,840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75,031</w:t>
            </w:r>
          </w:p>
        </w:tc>
        <w:tc>
          <w:tcPr>
            <w:tcW w:w="80" w:type="dxa"/>
            <w:vAlign w:val="bottom"/>
            <w:shd w:val="clear" w:color="auto" w:fill="CFF0FC"/>
          </w:tcPr>
          <w:p>
            <w:pPr>
              <w:spacing w:after="0"/>
              <w:rPr>
                <w:sz w:val="21"/>
                <w:szCs w:val="21"/>
                <w:color w:val="auto"/>
              </w:rPr>
            </w:pPr>
          </w:p>
        </w:tc>
      </w:tr>
      <w:tr>
        <w:trPr>
          <w:trHeight w:val="238"/>
        </w:trPr>
        <w:tc>
          <w:tcPr>
            <w:tcW w:w="5300" w:type="dxa"/>
            <w:vAlign w:val="bottom"/>
          </w:tcPr>
          <w:p>
            <w:pPr>
              <w:ind w:left="180"/>
              <w:spacing w:after="0"/>
              <w:rPr>
                <w:sz w:val="20"/>
                <w:szCs w:val="20"/>
                <w:color w:val="auto"/>
              </w:rPr>
            </w:pPr>
            <w:r>
              <w:rPr>
                <w:rFonts w:ascii="Arial" w:cs="Arial" w:eastAsia="Arial" w:hAnsi="Arial"/>
                <w:sz w:val="18"/>
                <w:szCs w:val="18"/>
                <w:color w:val="auto"/>
              </w:rPr>
              <w:t>Ammonia</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284,005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84,222</w:t>
            </w:r>
          </w:p>
        </w:tc>
        <w:tc>
          <w:tcPr>
            <w:tcW w:w="8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62,564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48,486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901,711</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556,239</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351,316</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-187960</wp:posOffset>
            </wp:positionV>
            <wp:extent cx="5969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51435"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29 months at December 31, 2022.</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$2.0 million and $1.6 million of contract liabilities as of December 31, 2022 and 2021, respectively. During 2022 and 2021, revenues of $1.5 million and $2.5 million, respectively were recognized and included in the balance at the beginning of the period.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we have remaining performance obligations with certain customer contracts, excluding contracts with original durations of less than one year and contracts with variable consideration for which we have elected the practical expedient for consideration recognized in revenue as invoiced. The remaining performance obligations total approximately $100 million, of which approximately 63% of this amount relates to 2023 through 2025, approximately 24% relates to 2026 through 2027, with the remainder thereafter.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our leases are presented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7"/>
          </w:tcPr>
          <w:p>
            <w:pPr>
              <w:jc w:val="right"/>
              <w:ind w:right="320"/>
              <w:spacing w:after="0"/>
              <w:rPr>
                <w:sz w:val="20"/>
                <w:szCs w:val="20"/>
                <w:color w:val="auto"/>
              </w:rPr>
            </w:pPr>
            <w:r>
              <w:rPr>
                <w:rFonts w:ascii="Arial" w:cs="Arial" w:eastAsia="Arial" w:hAnsi="Arial"/>
                <w:sz w:val="14"/>
                <w:szCs w:val="14"/>
                <w:color w:val="auto"/>
              </w:rPr>
              <w:t>(Dollars In Thousands)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lease expense:</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Operating lease cost</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10,692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9,998</w:t>
            </w:r>
          </w:p>
        </w:tc>
        <w:tc>
          <w:tcPr>
            <w:tcW w:w="160" w:type="dxa"/>
            <w:vAlign w:val="bottom"/>
          </w:tcPr>
          <w:p>
            <w:pPr>
              <w:spacing w:after="0"/>
              <w:rPr>
                <w:sz w:val="20"/>
                <w:szCs w:val="20"/>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Short-term lease cost</w:t>
            </w:r>
          </w:p>
        </w:tc>
        <w:tc>
          <w:tcPr>
            <w:tcW w:w="10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560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Other cost (1)</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157</w:t>
            </w:r>
          </w:p>
        </w:tc>
        <w:tc>
          <w:tcPr>
            <w:tcW w:w="1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82"/>
        </w:trPr>
        <w:tc>
          <w:tcPr>
            <w:tcW w:w="580" w:type="dxa"/>
            <w:vAlign w:val="bottom"/>
          </w:tcPr>
          <w:p>
            <w:pPr>
              <w:spacing w:after="0"/>
              <w:rPr>
                <w:sz w:val="24"/>
                <w:szCs w:val="24"/>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14,601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12,398</w:t>
            </w:r>
          </w:p>
        </w:tc>
        <w:tc>
          <w:tcPr>
            <w:tcW w:w="1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5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 related to leases: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7"/>
        </w:trPr>
        <w:tc>
          <w:tcPr>
            <w:tcW w:w="580" w:type="dxa"/>
            <w:vAlign w:val="bottom"/>
          </w:tcPr>
          <w:p>
            <w:pPr>
              <w:spacing w:after="0"/>
              <w:rPr>
                <w:sz w:val="21"/>
                <w:szCs w:val="21"/>
                <w:color w:val="auto"/>
              </w:rPr>
            </w:pPr>
          </w:p>
        </w:tc>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02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10,552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0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Cash paid for amounts included in the measurement of lease liabilities</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10,776</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10,415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Right-of-use assets obtained in exchange for new operating lease liabilities</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4,347</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9,549</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19"/>
                <w:szCs w:val="19"/>
                <w:color w:val="auto"/>
              </w:rPr>
            </w:pPr>
          </w:p>
        </w:tc>
        <w:tc>
          <w:tcPr>
            <w:tcW w:w="320" w:type="dxa"/>
            <w:vAlign w:val="bottom"/>
            <w:gridSpan w:val="2"/>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Right-of-use assets obtained in exchange for new finance lease liabilities</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1"/>
                <w:szCs w:val="21"/>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Other lease-related information:</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10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remaining lease term - finance leases (in years)</w:t>
            </w:r>
          </w:p>
        </w:tc>
        <w:tc>
          <w:tcPr>
            <w:tcW w:w="10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0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8.25 %</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5"/>
              </w:rPr>
              <w:t>8.44 %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8.26 %</w:t>
            </w: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10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7.54 %</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5"/>
              </w:rPr>
              <w:t>8.69 %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8.65 %</w:t>
            </w: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(1) Includes variable and finance lease costs.</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24"/>
        </w:trPr>
        <w:tc>
          <w:tcPr>
            <w:tcW w:w="9360" w:type="dxa"/>
            <w:vAlign w:val="bottom"/>
            <w:gridSpan w:val="11"/>
          </w:tcPr>
          <w:p>
            <w:pPr>
              <w:spacing w:after="0"/>
              <w:rPr>
                <w:sz w:val="20"/>
                <w:szCs w:val="20"/>
                <w:color w:val="auto"/>
              </w:rPr>
            </w:pPr>
            <w:r>
              <w:rPr>
                <w:rFonts w:ascii="Arial" w:cs="Arial" w:eastAsia="Arial" w:hAnsi="Arial"/>
                <w:sz w:val="18"/>
                <w:szCs w:val="18"/>
                <w:color w:val="auto"/>
                <w:w w:val="93"/>
              </w:rPr>
              <w:t>At December 31, 2022, future minimum lease payments due under ASC 842 are summarized by fiscal year in the table below:</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w w:val="88"/>
              </w:rPr>
              <w:t>Finance Leases</w:t>
            </w:r>
          </w:p>
        </w:tc>
        <w:tc>
          <w:tcPr>
            <w:tcW w:w="160" w:type="dxa"/>
            <w:vAlign w:val="bottom"/>
            <w:gridSpan w:val="2"/>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6"/>
          </w:tcPr>
          <w:p>
            <w:pPr>
              <w:jc w:val="right"/>
              <w:ind w:right="170"/>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2024</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7,780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2026</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(3,283 )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(219 )</w:t>
            </w:r>
          </w:p>
        </w:tc>
        <w:tc>
          <w:tcPr>
            <w:tcW w:w="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0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-4777105</wp:posOffset>
            </wp:positionV>
            <wp:extent cx="1840865" cy="3422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3">
                      <a:extLst>
                        <a:ext uri="{28A0092B-C50C-407E-A947-70E740481C1C}"/>
                      </a:extLst>
                    </a:blip>
                    <a:srcRect/>
                    <a:stretch>
                      <a:fillRect/>
                    </a:stretch>
                  </pic:blipFill>
                  <pic:spPr bwMode="auto">
                    <a:xfrm>
                      <a:off x="0" y="0"/>
                      <a:ext cx="1840865" cy="34226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-3972560</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-3972560</wp:posOffset>
            </wp:positionV>
            <wp:extent cx="5969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-3972560</wp:posOffset>
            </wp:positionV>
            <wp:extent cx="5969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-2499360</wp:posOffset>
            </wp:positionV>
            <wp:extent cx="641350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7">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2022, we have executed operating leases with lease terms greater than one year, totaling approximately $0.9 million which have not yet commenced.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ind w:left="4900"/>
        <w:spacing w:after="0"/>
        <w:rPr>
          <w:sz w:val="20"/>
          <w:szCs w:val="20"/>
          <w:color w:val="auto"/>
        </w:rPr>
      </w:pPr>
      <w:r>
        <w:rPr>
          <w:rFonts w:ascii="Arial" w:cs="Arial" w:eastAsia="Arial" w:hAnsi="Arial"/>
          <w:sz w:val="18"/>
          <w:szCs w:val="18"/>
          <w:color w:val="auto"/>
        </w:rPr>
        <w:t>LSB Industries, Inc.</w:t>
      </w:r>
    </w:p>
    <w:p>
      <w:pPr>
        <w:spacing w:after="0" w:line="4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Supplementary Information</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for 2022 and 2021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spacing w:after="0"/>
              <w:rPr>
                <w:sz w:val="20"/>
                <w:szCs w:val="20"/>
                <w:color w:val="auto"/>
              </w:rPr>
            </w:pPr>
            <w:r>
              <w:rPr>
                <w:rFonts w:ascii="Arial" w:cs="Arial" w:eastAsia="Arial" w:hAnsi="Arial"/>
                <w:sz w:val="14"/>
                <w:szCs w:val="14"/>
                <w:color w:val="auto"/>
                <w:w w:val="99"/>
              </w:rPr>
              <w:t>(In Thousands, Except Per Share Amounts)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2022</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198,981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284,803</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184,273</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233,654</w:t>
            </w:r>
          </w:p>
        </w:tc>
        <w:tc>
          <w:tcPr>
            <w:tcW w:w="10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 (1)</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90,730</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142,924</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Net income (1) (2)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103,399</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58,766</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103,399</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 income per common share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 income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FF0FC"/>
          </w:tcPr>
          <w:p>
            <w:pPr>
              <w:spacing w:after="0"/>
              <w:rPr>
                <w:sz w:val="24"/>
                <w:szCs w:val="24"/>
                <w:color w:val="auto"/>
              </w:rPr>
            </w:pP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FF0FC"/>
          </w:tcPr>
          <w:p>
            <w:pPr>
              <w:spacing w:after="0"/>
              <w:rPr>
                <w:sz w:val="24"/>
                <w:szCs w:val="24"/>
                <w:color w:val="auto"/>
              </w:rPr>
            </w:pPr>
          </w:p>
        </w:tc>
      </w:tr>
      <w:tr>
        <w:trPr>
          <w:trHeight w:val="223"/>
        </w:trPr>
        <w:tc>
          <w:tcPr>
            <w:tcW w:w="58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2021</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140,696</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127,199</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190,228</w:t>
            </w:r>
          </w:p>
        </w:tc>
        <w:tc>
          <w:tcPr>
            <w:tcW w:w="10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 (1)</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35,008</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17,447</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Net income (loss) (1)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(13,279 )</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(8,928 )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42,082</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stockholders (A)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(23,376</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(251,504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income (loss)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(0.63 )</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(6.39 )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FF0FC"/>
          </w:tcPr>
          <w:p>
            <w:pPr>
              <w:spacing w:after="0"/>
              <w:rPr>
                <w:sz w:val="24"/>
                <w:szCs w:val="24"/>
                <w:color w:val="auto"/>
              </w:rPr>
            </w:pPr>
          </w:p>
        </w:tc>
      </w:tr>
      <w:tr>
        <w:trPr>
          <w:trHeight w:val="223"/>
        </w:trPr>
        <w:tc>
          <w:tcPr>
            <w:tcW w:w="58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 income (loss)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(0.63 )</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(6.39 )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FF0FC"/>
          </w:tcPr>
          <w:p>
            <w:pPr>
              <w:spacing w:after="0"/>
              <w:rPr>
                <w:sz w:val="24"/>
                <w:szCs w:val="24"/>
                <w:color w:val="auto"/>
              </w:rPr>
            </w:pPr>
          </w:p>
        </w:tc>
      </w:tr>
      <w:tr>
        <w:trPr>
          <w:trHeight w:val="223"/>
        </w:trPr>
        <w:tc>
          <w:tcPr>
            <w:tcW w:w="58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-4289425</wp:posOffset>
            </wp:positionV>
            <wp:extent cx="2696845" cy="2057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3">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-3929380</wp:posOffset>
            </wp:positionV>
            <wp:extent cx="2696845"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4">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-3595370</wp:posOffset>
            </wp:positionV>
            <wp:extent cx="2696845"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5">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-3261360</wp:posOffset>
            </wp:positionV>
            <wp:extent cx="2696845"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6">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-2285365</wp:posOffset>
            </wp:positionV>
            <wp:extent cx="2696845"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7">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-1925955</wp:posOffset>
            </wp:positionV>
            <wp:extent cx="2696845" cy="179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8">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-1591945</wp:posOffset>
            </wp:positionV>
            <wp:extent cx="2696845"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9">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-1257935</wp:posOffset>
            </wp:positionV>
            <wp:extent cx="2696845"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0">
                      <a:extLst>
                        <a:ext uri="{28A0092B-C50C-407E-A947-70E740481C1C}"/>
                      </a:extLst>
                    </a:blip>
                    <a:srcRect/>
                    <a:stretch>
                      <a:fillRect/>
                    </a:stretch>
                  </pic:blipFill>
                  <pic:spPr bwMode="auto">
                    <a:xfrm>
                      <a:off x="0" y="0"/>
                      <a:ext cx="2696845" cy="179705"/>
                    </a:xfrm>
                    <a:prstGeom prst="rect">
                      <a:avLst/>
                    </a:prstGeom>
                    <a:noFill/>
                  </pic:spPr>
                </pic:pic>
              </a:graphicData>
            </a:graphic>
          </wp:anchor>
        </w:drawing>
      </w:r>
    </w:p>
    <w:p>
      <w:pPr>
        <w:spacing w:after="0" w:line="74" w:lineRule="exact"/>
        <w:rPr>
          <w:sz w:val="20"/>
          <w:szCs w:val="20"/>
          <w:color w:val="auto"/>
        </w:rPr>
      </w:pPr>
    </w:p>
    <w:p>
      <w:pPr>
        <w:ind w:left="520" w:right="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 concerning a deemed dividend associated with an exchange transaction and special dividend, which was consummated during the third quarter of 2021.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10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income (expense) items impacted gross profit (loss) and net income (loss):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Arial" w:cs="Arial" w:eastAsia="Arial" w:hAnsi="Arial"/>
                <w:sz w:val="14"/>
                <w:szCs w:val="14"/>
                <w:color w:val="auto"/>
              </w:rPr>
              <w:t>(In</w:t>
            </w:r>
          </w:p>
        </w:tc>
        <w:tc>
          <w:tcPr>
            <w:tcW w:w="1380" w:type="dxa"/>
            <w:vAlign w:val="bottom"/>
            <w:gridSpan w:val="3"/>
          </w:tcPr>
          <w:p>
            <w:pPr>
              <w:jc w:val="right"/>
              <w:ind w:right="734"/>
              <w:spacing w:after="0"/>
              <w:rPr>
                <w:sz w:val="20"/>
                <w:szCs w:val="20"/>
                <w:color w:val="auto"/>
              </w:rPr>
            </w:pPr>
            <w:r>
              <w:rPr>
                <w:rFonts w:ascii="Arial" w:cs="Arial" w:eastAsia="Arial" w:hAnsi="Arial"/>
                <w:sz w:val="14"/>
                <w:szCs w:val="14"/>
                <w:color w:val="auto"/>
                <w:w w:val="72"/>
              </w:rPr>
              <w:t>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Turnaround expense: (A)</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jc w:val="right"/>
              <w:ind w:right="517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(2,531 )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(3,295 )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(19,238 )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(4,171 )</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spacing w:after="0"/>
              <w:rPr>
                <w:sz w:val="19"/>
                <w:szCs w:val="19"/>
                <w:color w:val="auto"/>
              </w:rPr>
            </w:pPr>
          </w:p>
        </w:tc>
      </w:tr>
      <w:tr>
        <w:trPr>
          <w:trHeight w:val="243"/>
        </w:trPr>
        <w:tc>
          <w:tcPr>
            <w:tcW w:w="5820" w:type="dxa"/>
            <w:vAlign w:val="bottom"/>
          </w:tcPr>
          <w:p>
            <w:pPr>
              <w:jc w:val="right"/>
              <w:ind w:right="517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(707 )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(7,976 )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(1,130 )</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Gain (loss) on natural gas forward contracts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5820" w:type="dxa"/>
            <w:vAlign w:val="bottom"/>
            <w:shd w:val="clear" w:color="auto" w:fill="CFF0FC"/>
          </w:tcPr>
          <w:p>
            <w:pPr>
              <w:jc w:val="right"/>
              <w:ind w:right="517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expense due to CoC event</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jc w:val="right"/>
              <w:ind w:right="517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(1,221 )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-513080</wp:posOffset>
            </wp:positionV>
            <wp:extent cx="2705735"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2">
                      <a:extLst>
                        <a:ext uri="{28A0092B-C50C-407E-A947-70E740481C1C}"/>
                      </a:extLst>
                    </a:blip>
                    <a:srcRect/>
                    <a:stretch>
                      <a:fillRect/>
                    </a:stretch>
                  </pic:blipFill>
                  <pic:spPr bwMode="auto">
                    <a:xfrm>
                      <a:off x="0" y="0"/>
                      <a:ext cx="2705735" cy="179705"/>
                    </a:xfrm>
                    <a:prstGeom prst="rect">
                      <a:avLst/>
                    </a:prstGeom>
                    <a:noFill/>
                  </pic:spPr>
                </pic:pic>
              </a:graphicData>
            </a:graphic>
          </wp:anchor>
        </w:drawing>
      </w:r>
    </w:p>
    <w:p>
      <w:pPr>
        <w:spacing w:after="0" w:line="74" w:lineRule="exact"/>
        <w:rPr>
          <w:sz w:val="20"/>
          <w:szCs w:val="20"/>
          <w:color w:val="auto"/>
        </w:rPr>
      </w:pPr>
    </w:p>
    <w:p>
      <w:pPr>
        <w:ind w:left="20" w:right="5920" w:hanging="12"/>
        <w:spacing w:after="0" w:line="301" w:lineRule="auto"/>
        <w:tabs>
          <w:tab w:leader="none" w:pos="5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income (expense) items impacted net income (loss): Legal fees associated with Leidos matter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800" w:type="dxa"/>
            <w:vAlign w:val="bottom"/>
            <w:shd w:val="clear" w:color="auto" w:fill="CFF0FC"/>
          </w:tcPr>
          <w:p>
            <w:pPr>
              <w:jc w:val="right"/>
              <w:ind w:right="515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(342 )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(270 )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(200 )</w:t>
            </w:r>
          </w:p>
        </w:tc>
      </w:tr>
      <w:tr>
        <w:trPr>
          <w:trHeight w:val="223"/>
        </w:trPr>
        <w:tc>
          <w:tcPr>
            <w:tcW w:w="58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800" w:type="dxa"/>
            <w:vAlign w:val="bottom"/>
            <w:shd w:val="clear" w:color="auto" w:fill="CFF0FC"/>
          </w:tcPr>
          <w:p>
            <w:pPr>
              <w:jc w:val="right"/>
              <w:ind w:right="515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(886 )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(296 )</w:t>
            </w:r>
          </w:p>
        </w:tc>
      </w:tr>
      <w:tr>
        <w:trPr>
          <w:trHeight w:val="156"/>
        </w:trPr>
        <w:tc>
          <w:tcPr>
            <w:tcW w:w="580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expense due to CoC event</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jc w:val="right"/>
              <w:ind w:right="5150"/>
              <w:spacing w:after="0"/>
              <w:rPr>
                <w:sz w:val="20"/>
                <w:szCs w:val="20"/>
                <w:color w:val="auto"/>
              </w:rPr>
            </w:pPr>
            <w:r>
              <w:rPr>
                <w:rFonts w:ascii="Arial" w:cs="Arial" w:eastAsia="Arial" w:hAnsi="Arial"/>
                <w:sz w:val="18"/>
                <w:szCs w:val="18"/>
                <w:color w:val="auto"/>
              </w:rPr>
              <w:t>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(3,786 )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Gain (loss) on extinguishments of debt</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5800" w:type="dxa"/>
            <w:vAlign w:val="bottom"/>
            <w:shd w:val="clear" w:color="auto" w:fill="CFF0FC"/>
          </w:tcPr>
          <w:p>
            <w:pPr>
              <w:jc w:val="right"/>
              <w:ind w:right="515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800" w:type="dxa"/>
            <w:vAlign w:val="bottom"/>
            <w:shd w:val="clear" w:color="auto" w:fill="CFF0FC"/>
          </w:tcPr>
          <w:p>
            <w:pPr>
              <w:jc w:val="right"/>
              <w:ind w:right="515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(20,259 )</w:t>
            </w:r>
          </w:p>
        </w:tc>
      </w:tr>
      <w:tr>
        <w:trPr>
          <w:trHeight w:val="156"/>
        </w:trPr>
        <w:tc>
          <w:tcPr>
            <w:tcW w:w="580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associated with Global judgment</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jc w:val="right"/>
              <w:ind w:right="5150"/>
              <w:spacing w:after="0"/>
              <w:rPr>
                <w:sz w:val="20"/>
                <w:szCs w:val="20"/>
                <w:color w:val="auto"/>
              </w:rPr>
            </w:pPr>
            <w:r>
              <w:rPr>
                <w:rFonts w:ascii="Arial" w:cs="Arial" w:eastAsia="Arial" w:hAnsi="Arial"/>
                <w:sz w:val="18"/>
                <w:szCs w:val="18"/>
                <w:color w:val="auto"/>
              </w:rPr>
              <w:t>2022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(79 )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r>
        <w:trPr>
          <w:trHeight w:val="20"/>
        </w:trPr>
        <w:tc>
          <w:tcPr>
            <w:tcW w:w="5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r>
      <w:tr>
        <w:trPr>
          <w:trHeight w:val="243"/>
        </w:trPr>
        <w:tc>
          <w:tcPr>
            <w:tcW w:w="5800" w:type="dxa"/>
            <w:vAlign w:val="bottom"/>
          </w:tcPr>
          <w:p>
            <w:pPr>
              <w:jc w:val="right"/>
              <w:ind w:right="5150"/>
              <w:spacing w:after="0"/>
              <w:rPr>
                <w:sz w:val="20"/>
                <w:szCs w:val="20"/>
                <w:color w:val="auto"/>
              </w:rPr>
            </w:pPr>
            <w:r>
              <w:rPr>
                <w:rFonts w:ascii="Arial" w:cs="Arial" w:eastAsia="Arial" w:hAnsi="Arial"/>
                <w:sz w:val="18"/>
                <w:szCs w:val="18"/>
                <w:color w:val="auto"/>
              </w:rPr>
              <w:t>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(79 )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r>
        <w:trPr>
          <w:trHeight w:val="20"/>
        </w:trPr>
        <w:tc>
          <w:tcPr>
            <w:tcW w:w="5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Gain (loss) associated with embedded derivative</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5800" w:type="dxa"/>
            <w:vAlign w:val="bottom"/>
            <w:shd w:val="clear" w:color="auto" w:fill="CFF0FC"/>
          </w:tcPr>
          <w:p>
            <w:pPr>
              <w:jc w:val="right"/>
              <w:ind w:right="515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(436 )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(716 )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56"/>
        </w:trPr>
        <w:tc>
          <w:tcPr>
            <w:tcW w:w="580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jc w:val="right"/>
              <w:ind w:right="5150"/>
              <w:spacing w:after="0"/>
              <w:rPr>
                <w:sz w:val="20"/>
                <w:szCs w:val="20"/>
                <w:color w:val="auto"/>
              </w:rPr>
            </w:pPr>
            <w:r>
              <w:rPr>
                <w:rFonts w:ascii="Arial" w:cs="Arial" w:eastAsia="Arial" w:hAnsi="Arial"/>
                <w:sz w:val="18"/>
                <w:szCs w:val="18"/>
                <w:color w:val="auto"/>
              </w:rPr>
              <w:t>2022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(11,115 )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(20,382 )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(6,897 )</w:t>
            </w:r>
          </w:p>
        </w:tc>
      </w:tr>
      <w:tr>
        <w:trPr>
          <w:trHeight w:val="20"/>
        </w:trPr>
        <w:tc>
          <w:tcPr>
            <w:tcW w:w="5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00" w:type="dxa"/>
            <w:vAlign w:val="bottom"/>
          </w:tcPr>
          <w:p>
            <w:pPr>
              <w:jc w:val="right"/>
              <w:ind w:right="5150"/>
              <w:spacing w:after="0"/>
              <w:rPr>
                <w:sz w:val="20"/>
                <w:szCs w:val="20"/>
                <w:color w:val="auto"/>
              </w:rPr>
            </w:pPr>
            <w:r>
              <w:rPr>
                <w:rFonts w:ascii="Arial" w:cs="Arial" w:eastAsia="Arial" w:hAnsi="Arial"/>
                <w:sz w:val="18"/>
                <w:szCs w:val="18"/>
                <w:color w:val="auto"/>
              </w:rPr>
              <w:t>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-3587115</wp:posOffset>
            </wp:positionV>
            <wp:extent cx="271399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3">
                      <a:extLst>
                        <a:ext uri="{28A0092B-C50C-407E-A947-70E740481C1C}"/>
                      </a:extLst>
                    </a:blip>
                    <a:srcRect/>
                    <a:stretch>
                      <a:fillRect/>
                    </a:stretch>
                  </pic:blipFill>
                  <pic:spPr bwMode="auto">
                    <a:xfrm>
                      <a:off x="0" y="0"/>
                      <a:ext cx="2713990"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-3253105</wp:posOffset>
            </wp:positionV>
            <wp:extent cx="271399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4">
                      <a:extLst>
                        <a:ext uri="{28A0092B-C50C-407E-A947-70E740481C1C}"/>
                      </a:extLst>
                    </a:blip>
                    <a:srcRect/>
                    <a:stretch>
                      <a:fillRect/>
                    </a:stretch>
                  </pic:blipFill>
                  <pic:spPr bwMode="auto">
                    <a:xfrm>
                      <a:off x="0" y="0"/>
                      <a:ext cx="2713990" cy="13716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-2362835</wp:posOffset>
            </wp:positionV>
            <wp:extent cx="2713990"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5">
                      <a:extLst>
                        <a:ext uri="{28A0092B-C50C-407E-A947-70E740481C1C}"/>
                      </a:extLst>
                    </a:blip>
                    <a:srcRect/>
                    <a:stretch>
                      <a:fillRect/>
                    </a:stretch>
                  </pic:blipFill>
                  <pic:spPr bwMode="auto">
                    <a:xfrm>
                      <a:off x="0" y="0"/>
                      <a:ext cx="2713990"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-2028825</wp:posOffset>
            </wp:positionV>
            <wp:extent cx="271399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6">
                      <a:extLst>
                        <a:ext uri="{28A0092B-C50C-407E-A947-70E740481C1C}"/>
                      </a:extLst>
                    </a:blip>
                    <a:srcRect/>
                    <a:stretch>
                      <a:fillRect/>
                    </a:stretch>
                  </pic:blipFill>
                  <pic:spPr bwMode="auto">
                    <a:xfrm>
                      <a:off x="0" y="0"/>
                      <a:ext cx="2713990" cy="13716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-804545</wp:posOffset>
            </wp:positionV>
            <wp:extent cx="271399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7">
                      <a:extLst>
                        <a:ext uri="{28A0092B-C50C-407E-A947-70E740481C1C}"/>
                      </a:extLst>
                    </a:blip>
                    <a:srcRect/>
                    <a:stretch>
                      <a:fillRect/>
                    </a:stretch>
                  </pic:blipFill>
                  <pic:spPr bwMode="auto">
                    <a:xfrm>
                      <a:off x="0" y="0"/>
                      <a:ext cx="2713990" cy="137160"/>
                    </a:xfrm>
                    <a:prstGeom prst="rect">
                      <a:avLst/>
                    </a:prstGeom>
                    <a:noFill/>
                  </pic:spPr>
                </pic:pic>
              </a:graphicData>
            </a:graphic>
          </wp:anchor>
        </w:drawing>
      </w:r>
    </w:p>
    <w:p>
      <w:pPr>
        <w:spacing w:after="0" w:line="24"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5"/>
          <w:szCs w:val="15"/>
          <w:color w:val="auto"/>
        </w:rPr>
        <w:t>Turnaround expenses do not include the impact on operating results relating to lost absorption or reduced margins due to the associated plants being shut down.</w:t>
      </w:r>
    </w:p>
    <w:p>
      <w:pPr>
        <w:spacing w:after="0" w:line="21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2022, 2021, and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9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1"/>
              </w:rPr>
              <w:t>Deductions-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Charges to</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(Recovery of)</w:t>
            </w: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Write-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jc w:val="right"/>
              <w:ind w:right="2252"/>
              <w:spacing w:after="0"/>
              <w:rPr>
                <w:sz w:val="20"/>
                <w:szCs w:val="20"/>
                <w:color w:val="auto"/>
              </w:rPr>
            </w:pPr>
            <w:r>
              <w:rPr>
                <w:rFonts w:ascii="Arial" w:cs="Arial" w:eastAsia="Arial" w:hAnsi="Arial"/>
                <w:sz w:val="14"/>
                <w:szCs w:val="14"/>
                <w:b w:val="1"/>
                <w:bCs w:val="1"/>
                <w:color w:val="auto"/>
              </w:rPr>
              <w:t>Description (1)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4"/>
              </w:rPr>
              <w:t>offs/Costs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Incurred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End of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 allowance for doubtful accounts:</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jc w:val="right"/>
              <w:ind w:right="4952"/>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jc w:val="right"/>
              <w:ind w:right="495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jc w:val="right"/>
              <w:ind w:right="4952"/>
              <w:spacing w:after="0"/>
              <w:rPr>
                <w:sz w:val="20"/>
                <w:szCs w:val="20"/>
                <w:color w:val="auto"/>
              </w:rPr>
            </w:pPr>
            <w:r>
              <w:rPr>
                <w:rFonts w:ascii="Arial" w:cs="Arial" w:eastAsia="Arial" w:hAnsi="Arial"/>
                <w:sz w:val="18"/>
                <w:szCs w:val="18"/>
                <w:color w:val="auto"/>
              </w:rPr>
              <w:t>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Deferred tax assets - valuation allowance: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600" w:type="dxa"/>
            <w:vAlign w:val="bottom"/>
            <w:shd w:val="clear" w:color="auto" w:fill="CFF0FC"/>
          </w:tcPr>
          <w:p>
            <w:pPr>
              <w:jc w:val="right"/>
              <w:ind w:right="4952"/>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46,968</w:t>
            </w: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(28,268 )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FF0FC"/>
          </w:tcPr>
          <w:p>
            <w:pPr>
              <w:jc w:val="right"/>
              <w:ind w:right="4952"/>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64,655</w:t>
            </w: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(17,687 )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FF0FC"/>
            </w:tcBorders>
            <w:shd w:val="clear" w:color="auto" w:fill="CFF0FC"/>
          </w:tcPr>
          <w:p>
            <w:pPr>
              <w:jc w:val="right"/>
              <w:ind w:right="4952"/>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51,589</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-692785</wp:posOffset>
            </wp:positionV>
            <wp:extent cx="2740025" cy="179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9">
                      <a:extLst>
                        <a:ext uri="{28A0092B-C50C-407E-A947-70E740481C1C}"/>
                      </a:extLst>
                    </a:blip>
                    <a:srcRect/>
                    <a:stretch>
                      <a:fillRect/>
                    </a:stretch>
                  </pic:blipFill>
                  <pic:spPr bwMode="auto">
                    <a:xfrm>
                      <a:off x="0" y="0"/>
                      <a:ext cx="2740025" cy="17970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-358775</wp:posOffset>
            </wp:positionV>
            <wp:extent cx="2740025"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0">
                      <a:extLst>
                        <a:ext uri="{28A0092B-C50C-407E-A947-70E740481C1C}"/>
                      </a:extLst>
                    </a:blip>
                    <a:srcRect/>
                    <a:stretch>
                      <a:fillRect/>
                    </a:stretch>
                  </pic:blipFill>
                  <pic:spPr bwMode="auto">
                    <a:xfrm>
                      <a:off x="0" y="0"/>
                      <a:ext cx="2740025" cy="17970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right="3820" w:firstLine="8"/>
        <w:spacing w:after="0" w:line="482" w:lineRule="auto"/>
        <w:tabs>
          <w:tab w:leader="none" w:pos="5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Reduction in the consolidated balance sheet from the related assets to which the reserve applies. Other valuation and qualifying accounts are detailed in our notes to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color w:val="auto"/>
        </w:rPr>
        <w:t>Exhibit 10.46</w:t>
      </w:r>
    </w:p>
    <w:p>
      <w:pPr>
        <w:spacing w:after="0" w:line="6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LSB Funding LLC 600 Steamboat Road</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Greenwich, CT 06830</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September 28, 2021</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LSB Industries, Inc.</w:t>
      </w:r>
    </w:p>
    <w:p>
      <w:pPr>
        <w:spacing w:after="0" w:line="196" w:lineRule="auto"/>
        <w:rPr>
          <w:sz w:val="20"/>
          <w:szCs w:val="20"/>
          <w:color w:val="auto"/>
        </w:rPr>
      </w:pPr>
      <w:r>
        <w:rPr>
          <w:rFonts w:ascii="Arial" w:cs="Arial" w:eastAsia="Arial" w:hAnsi="Arial"/>
          <w:sz w:val="22"/>
          <w:szCs w:val="22"/>
          <w:color w:val="auto"/>
        </w:rPr>
        <w:t>3503 NW 63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Street, Suite 500 Oklahoma City, Oklahoma 73116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Mark Behrman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Re: Consents Pursuant to Section 4 of the Securities Exchange Agreement Dear Mr. Behrman:</w:t>
      </w:r>
    </w:p>
    <w:p>
      <w:pPr>
        <w:spacing w:after="0" w:line="8" w:lineRule="exact"/>
        <w:rPr>
          <w:sz w:val="20"/>
          <w:szCs w:val="20"/>
          <w:color w:val="auto"/>
        </w:rPr>
      </w:pPr>
    </w:p>
    <w:p>
      <w:pPr>
        <w:ind w:right="120" w:firstLine="749"/>
        <w:spacing w:after="0" w:line="233" w:lineRule="auto"/>
        <w:rPr>
          <w:sz w:val="20"/>
          <w:szCs w:val="20"/>
          <w:color w:val="auto"/>
        </w:rPr>
      </w:pPr>
      <w:r>
        <w:rPr>
          <w:rFonts w:ascii="Arial" w:cs="Arial" w:eastAsia="Arial" w:hAnsi="Arial"/>
          <w:sz w:val="22"/>
          <w:szCs w:val="22"/>
          <w:color w:val="auto"/>
        </w:rPr>
        <w:t>Reference is made to the Securities Exchange Agreement by and between LSB Industries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LSB Funding LLC, a Delaware limited liability company (“</w:t>
      </w:r>
      <w:r>
        <w:rPr>
          <w:rFonts w:ascii="Arial" w:cs="Arial" w:eastAsia="Arial" w:hAnsi="Arial"/>
          <w:sz w:val="22"/>
          <w:szCs w:val="22"/>
          <w:u w:val="single" w:color="auto"/>
          <w:color w:val="auto"/>
        </w:rPr>
        <w:t>LSB Funding</w:t>
      </w:r>
      <w:r>
        <w:rPr>
          <w:rFonts w:ascii="Arial" w:cs="Arial" w:eastAsia="Arial" w:hAnsi="Arial"/>
          <w:sz w:val="22"/>
          <w:szCs w:val="22"/>
          <w:color w:val="auto"/>
        </w:rPr>
        <w:t>”), dated as of July 19, 2021 (the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but not otherwise defined herein shall have the meanings ascribed to them in the Agreement.</w:t>
      </w:r>
    </w:p>
    <w:p>
      <w:pPr>
        <w:spacing w:after="0" w:line="213" w:lineRule="exact"/>
        <w:rPr>
          <w:sz w:val="20"/>
          <w:szCs w:val="20"/>
          <w:color w:val="auto"/>
        </w:rPr>
      </w:pPr>
    </w:p>
    <w:p>
      <w:pPr>
        <w:ind w:right="320" w:firstLine="749"/>
        <w:spacing w:after="0" w:line="235" w:lineRule="auto"/>
        <w:rPr>
          <w:sz w:val="20"/>
          <w:szCs w:val="20"/>
          <w:color w:val="auto"/>
        </w:rPr>
      </w:pPr>
      <w:r>
        <w:rPr>
          <w:rFonts w:ascii="Arial" w:cs="Arial" w:eastAsia="Arial" w:hAnsi="Arial"/>
          <w:sz w:val="22"/>
          <w:szCs w:val="22"/>
          <w:color w:val="auto"/>
        </w:rPr>
        <w:t>LSB Funding hereby provides its prior written consent pursuant to Section 4.1 and Section 4.12 of the Agreement to refinance the Company’s current $435,000,000 of Indebtedness in the form of secured bonds through the incurrence by the Company and its subsidiaries of up to $500,000,000 of Indebtedness in the form of secured bonds (the “New Notes”) and all encumbrances on any assets of the Company or any of its subsidiaries associated therewith. The consent granted herein is conditioned upon the Company successfully negotiating the following terms, at a minimum, in its refinancing of the existing secured bonds:</w:t>
      </w:r>
    </w:p>
    <w:p>
      <w:pPr>
        <w:spacing w:after="0" w:line="213" w:lineRule="exact"/>
        <w:rPr>
          <w:sz w:val="20"/>
          <w:szCs w:val="20"/>
          <w:color w:val="auto"/>
        </w:rPr>
      </w:pPr>
    </w:p>
    <w:p>
      <w:pPr>
        <w:ind w:left="1460" w:hanging="724"/>
        <w:spacing w:after="0"/>
        <w:tabs>
          <w:tab w:leader="none" w:pos="14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tenor of the New Notes runs for at least seven (7) years from the date of issuance,</w:t>
      </w:r>
    </w:p>
    <w:p>
      <w:pPr>
        <w:spacing w:after="0" w:line="7" w:lineRule="exact"/>
        <w:rPr>
          <w:rFonts w:ascii="Arial" w:cs="Arial" w:eastAsia="Arial" w:hAnsi="Arial"/>
          <w:sz w:val="22"/>
          <w:szCs w:val="22"/>
          <w:color w:val="auto"/>
        </w:rPr>
      </w:pPr>
    </w:p>
    <w:p>
      <w:pPr>
        <w:ind w:left="1580" w:hanging="844"/>
        <w:spacing w:after="0"/>
        <w:tabs>
          <w:tab w:leader="none" w:pos="15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interest rate for the New Notes does not exceed six and three eighths percent (6 and 3/8%), and</w:t>
      </w:r>
    </w:p>
    <w:p>
      <w:pPr>
        <w:spacing w:after="0" w:line="12" w:lineRule="exact"/>
        <w:rPr>
          <w:rFonts w:ascii="Arial" w:cs="Arial" w:eastAsia="Arial" w:hAnsi="Arial"/>
          <w:sz w:val="20"/>
          <w:szCs w:val="20"/>
          <w:color w:val="auto"/>
        </w:rPr>
      </w:pPr>
    </w:p>
    <w:p>
      <w:pPr>
        <w:ind w:left="1460" w:right="260" w:hanging="724"/>
        <w:spacing w:after="0" w:line="262" w:lineRule="auto"/>
        <w:tabs>
          <w:tab w:leader="none" w:pos="14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terms of the New Notes allow the Company to incur unlimited additional debt so long as the Fixed Charge Coverage Ratio (as defined in the Description of Notes in the offering memorandum for the New Notes (the “Description of the Notes”)) shall be equal to or greater than 2:1 and the Secured Leverage Ratio (as defined in the Description of Notes) does not exceed 5.5:1.</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Nothing in this consent amends, modifies or waives any of the consent rights or any other provisions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514350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21" w:right="339" w:bottom="1440" w:gutter="0" w:footer="0" w:header="0"/>
        </w:sectPr>
      </w:pPr>
    </w:p>
    <w:bookmarkStart w:id="84" w:name="page85"/>
    <w:bookmarkEnd w:id="84"/>
    <w:p>
      <w:pPr>
        <w:ind w:firstLine="749"/>
        <w:spacing w:after="0" w:line="250" w:lineRule="auto"/>
        <w:rPr>
          <w:sz w:val="20"/>
          <w:szCs w:val="20"/>
          <w:color w:val="auto"/>
        </w:rPr>
      </w:pPr>
      <w:r>
        <w:rPr>
          <w:rFonts w:ascii="Arial" w:cs="Arial" w:eastAsia="Arial" w:hAnsi="Arial"/>
          <w:sz w:val="22"/>
          <w:szCs w:val="22"/>
          <w:color w:val="auto"/>
        </w:rPr>
        <w:t>LSB Funding hereby consents to any and all actions required in connection with the preceding paragraph, which consent is provided for all purposes of Section 4.1 and Section 4.12 of the Agreement.</w:t>
      </w:r>
    </w:p>
    <w:p>
      <w:pPr>
        <w:spacing w:after="0" w:line="201" w:lineRule="exact"/>
        <w:rPr>
          <w:sz w:val="20"/>
          <w:szCs w:val="20"/>
          <w:color w:val="auto"/>
        </w:rPr>
      </w:pPr>
    </w:p>
    <w:p>
      <w:pPr>
        <w:ind w:right="100" w:firstLine="749"/>
        <w:spacing w:after="0" w:line="235" w:lineRule="auto"/>
        <w:rPr>
          <w:sz w:val="20"/>
          <w:szCs w:val="20"/>
          <w:color w:val="auto"/>
        </w:rPr>
      </w:pPr>
      <w:r>
        <w:rPr>
          <w:rFonts w:ascii="Arial" w:cs="Arial" w:eastAsia="Arial" w:hAnsi="Arial"/>
          <w:sz w:val="22"/>
          <w:szCs w:val="22"/>
          <w:color w:val="auto"/>
        </w:rPr>
        <w:t>This consent letter shall be governed by and construed in accordance with the internal laws of the State of Delaware without giving effect to any choice or conflict of laws provision or rule (whether of the State of Delaware or any other jurisdiction) that would cause the application of laws of any jurisdictions other than those of the State of Delaware. This consent letter shall not operate as a waiver of any right, power or remedy of LSB Funding under the Agreement or affect LSB Funding’s right to demand compliance with the terms and conditions of the Agreement, except as specifically consented to hereby.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499745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415" w:right="479" w:bottom="1440" w:gutter="0" w:footer="0" w:header="0"/>
        </w:sectPr>
      </w:pPr>
    </w:p>
    <w:bookmarkStart w:id="85" w:name="page86"/>
    <w:bookmarkEnd w:id="85"/>
    <w:p>
      <w:pPr>
        <w:ind w:left="4260"/>
        <w:spacing w:after="0"/>
        <w:rPr>
          <w:sz w:val="20"/>
          <w:szCs w:val="20"/>
          <w:color w:val="auto"/>
        </w:rPr>
      </w:pPr>
      <w:r>
        <w:rPr>
          <w:rFonts w:ascii="Arial" w:cs="Arial" w:eastAsia="Arial" w:hAnsi="Arial"/>
          <w:sz w:val="20"/>
          <w:szCs w:val="20"/>
          <w:color w:val="auto"/>
        </w:rPr>
        <w:t>Very truly yours, LSB FUNDING LLC</w:t>
      </w:r>
    </w:p>
    <w:p>
      <w:pPr>
        <w:spacing w:after="0" w:line="200" w:lineRule="exact"/>
        <w:rPr>
          <w:sz w:val="20"/>
          <w:szCs w:val="20"/>
          <w:color w:val="auto"/>
        </w:rPr>
      </w:pPr>
    </w:p>
    <w:p>
      <w:pPr>
        <w:spacing w:after="0" w:line="31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Todd L. Boehly</w:t>
      </w:r>
    </w:p>
    <w:p>
      <w:pPr>
        <w:ind w:left="4300"/>
        <w:spacing w:after="0" w:line="237" w:lineRule="auto"/>
        <w:rPr>
          <w:sz w:val="20"/>
          <w:szCs w:val="20"/>
          <w:color w:val="auto"/>
        </w:rPr>
      </w:pPr>
      <w:r>
        <w:rPr>
          <w:rFonts w:ascii="Arial" w:cs="Arial" w:eastAsia="Arial" w:hAnsi="Arial"/>
          <w:sz w:val="22"/>
          <w:szCs w:val="22"/>
          <w:color w:val="auto"/>
        </w:rPr>
        <w:t>Name: Todd L. Boehly</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351155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9"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color w:val="auto"/>
        </w:rPr>
        <w:t>Exhibit 10.48</w:t>
      </w:r>
    </w:p>
    <w:p>
      <w:pPr>
        <w:spacing w:after="0" w:line="297"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LSB Funding</w:t>
      </w:r>
    </w:p>
    <w:p>
      <w:pPr>
        <w:spacing w:after="0" w:line="8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LLC 600 Steamboat Road</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Greenwich, CT 06830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March 2, 2022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LSB Industries, Inc.</w:t>
      </w:r>
    </w:p>
    <w:p>
      <w:pPr>
        <w:spacing w:after="0" w:line="207" w:lineRule="auto"/>
        <w:rPr>
          <w:sz w:val="20"/>
          <w:szCs w:val="20"/>
          <w:color w:val="auto"/>
        </w:rPr>
      </w:pPr>
      <w:r>
        <w:rPr>
          <w:rFonts w:ascii="Arial" w:cs="Arial" w:eastAsia="Arial" w:hAnsi="Arial"/>
          <w:sz w:val="20"/>
          <w:szCs w:val="20"/>
          <w:color w:val="auto"/>
        </w:rPr>
        <w:t>3503 NW 63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Street, Suite 500 Oklahoma City, Oklahoma 73116</w:t>
      </w:r>
    </w:p>
    <w:p>
      <w:pPr>
        <w:spacing w:after="0"/>
        <w:rPr>
          <w:sz w:val="20"/>
          <w:szCs w:val="20"/>
          <w:color w:val="auto"/>
        </w:rPr>
      </w:pPr>
      <w:r>
        <w:rPr>
          <w:rFonts w:ascii="Arial" w:cs="Arial" w:eastAsia="Arial" w:hAnsi="Arial"/>
          <w:sz w:val="20"/>
          <w:szCs w:val="20"/>
          <w:color w:val="auto"/>
        </w:rPr>
        <w:t>Attention: Mark Behrman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Re: Consents Pursuant to Section 4.12 of the Securities Exchange Agreement Dear Mr. Behrman:</w:t>
      </w:r>
    </w:p>
    <w:p>
      <w:pPr>
        <w:spacing w:after="0" w:line="15" w:lineRule="exact"/>
        <w:rPr>
          <w:sz w:val="20"/>
          <w:szCs w:val="20"/>
          <w:color w:val="auto"/>
        </w:rPr>
      </w:pPr>
    </w:p>
    <w:p>
      <w:pPr>
        <w:jc w:val="both"/>
        <w:ind w:right="120" w:firstLine="747"/>
        <w:spacing w:after="0" w:line="281" w:lineRule="auto"/>
        <w:rPr>
          <w:sz w:val="20"/>
          <w:szCs w:val="20"/>
          <w:color w:val="auto"/>
        </w:rPr>
      </w:pPr>
      <w:r>
        <w:rPr>
          <w:rFonts w:ascii="Arial" w:cs="Arial" w:eastAsia="Arial" w:hAnsi="Arial"/>
          <w:sz w:val="18"/>
          <w:szCs w:val="18"/>
          <w:color w:val="auto"/>
        </w:rPr>
        <w:t>Reference is made to the Securities Exchange Agreement by and between LSB Industries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LSB Funding LLC, a Delaware limited liability company (“</w:t>
      </w:r>
      <w:r>
        <w:rPr>
          <w:rFonts w:ascii="Arial" w:cs="Arial" w:eastAsia="Arial" w:hAnsi="Arial"/>
          <w:sz w:val="18"/>
          <w:szCs w:val="18"/>
          <w:u w:val="single" w:color="auto"/>
          <w:color w:val="auto"/>
        </w:rPr>
        <w:t>LSB Funding</w:t>
      </w:r>
      <w:r>
        <w:rPr>
          <w:rFonts w:ascii="Arial" w:cs="Arial" w:eastAsia="Arial" w:hAnsi="Arial"/>
          <w:sz w:val="18"/>
          <w:szCs w:val="18"/>
          <w:color w:val="auto"/>
        </w:rPr>
        <w:t>”), dated as of July 19, 2021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otherwise defined herein shall have the meanings ascribed to them in the Agreement.</w:t>
      </w:r>
    </w:p>
    <w:p>
      <w:pPr>
        <w:spacing w:after="0" w:line="174" w:lineRule="exact"/>
        <w:rPr>
          <w:sz w:val="20"/>
          <w:szCs w:val="20"/>
          <w:color w:val="auto"/>
        </w:rPr>
      </w:pPr>
    </w:p>
    <w:p>
      <w:pPr>
        <w:jc w:val="both"/>
        <w:ind w:right="120" w:firstLine="747"/>
        <w:spacing w:after="0" w:line="260" w:lineRule="auto"/>
        <w:rPr>
          <w:sz w:val="20"/>
          <w:szCs w:val="20"/>
          <w:color w:val="auto"/>
        </w:rPr>
      </w:pPr>
      <w:r>
        <w:rPr>
          <w:rFonts w:ascii="Arial" w:cs="Arial" w:eastAsia="Arial" w:hAnsi="Arial"/>
          <w:sz w:val="20"/>
          <w:szCs w:val="20"/>
          <w:color w:val="auto"/>
        </w:rPr>
        <w:t xml:space="preserve">LSB Funding hereby provides its prior written consent pursuant to Section 4.12 of the Agreement to the actions and undertakings set forth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w:t>
      </w:r>
    </w:p>
    <w:p>
      <w:pPr>
        <w:spacing w:after="0" w:line="176" w:lineRule="exact"/>
        <w:rPr>
          <w:sz w:val="20"/>
          <w:szCs w:val="20"/>
          <w:color w:val="auto"/>
        </w:rPr>
      </w:pPr>
    </w:p>
    <w:p>
      <w:pPr>
        <w:jc w:val="both"/>
        <w:ind w:right="120" w:firstLine="747"/>
        <w:spacing w:after="0" w:line="243" w:lineRule="auto"/>
        <w:rPr>
          <w:sz w:val="20"/>
          <w:szCs w:val="20"/>
          <w:color w:val="auto"/>
        </w:rPr>
      </w:pPr>
      <w:r>
        <w:rPr>
          <w:rFonts w:ascii="Arial" w:cs="Arial" w:eastAsia="Arial" w:hAnsi="Arial"/>
          <w:sz w:val="20"/>
          <w:szCs w:val="20"/>
          <w:color w:val="auto"/>
        </w:rPr>
        <w:t xml:space="preserve">LSB Funding hereby consents to any and all actions required in connection with the preceding paragraph (including, for the avoidance of doubt, the actions and undertakings set forth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 which consent is provided for all purposes of Section 4.12 of the Agreement. For the avoidance of doubt, the Indebtedness consented to above (including, for the avoidance of doubt, the actions and undertakings set forth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 is in addition to (A) the</w:t>
      </w:r>
    </w:p>
    <w:p>
      <w:pPr>
        <w:spacing w:after="0" w:line="2" w:lineRule="exact"/>
        <w:rPr>
          <w:sz w:val="20"/>
          <w:szCs w:val="20"/>
          <w:color w:val="auto"/>
        </w:rPr>
      </w:pPr>
    </w:p>
    <w:p>
      <w:pPr>
        <w:jc w:val="both"/>
        <w:ind w:right="120"/>
        <w:spacing w:after="0" w:line="297" w:lineRule="auto"/>
        <w:rPr>
          <w:sz w:val="20"/>
          <w:szCs w:val="20"/>
          <w:color w:val="auto"/>
        </w:rPr>
      </w:pPr>
      <w:r>
        <w:rPr>
          <w:rFonts w:ascii="Arial" w:cs="Arial" w:eastAsia="Arial" w:hAnsi="Arial"/>
          <w:sz w:val="18"/>
          <w:szCs w:val="18"/>
          <w:color w:val="auto"/>
        </w:rPr>
        <w:t>$50,000,000 of Indebtedness that is specifically permitted to be incurred under Section 4.12.1 of the Agreement without the consent of LSB Funding and (B) the additional $500,000,000 of Indebtedness incurred with LSB Funding’s consent in October 2021.</w:t>
      </w:r>
    </w:p>
    <w:p>
      <w:pPr>
        <w:spacing w:after="0" w:line="159" w:lineRule="exact"/>
        <w:rPr>
          <w:sz w:val="20"/>
          <w:szCs w:val="20"/>
          <w:color w:val="auto"/>
        </w:rPr>
      </w:pPr>
    </w:p>
    <w:p>
      <w:pPr>
        <w:jc w:val="both"/>
        <w:ind w:right="120" w:firstLine="747"/>
        <w:spacing w:after="0" w:line="260" w:lineRule="auto"/>
        <w:rPr>
          <w:sz w:val="20"/>
          <w:szCs w:val="20"/>
          <w:color w:val="auto"/>
        </w:rPr>
      </w:pPr>
      <w:r>
        <w:rPr>
          <w:rFonts w:ascii="Arial" w:cs="Arial" w:eastAsia="Arial" w:hAnsi="Arial"/>
          <w:sz w:val="19"/>
          <w:szCs w:val="19"/>
          <w:color w:val="auto"/>
        </w:rPr>
        <w:t>This consent letter shall be governed by and construed in accordance with the internal laws of the State of Delaware without giving effect to any choice or conflict of laws provision or rule (whether of the State of Delaware or any other jurisdiction) that would cause the application of laws of any jurisdictions other than those of the State of Delaware. This consent letter shall not operate as a waiver of any right, power or remedy of LSB Funding under the Agreement or affect LSB Funding’s right to demand compliance with the terms and conditions of the Agreement, except as specifically consented to hereby.</w:t>
      </w:r>
    </w:p>
    <w:p>
      <w:pPr>
        <w:spacing w:after="0" w:line="19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348615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87" w:name="page88"/>
    <w:bookmarkEnd w:id="87"/>
    <w:p>
      <w:pPr>
        <w:ind w:left="4240"/>
        <w:spacing w:after="0"/>
        <w:rPr>
          <w:sz w:val="20"/>
          <w:szCs w:val="20"/>
          <w:color w:val="auto"/>
        </w:rPr>
      </w:pPr>
      <w:r>
        <w:rPr>
          <w:rFonts w:ascii="Arial" w:cs="Arial" w:eastAsia="Arial" w:hAnsi="Arial"/>
          <w:sz w:val="20"/>
          <w:szCs w:val="20"/>
          <w:color w:val="auto"/>
        </w:rPr>
        <w:t>Very truly yours, LSB FUNDING LLC</w:t>
      </w:r>
    </w:p>
    <w:p>
      <w:pPr>
        <w:spacing w:after="0" w:line="200" w:lineRule="exact"/>
        <w:rPr>
          <w:sz w:val="20"/>
          <w:szCs w:val="20"/>
          <w:color w:val="auto"/>
        </w:rPr>
      </w:pPr>
    </w:p>
    <w:p>
      <w:pPr>
        <w:spacing w:after="0" w:line="31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Todd L. Boehly</w:t>
      </w:r>
    </w:p>
    <w:p>
      <w:pPr>
        <w:ind w:left="4280"/>
        <w:spacing w:after="0" w:line="237" w:lineRule="auto"/>
        <w:rPr>
          <w:sz w:val="20"/>
          <w:szCs w:val="20"/>
          <w:color w:val="auto"/>
        </w:rPr>
      </w:pPr>
      <w:r>
        <w:rPr>
          <w:rFonts w:ascii="Arial" w:cs="Arial" w:eastAsia="Arial" w:hAnsi="Arial"/>
          <w:sz w:val="22"/>
          <w:szCs w:val="22"/>
          <w:color w:val="auto"/>
        </w:rPr>
        <w:t>Name: Todd L. Boehly</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334010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u w:val="single" w:color="auto"/>
          <w:color w:val="auto"/>
        </w:rPr>
        <w:t>Annex I</w:t>
      </w:r>
    </w:p>
    <w:p>
      <w:pPr>
        <w:spacing w:after="0" w:line="24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incurrence by the Company and its subsidiaries of up to $225,000,000 of Indebtedness in the form of secured notes (the “</w:t>
      </w:r>
      <w:r>
        <w:rPr>
          <w:rFonts w:ascii="Arial" w:cs="Arial" w:eastAsia="Arial" w:hAnsi="Arial"/>
          <w:sz w:val="18"/>
          <w:szCs w:val="18"/>
          <w:u w:val="single" w:color="auto"/>
          <w:color w:val="auto"/>
        </w:rPr>
        <w:t>New Notes</w:t>
      </w:r>
      <w:r>
        <w:rPr>
          <w:rFonts w:ascii="Arial" w:cs="Arial" w:eastAsia="Arial" w:hAnsi="Arial"/>
          <w:sz w:val="18"/>
          <w:szCs w:val="18"/>
          <w:color w:val="auto"/>
        </w:rPr>
        <w:t>”) having the same terms as the Company’s existing 6.250% Senior Secured Notes due 2028 (the “</w:t>
      </w:r>
      <w:r>
        <w:rPr>
          <w:rFonts w:ascii="Arial" w:cs="Arial" w:eastAsia="Arial" w:hAnsi="Arial"/>
          <w:sz w:val="18"/>
          <w:szCs w:val="18"/>
          <w:u w:val="single" w:color="auto"/>
          <w:color w:val="auto"/>
        </w:rPr>
        <w:t>Existing Notes</w:t>
      </w:r>
      <w:r>
        <w:rPr>
          <w:rFonts w:ascii="Arial" w:cs="Arial" w:eastAsia="Arial" w:hAnsi="Arial"/>
          <w:sz w:val="18"/>
          <w:szCs w:val="18"/>
          <w:color w:val="auto"/>
        </w:rPr>
        <w:t>”) (other than the date of issuance, the date from which interest accrues, and the public issue price which shall not be less than 99.5% of the principal amount thereof), including, for the avoidance of doubt, all guarantees thereof and encumbrances to secure the same by the Company and its subsidiaries, including the incurrence of guarantees thereon by the Company’s existing and future subsidiaries in accordance with the terms thereof and the pledging by the Company and its existing and future subsidiaries of their respective assets (whether now owned or hereafter acquired) to secure the New Notes on a ratable basis with the Existing Notes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180340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19" w:right="45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LSB INDUSTRIES,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SUBSIDIARY LISTING</w:t>
      </w:r>
    </w:p>
    <w:p>
      <w:pPr>
        <w:jc w:val="center"/>
        <w:spacing w:after="0"/>
        <w:rPr>
          <w:sz w:val="20"/>
          <w:szCs w:val="20"/>
          <w:color w:val="auto"/>
        </w:rPr>
      </w:pPr>
      <w:r>
        <w:rPr>
          <w:rFonts w:ascii="Arial" w:cs="Arial" w:eastAsia="Arial" w:hAnsi="Arial"/>
          <w:sz w:val="22"/>
          <w:szCs w:val="22"/>
          <w:b w:val="1"/>
          <w:bCs w:val="1"/>
          <w:color w:val="auto"/>
        </w:rPr>
        <w:t>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LSB INDUSTRIES, INC. (Direct subsidiaries in bold italics)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LSB Insurance L.L.C.</w:t>
      </w:r>
    </w:p>
    <w:p>
      <w:pPr>
        <w:ind w:left="760"/>
        <w:spacing w:after="0" w:line="237" w:lineRule="auto"/>
        <w:rPr>
          <w:sz w:val="20"/>
          <w:szCs w:val="20"/>
          <w:color w:val="auto"/>
        </w:rPr>
      </w:pPr>
      <w:r>
        <w:rPr>
          <w:rFonts w:ascii="Arial" w:cs="Arial" w:eastAsia="Arial" w:hAnsi="Arial"/>
          <w:sz w:val="22"/>
          <w:szCs w:val="22"/>
          <w:b w:val="1"/>
          <w:bCs w:val="1"/>
          <w:i w:val="1"/>
          <w:iCs w:val="1"/>
          <w:color w:val="auto"/>
        </w:rPr>
        <w:t>LSB Chemical L.L.C.</w:t>
      </w:r>
    </w:p>
    <w:p>
      <w:pPr>
        <w:ind w:left="1500"/>
        <w:spacing w:after="0" w:line="230" w:lineRule="auto"/>
        <w:rPr>
          <w:sz w:val="20"/>
          <w:szCs w:val="20"/>
          <w:color w:val="auto"/>
        </w:rPr>
      </w:pPr>
      <w:r>
        <w:rPr>
          <w:rFonts w:ascii="Arial" w:cs="Arial" w:eastAsia="Arial" w:hAnsi="Arial"/>
          <w:sz w:val="22"/>
          <w:szCs w:val="22"/>
          <w:color w:val="auto"/>
        </w:rPr>
        <w:t>Cherokee Nitrogen L.L.C.</w:t>
      </w:r>
    </w:p>
    <w:p>
      <w:pPr>
        <w:ind w:left="1500"/>
        <w:spacing w:after="0" w:line="231" w:lineRule="auto"/>
        <w:rPr>
          <w:sz w:val="20"/>
          <w:szCs w:val="20"/>
          <w:color w:val="auto"/>
        </w:rPr>
      </w:pPr>
      <w:r>
        <w:rPr>
          <w:rFonts w:ascii="Arial" w:cs="Arial" w:eastAsia="Arial" w:hAnsi="Arial"/>
          <w:sz w:val="22"/>
          <w:szCs w:val="22"/>
          <w:color w:val="auto"/>
        </w:rPr>
        <w:t>El Dorado Chemical Company</w:t>
      </w:r>
    </w:p>
    <w:p>
      <w:pPr>
        <w:ind w:left="2260"/>
        <w:spacing w:after="0" w:line="230" w:lineRule="auto"/>
        <w:rPr>
          <w:sz w:val="20"/>
          <w:szCs w:val="20"/>
          <w:color w:val="auto"/>
        </w:rPr>
      </w:pPr>
      <w:r>
        <w:rPr>
          <w:rFonts w:ascii="Arial" w:cs="Arial" w:eastAsia="Arial" w:hAnsi="Arial"/>
          <w:sz w:val="22"/>
          <w:szCs w:val="22"/>
          <w:color w:val="auto"/>
        </w:rPr>
        <w:t>EDC Ag Products Company L.L.C.</w:t>
      </w:r>
    </w:p>
    <w:p>
      <w:pPr>
        <w:ind w:left="2260"/>
        <w:spacing w:after="0" w:line="230" w:lineRule="auto"/>
        <w:rPr>
          <w:sz w:val="20"/>
          <w:szCs w:val="20"/>
          <w:color w:val="auto"/>
        </w:rPr>
      </w:pPr>
      <w:r>
        <w:rPr>
          <w:rFonts w:ascii="Arial" w:cs="Arial" w:eastAsia="Arial" w:hAnsi="Arial"/>
          <w:sz w:val="22"/>
          <w:szCs w:val="22"/>
          <w:color w:val="auto"/>
        </w:rPr>
        <w:t>Chemex I Corp.</w:t>
      </w:r>
    </w:p>
    <w:p>
      <w:pPr>
        <w:ind w:left="2260"/>
        <w:spacing w:after="0" w:line="230" w:lineRule="auto"/>
        <w:rPr>
          <w:sz w:val="20"/>
          <w:szCs w:val="20"/>
          <w:color w:val="auto"/>
        </w:rPr>
      </w:pPr>
      <w:r>
        <w:rPr>
          <w:rFonts w:ascii="Arial" w:cs="Arial" w:eastAsia="Arial" w:hAnsi="Arial"/>
          <w:sz w:val="22"/>
          <w:szCs w:val="22"/>
          <w:color w:val="auto"/>
        </w:rPr>
        <w:t>El Dorado Ammonia L.L.C.</w:t>
      </w:r>
    </w:p>
    <w:p>
      <w:pPr>
        <w:ind w:left="1500"/>
        <w:spacing w:after="0" w:line="231" w:lineRule="auto"/>
        <w:rPr>
          <w:sz w:val="20"/>
          <w:szCs w:val="20"/>
          <w:color w:val="auto"/>
        </w:rPr>
      </w:pPr>
      <w:r>
        <w:rPr>
          <w:rFonts w:ascii="Arial" w:cs="Arial" w:eastAsia="Arial" w:hAnsi="Arial"/>
          <w:sz w:val="22"/>
          <w:szCs w:val="22"/>
          <w:color w:val="auto"/>
        </w:rPr>
        <w:t>El Dorado Nitrogen L.L.C.</w:t>
      </w:r>
    </w:p>
    <w:p>
      <w:pPr>
        <w:ind w:left="1500"/>
        <w:spacing w:after="0" w:line="230" w:lineRule="auto"/>
        <w:rPr>
          <w:sz w:val="20"/>
          <w:szCs w:val="20"/>
          <w:color w:val="auto"/>
        </w:rPr>
      </w:pPr>
      <w:r>
        <w:rPr>
          <w:rFonts w:ascii="Arial" w:cs="Arial" w:eastAsia="Arial" w:hAnsi="Arial"/>
          <w:sz w:val="22"/>
          <w:szCs w:val="22"/>
          <w:color w:val="auto"/>
        </w:rPr>
        <w:t>Pryor Chemical Company</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TRISON Construction, Inc.</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All companies are Oklahoma entities, except LSB industries, Inc., which is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020" w:right="22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LSB Industries, Inc. 2008 Incentive Stock Plan or any combination of the foregoing;</w:t>
      </w:r>
    </w:p>
    <w:p>
      <w:pPr>
        <w:spacing w:after="0" w:line="169"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333-199864) pertaining to the LSB Industries, Inc. 2008 Incentive Stock Plan, as amended by the First Amendment;</w:t>
      </w:r>
    </w:p>
    <w:p>
      <w:pPr>
        <w:spacing w:after="0" w:line="169"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333-209838) pertaining to the LSB Industries, Inc. 2008 Incentive Plan, as amended;</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Registration Statement (Form S-8 No. 333-212281) pertaining to the LSB Industries, Inc. 2016 Long Term Incentive Plan, as amended;</w:t>
      </w:r>
    </w:p>
    <w:p>
      <w:pPr>
        <w:spacing w:after="0" w:line="236"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S-3 No. 333-228139) of LSB Industries, Inc.;</w:t>
      </w:r>
    </w:p>
    <w:p>
      <w:pPr>
        <w:spacing w:after="0" w:line="224" w:lineRule="exact"/>
        <w:rPr>
          <w:rFonts w:ascii="Arial" w:cs="Arial" w:eastAsia="Arial" w:hAnsi="Arial"/>
          <w:sz w:val="18"/>
          <w:szCs w:val="18"/>
          <w:color w:val="auto"/>
        </w:rPr>
      </w:pPr>
    </w:p>
    <w:p>
      <w:pPr>
        <w:ind w:left="1020" w:right="22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333-256573) pertaining to the LSB Industries, Inc. 2016 Long Term Incentive Plan, as amended and restated;</w:t>
      </w:r>
    </w:p>
    <w:p>
      <w:pPr>
        <w:spacing w:after="0" w:line="169"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S-3 No. 333-261131) of LSB Industries, Inc.;</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S-3 ASR No. 333-263882) of LSB Industries, Inc.;</w:t>
      </w:r>
    </w:p>
    <w:p>
      <w:pPr>
        <w:spacing w:after="0" w:line="224" w:lineRule="exact"/>
        <w:rPr>
          <w:rFonts w:ascii="Arial" w:cs="Arial" w:eastAsia="Arial" w:hAnsi="Arial"/>
          <w:sz w:val="18"/>
          <w:szCs w:val="18"/>
          <w:color w:val="auto"/>
        </w:rPr>
      </w:pPr>
    </w:p>
    <w:p>
      <w:pPr>
        <w:ind w:left="1020" w:right="220" w:hanging="504"/>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333-265926) pertaining to the LSB Industries, Inc. 2016 Long Term Incentive Plan, as amended and restated.</w:t>
      </w:r>
    </w:p>
    <w:p>
      <w:pPr>
        <w:spacing w:after="0" w:line="169"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of our reports dated February 23, 2023, with respect to the consolidated financial statements of LSB Industries, Inc. and the effectiveness of internal control over financial reporting of LSB Industries, Inc. included in this Annual Report (Form 10-K) of LSB Industries, Inc. for the year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6"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540" w:hanging="514"/>
        <w:spacing w:after="0" w:line="341" w:lineRule="auto"/>
        <w:tabs>
          <w:tab w:leader="none" w:pos="15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hanging="514"/>
        <w:spacing w:after="0" w:line="277"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Behrman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6"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540" w:hanging="514"/>
        <w:spacing w:after="0" w:line="341" w:lineRule="auto"/>
        <w:tabs>
          <w:tab w:leader="none" w:pos="15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hanging="514"/>
        <w:spacing w:after="0" w:line="277"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2022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5" w:lineRule="exact"/>
        <w:rPr>
          <w:sz w:val="20"/>
          <w:szCs w:val="20"/>
          <w:color w:val="auto"/>
        </w:rPr>
      </w:pPr>
    </w:p>
    <w:p>
      <w:pPr>
        <w:ind w:left="1020" w:hanging="50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7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2022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5" w:lineRule="exact"/>
        <w:rPr>
          <w:sz w:val="20"/>
          <w:szCs w:val="20"/>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7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upperLetter"/>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lvl w:ilvl="1">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upperLetter"/>
      <w:start w:val="68"/>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lvl w:ilvl="1">
      <w:lvlJc w:val="left"/>
      <w:lvlText w:val="%2"/>
      <w:numFmt w:val="decimal"/>
      <w:start w:val="104"/>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upperLetter"/>
      <w:start w:val="1"/>
    </w:lvl>
  </w:abstractNum>
  <w:abstractNum w:abstractNumId="30">
    <w:nsid w:val="5E884ADC"/>
    <w:multiLevelType w:val="hybridMultilevel"/>
    <w:lvl w:ilvl="0">
      <w:lvlJc w:val="left"/>
      <w:lvlText w:val="(%1)"/>
      <w:numFmt w:val="upperLetter"/>
      <w:start w:val="2"/>
    </w:lvl>
  </w:abstractNum>
  <w:abstractNum w:abstractNumId="31">
    <w:nsid w:val="51EAD36B"/>
    <w:multiLevelType w:val="hybridMultilevel"/>
    <w:lvl w:ilvl="0">
      <w:lvlJc w:val="left"/>
      <w:lvlText w:val="(%1)"/>
      <w:numFmt w:val="upperLetter"/>
      <w:start w:val="3"/>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upp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2"/>
    </w:lvl>
  </w:abstractNum>
  <w:abstractNum w:abstractNumId="39">
    <w:nsid w:val="1D4ED43B"/>
    <w:multiLevelType w:val="hybridMultilevel"/>
    <w:lvl w:ilvl="0">
      <w:lvlJc w:val="left"/>
      <w:lvlText w:val="(%1)"/>
      <w:numFmt w:val="upperLetter"/>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9"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png"/><Relationship Id="rId250" Type="http://schemas.openxmlformats.org/officeDocument/2006/relationships/image" Target="media/image187.png"/><Relationship Id="rId251" Type="http://schemas.openxmlformats.org/officeDocument/2006/relationships/image" Target="media/image188.png"/><Relationship Id="rId252" Type="http://schemas.openxmlformats.org/officeDocument/2006/relationships/image" Target="media/image189.png"/><Relationship Id="rId253" Type="http://schemas.openxmlformats.org/officeDocument/2006/relationships/image" Target="media/image190.png"/><Relationship Id="rId254" Type="http://schemas.openxmlformats.org/officeDocument/2006/relationships/image" Target="media/image191.png"/><Relationship Id="rId255" Type="http://schemas.openxmlformats.org/officeDocument/2006/relationships/image" Target="media/image192.png"/><Relationship Id="rId256" Type="http://schemas.openxmlformats.org/officeDocument/2006/relationships/image" Target="media/image193.png"/><Relationship Id="rId257" Type="http://schemas.openxmlformats.org/officeDocument/2006/relationships/image" Target="media/image194.png"/><Relationship Id="rId258" Type="http://schemas.openxmlformats.org/officeDocument/2006/relationships/image" Target="media/image195.png"/><Relationship Id="rId259" Type="http://schemas.openxmlformats.org/officeDocument/2006/relationships/image" Target="media/image196.png"/><Relationship Id="rId260" Type="http://schemas.openxmlformats.org/officeDocument/2006/relationships/image" Target="media/image197.png"/><Relationship Id="rId261" Type="http://schemas.openxmlformats.org/officeDocument/2006/relationships/image" Target="media/image198.png"/><Relationship Id="rId262" Type="http://schemas.openxmlformats.org/officeDocument/2006/relationships/image" Target="media/image199.png"/><Relationship Id="rId263" Type="http://schemas.openxmlformats.org/officeDocument/2006/relationships/image" Target="media/image200.png"/><Relationship Id="rId264" Type="http://schemas.openxmlformats.org/officeDocument/2006/relationships/image" Target="media/image201.png"/><Relationship Id="rId265" Type="http://schemas.openxmlformats.org/officeDocument/2006/relationships/image" Target="media/image202.png"/><Relationship Id="rId266" Type="http://schemas.openxmlformats.org/officeDocument/2006/relationships/image" Target="media/image203.png"/><Relationship Id="rId267" Type="http://schemas.openxmlformats.org/officeDocument/2006/relationships/image" Target="media/image204.png"/><Relationship Id="rId268" Type="http://schemas.openxmlformats.org/officeDocument/2006/relationships/image" Target="media/image205.png"/><Relationship Id="rId269" Type="http://schemas.openxmlformats.org/officeDocument/2006/relationships/image" Target="media/image206.png"/><Relationship Id="rId270" Type="http://schemas.openxmlformats.org/officeDocument/2006/relationships/image" Target="media/image207.png"/><Relationship Id="rId271" Type="http://schemas.openxmlformats.org/officeDocument/2006/relationships/image" Target="media/image208.png"/><Relationship Id="rId272" Type="http://schemas.openxmlformats.org/officeDocument/2006/relationships/image" Target="media/image209.png"/><Relationship Id="rId273" Type="http://schemas.openxmlformats.org/officeDocument/2006/relationships/image" Target="media/image210.png"/><Relationship Id="rId274" Type="http://schemas.openxmlformats.org/officeDocument/2006/relationships/image" Target="media/image211.png"/><Relationship Id="rId275" Type="http://schemas.openxmlformats.org/officeDocument/2006/relationships/image" Target="media/image212.png"/><Relationship Id="rId276" Type="http://schemas.openxmlformats.org/officeDocument/2006/relationships/image" Target="media/image213.png"/><Relationship Id="rId277" Type="http://schemas.openxmlformats.org/officeDocument/2006/relationships/image" Target="media/image214.png"/><Relationship Id="rId278" Type="http://schemas.openxmlformats.org/officeDocument/2006/relationships/image" Target="media/image215.png"/><Relationship Id="rId279" Type="http://schemas.openxmlformats.org/officeDocument/2006/relationships/image" Target="media/image216.png"/><Relationship Id="rId280" Type="http://schemas.openxmlformats.org/officeDocument/2006/relationships/image" Target="media/image217.png"/><Relationship Id="rId281" Type="http://schemas.openxmlformats.org/officeDocument/2006/relationships/image" Target="media/image218.png"/><Relationship Id="rId282" Type="http://schemas.openxmlformats.org/officeDocument/2006/relationships/image" Target="media/image219.png"/><Relationship Id="rId283" Type="http://schemas.openxmlformats.org/officeDocument/2006/relationships/image" Target="media/image220.png"/><Relationship Id="rId284" Type="http://schemas.openxmlformats.org/officeDocument/2006/relationships/image" Target="media/image221.png"/><Relationship Id="rId285" Type="http://schemas.openxmlformats.org/officeDocument/2006/relationships/image" Target="media/image222.png"/><Relationship Id="rId286" Type="http://schemas.openxmlformats.org/officeDocument/2006/relationships/image" Target="media/image223.png"/><Relationship Id="rId287" Type="http://schemas.openxmlformats.org/officeDocument/2006/relationships/image" Target="media/image224.png"/><Relationship Id="rId288" Type="http://schemas.openxmlformats.org/officeDocument/2006/relationships/image" Target="media/image225.png"/><Relationship Id="rId289" Type="http://schemas.openxmlformats.org/officeDocument/2006/relationships/image" Target="media/image226.png"/><Relationship Id="rId290" Type="http://schemas.openxmlformats.org/officeDocument/2006/relationships/image" Target="media/image227.png"/><Relationship Id="rId291" Type="http://schemas.openxmlformats.org/officeDocument/2006/relationships/image" Target="media/image228.png"/><Relationship Id="rId292" Type="http://schemas.openxmlformats.org/officeDocument/2006/relationships/image" Target="media/image229.png"/><Relationship Id="rId293" Type="http://schemas.openxmlformats.org/officeDocument/2006/relationships/image" Target="media/image230.png"/><Relationship Id="rId294" Type="http://schemas.openxmlformats.org/officeDocument/2006/relationships/image" Target="media/image231.png"/><Relationship Id="rId295" Type="http://schemas.openxmlformats.org/officeDocument/2006/relationships/image" Target="media/image232.png"/><Relationship Id="rId296" Type="http://schemas.openxmlformats.org/officeDocument/2006/relationships/image" Target="media/image233.png"/><Relationship Id="rId297" Type="http://schemas.openxmlformats.org/officeDocument/2006/relationships/image" Target="media/image234.png"/><Relationship Id="rId298" Type="http://schemas.openxmlformats.org/officeDocument/2006/relationships/image" Target="media/image235.png"/><Relationship Id="rId299" Type="http://schemas.openxmlformats.org/officeDocument/2006/relationships/image" Target="media/image236.png"/><Relationship Id="rId300" Type="http://schemas.openxmlformats.org/officeDocument/2006/relationships/image" Target="media/image237.png"/><Relationship Id="rId301" Type="http://schemas.openxmlformats.org/officeDocument/2006/relationships/image" Target="media/image238.png"/><Relationship Id="rId302" Type="http://schemas.openxmlformats.org/officeDocument/2006/relationships/image" Target="media/image239.png"/><Relationship Id="rId303" Type="http://schemas.openxmlformats.org/officeDocument/2006/relationships/image" Target="media/image240.png"/><Relationship Id="rId304" Type="http://schemas.openxmlformats.org/officeDocument/2006/relationships/image" Target="media/image241.png"/><Relationship Id="rId305" Type="http://schemas.openxmlformats.org/officeDocument/2006/relationships/image" Target="media/image242.png"/><Relationship Id="rId306" Type="http://schemas.openxmlformats.org/officeDocument/2006/relationships/image" Target="media/image243.png"/><Relationship Id="rId307" Type="http://schemas.openxmlformats.org/officeDocument/2006/relationships/image" Target="media/image244.png"/><Relationship Id="rId308" Type="http://schemas.openxmlformats.org/officeDocument/2006/relationships/image" Target="media/image245.png"/><Relationship Id="rId309" Type="http://schemas.openxmlformats.org/officeDocument/2006/relationships/image" Target="media/image246.png"/><Relationship Id="rId310" Type="http://schemas.openxmlformats.org/officeDocument/2006/relationships/image" Target="media/image247.png"/><Relationship Id="rId311" Type="http://schemas.openxmlformats.org/officeDocument/2006/relationships/image" Target="media/image248.png"/><Relationship Id="rId312" Type="http://schemas.openxmlformats.org/officeDocument/2006/relationships/image" Target="media/image249.png"/><Relationship Id="rId313" Type="http://schemas.openxmlformats.org/officeDocument/2006/relationships/image" Target="media/image250.png"/><Relationship Id="rId314" Type="http://schemas.openxmlformats.org/officeDocument/2006/relationships/image" Target="media/image251.png"/><Relationship Id="rId315" Type="http://schemas.openxmlformats.org/officeDocument/2006/relationships/image" Target="media/image252.png"/><Relationship Id="rId316" Type="http://schemas.openxmlformats.org/officeDocument/2006/relationships/image" Target="media/image253.png"/><Relationship Id="rId317" Type="http://schemas.openxmlformats.org/officeDocument/2006/relationships/image" Target="media/image254.png"/><Relationship Id="rId318" Type="http://schemas.openxmlformats.org/officeDocument/2006/relationships/image" Target="media/image255.png"/><Relationship Id="rId319" Type="http://schemas.openxmlformats.org/officeDocument/2006/relationships/image" Target="media/image256.png"/><Relationship Id="rId320" Type="http://schemas.openxmlformats.org/officeDocument/2006/relationships/image" Target="media/image257.png"/><Relationship Id="rId321" Type="http://schemas.openxmlformats.org/officeDocument/2006/relationships/image" Target="media/image258.png"/><Relationship Id="rId322" Type="http://schemas.openxmlformats.org/officeDocument/2006/relationships/image" Target="media/image259.png"/><Relationship Id="rId323" Type="http://schemas.openxmlformats.org/officeDocument/2006/relationships/image" Target="media/image260.png"/><Relationship Id="rId324" Type="http://schemas.openxmlformats.org/officeDocument/2006/relationships/image" Target="media/image261.png"/><Relationship Id="rId325" Type="http://schemas.openxmlformats.org/officeDocument/2006/relationships/image" Target="media/image262.png"/><Relationship Id="rId326" Type="http://schemas.openxmlformats.org/officeDocument/2006/relationships/image" Target="media/image263.png"/><Relationship Id="rId327" Type="http://schemas.openxmlformats.org/officeDocument/2006/relationships/image" Target="media/image264.png"/><Relationship Id="rId328" Type="http://schemas.openxmlformats.org/officeDocument/2006/relationships/image" Target="media/image265.png"/><Relationship Id="rId329" Type="http://schemas.openxmlformats.org/officeDocument/2006/relationships/image" Target="media/image266.png"/><Relationship Id="rId330" Type="http://schemas.openxmlformats.org/officeDocument/2006/relationships/image" Target="media/image267.png"/><Relationship Id="rId331" Type="http://schemas.openxmlformats.org/officeDocument/2006/relationships/image" Target="media/image268.png"/><Relationship Id="rId332" Type="http://schemas.openxmlformats.org/officeDocument/2006/relationships/image" Target="media/image269.png"/><Relationship Id="rId333" Type="http://schemas.openxmlformats.org/officeDocument/2006/relationships/image" Target="media/image270.png"/><Relationship Id="rId334" Type="http://schemas.openxmlformats.org/officeDocument/2006/relationships/image" Target="media/image271.png"/><Relationship Id="rId335" Type="http://schemas.openxmlformats.org/officeDocument/2006/relationships/image" Target="media/image272.png"/><Relationship Id="rId336" Type="http://schemas.openxmlformats.org/officeDocument/2006/relationships/image" Target="media/image273.png"/><Relationship Id="rId337" Type="http://schemas.openxmlformats.org/officeDocument/2006/relationships/image" Target="media/image274.png"/><Relationship Id="rId338" Type="http://schemas.openxmlformats.org/officeDocument/2006/relationships/image" Target="media/image275.png"/><Relationship Id="rId339" Type="http://schemas.openxmlformats.org/officeDocument/2006/relationships/image" Target="media/image276.png"/><Relationship Id="rId340" Type="http://schemas.openxmlformats.org/officeDocument/2006/relationships/image" Target="media/image277.png"/><Relationship Id="rId341" Type="http://schemas.openxmlformats.org/officeDocument/2006/relationships/image" Target="media/image278.png"/><Relationship Id="rId342" Type="http://schemas.openxmlformats.org/officeDocument/2006/relationships/image" Target="media/image279.png"/><Relationship Id="rId343" Type="http://schemas.openxmlformats.org/officeDocument/2006/relationships/image" Target="media/image280.png"/><Relationship Id="rId344" Type="http://schemas.openxmlformats.org/officeDocument/2006/relationships/image" Target="media/image281.png"/><Relationship Id="rId345" Type="http://schemas.openxmlformats.org/officeDocument/2006/relationships/image" Target="media/image282.png"/><Relationship Id="rId346" Type="http://schemas.openxmlformats.org/officeDocument/2006/relationships/image" Target="media/image283.png"/><Relationship Id="rId347" Type="http://schemas.openxmlformats.org/officeDocument/2006/relationships/image" Target="media/image284.png"/><Relationship Id="rId348" Type="http://schemas.openxmlformats.org/officeDocument/2006/relationships/image" Target="media/image285.png"/><Relationship Id="rId349" Type="http://schemas.openxmlformats.org/officeDocument/2006/relationships/image" Target="media/image286.png"/><Relationship Id="rId350" Type="http://schemas.openxmlformats.org/officeDocument/2006/relationships/image" Target="media/image287.png"/><Relationship Id="rId351" Type="http://schemas.openxmlformats.org/officeDocument/2006/relationships/image" Target="media/image288.png"/><Relationship Id="rId352" Type="http://schemas.openxmlformats.org/officeDocument/2006/relationships/image" Target="media/image289.png"/><Relationship Id="rId353" Type="http://schemas.openxmlformats.org/officeDocument/2006/relationships/image" Target="media/image290.png"/><Relationship Id="rId354" Type="http://schemas.openxmlformats.org/officeDocument/2006/relationships/image" Target="media/image291.png"/><Relationship Id="rId355" Type="http://schemas.openxmlformats.org/officeDocument/2006/relationships/image" Target="media/image292.png"/><Relationship Id="rId356" Type="http://schemas.openxmlformats.org/officeDocument/2006/relationships/image" Target="media/image293.png"/><Relationship Id="rId357" Type="http://schemas.openxmlformats.org/officeDocument/2006/relationships/image" Target="media/image294.png"/><Relationship Id="rId358" Type="http://schemas.openxmlformats.org/officeDocument/2006/relationships/image" Target="media/image295.png"/><Relationship Id="rId359" Type="http://schemas.openxmlformats.org/officeDocument/2006/relationships/image" Target="media/image296.png"/><Relationship Id="rId360" Type="http://schemas.openxmlformats.org/officeDocument/2006/relationships/image" Target="media/image297.png"/><Relationship Id="rId361" Type="http://schemas.openxmlformats.org/officeDocument/2006/relationships/image" Target="media/image298.png"/><Relationship Id="rId362" Type="http://schemas.openxmlformats.org/officeDocument/2006/relationships/image" Target="media/image299.png"/><Relationship Id="rId363" Type="http://schemas.openxmlformats.org/officeDocument/2006/relationships/image" Target="media/image300.png"/><Relationship Id="rId364" Type="http://schemas.openxmlformats.org/officeDocument/2006/relationships/image" Target="media/image301.png"/><Relationship Id="rId365" Type="http://schemas.openxmlformats.org/officeDocument/2006/relationships/image" Target="media/image302.png"/><Relationship Id="rId366" Type="http://schemas.openxmlformats.org/officeDocument/2006/relationships/image" Target="media/image303.png"/><Relationship Id="rId367" Type="http://schemas.openxmlformats.org/officeDocument/2006/relationships/image" Target="media/image304.png"/><Relationship Id="rId368" Type="http://schemas.openxmlformats.org/officeDocument/2006/relationships/image" Target="media/image305.png"/><Relationship Id="rId369" Type="http://schemas.openxmlformats.org/officeDocument/2006/relationships/image" Target="media/image306.png"/><Relationship Id="rId370" Type="http://schemas.openxmlformats.org/officeDocument/2006/relationships/image" Target="media/image307.png"/><Relationship Id="rId371" Type="http://schemas.openxmlformats.org/officeDocument/2006/relationships/image" Target="media/image308.png"/><Relationship Id="rId372" Type="http://schemas.openxmlformats.org/officeDocument/2006/relationships/image" Target="media/image309.png"/><Relationship Id="rId373" Type="http://schemas.openxmlformats.org/officeDocument/2006/relationships/image" Target="media/image310.png"/><Relationship Id="rId374" Type="http://schemas.openxmlformats.org/officeDocument/2006/relationships/image" Target="media/image311.png"/><Relationship Id="rId375" Type="http://schemas.openxmlformats.org/officeDocument/2006/relationships/image" Target="media/image312.png"/><Relationship Id="rId376" Type="http://schemas.openxmlformats.org/officeDocument/2006/relationships/image" Target="media/image313.png"/><Relationship Id="rId377" Type="http://schemas.openxmlformats.org/officeDocument/2006/relationships/image" Target="media/image314.png"/><Relationship Id="rId378" Type="http://schemas.openxmlformats.org/officeDocument/2006/relationships/image" Target="media/image315.png"/><Relationship Id="rId379" Type="http://schemas.openxmlformats.org/officeDocument/2006/relationships/image" Target="media/image316.png"/><Relationship Id="rId380" Type="http://schemas.openxmlformats.org/officeDocument/2006/relationships/image" Target="media/image317.png"/><Relationship Id="rId381" Type="http://schemas.openxmlformats.org/officeDocument/2006/relationships/image" Target="media/image318.png"/><Relationship Id="rId382" Type="http://schemas.openxmlformats.org/officeDocument/2006/relationships/image" Target="media/image319.png"/><Relationship Id="rId383" Type="http://schemas.openxmlformats.org/officeDocument/2006/relationships/image" Target="media/image320.png"/><Relationship Id="rId384" Type="http://schemas.openxmlformats.org/officeDocument/2006/relationships/image" Target="media/image321.png"/><Relationship Id="rId385" Type="http://schemas.openxmlformats.org/officeDocument/2006/relationships/image" Target="media/image322.png"/><Relationship Id="rId386" Type="http://schemas.openxmlformats.org/officeDocument/2006/relationships/image" Target="media/image323.png"/><Relationship Id="rId387" Type="http://schemas.openxmlformats.org/officeDocument/2006/relationships/image" Target="media/image324.png"/><Relationship Id="rId388" Type="http://schemas.openxmlformats.org/officeDocument/2006/relationships/image" Target="media/image325.png"/><Relationship Id="rId389" Type="http://schemas.openxmlformats.org/officeDocument/2006/relationships/image" Target="media/image326.png"/><Relationship Id="rId390" Type="http://schemas.openxmlformats.org/officeDocument/2006/relationships/image" Target="media/image327.png"/><Relationship Id="rId391" Type="http://schemas.openxmlformats.org/officeDocument/2006/relationships/image" Target="media/image328.png"/><Relationship Id="rId392" Type="http://schemas.openxmlformats.org/officeDocument/2006/relationships/image" Target="media/image329.png"/><Relationship Id="rId393" Type="http://schemas.openxmlformats.org/officeDocument/2006/relationships/image" Target="media/image330.png"/><Relationship Id="rId394" Type="http://schemas.openxmlformats.org/officeDocument/2006/relationships/image" Target="media/image331.png"/><Relationship Id="rId395" Type="http://schemas.openxmlformats.org/officeDocument/2006/relationships/image" Target="media/image332.png"/><Relationship Id="rId396" Type="http://schemas.openxmlformats.org/officeDocument/2006/relationships/image" Target="media/image333.png"/><Relationship Id="rId397" Type="http://schemas.openxmlformats.org/officeDocument/2006/relationships/image" Target="media/image334.png"/><Relationship Id="rId398" Type="http://schemas.openxmlformats.org/officeDocument/2006/relationships/image" Target="media/image335.png"/><Relationship Id="rId399" Type="http://schemas.openxmlformats.org/officeDocument/2006/relationships/image" Target="media/image336.png"/><Relationship Id="rId400" Type="http://schemas.openxmlformats.org/officeDocument/2006/relationships/image" Target="media/image337.png"/><Relationship Id="rId401" Type="http://schemas.openxmlformats.org/officeDocument/2006/relationships/image" Target="media/image338.png"/><Relationship Id="rId402" Type="http://schemas.openxmlformats.org/officeDocument/2006/relationships/image" Target="media/image339.png"/><Relationship Id="rId403" Type="http://schemas.openxmlformats.org/officeDocument/2006/relationships/image" Target="media/image340.png"/><Relationship Id="rId404" Type="http://schemas.openxmlformats.org/officeDocument/2006/relationships/image" Target="media/image341.png"/><Relationship Id="rId405" Type="http://schemas.openxmlformats.org/officeDocument/2006/relationships/image" Target="media/image342.png"/><Relationship Id="rId65" Type="http://schemas.openxmlformats.org/officeDocument/2006/relationships/hyperlink" Target="https://www.sec.gov/ix?doc=/Archives/edgar/data/60714/000119312522084680/d294601d10ka.htm" TargetMode="External"/><Relationship Id="rId142" Type="http://schemas.openxmlformats.org/officeDocument/2006/relationships/hyperlink" Target="https://www.sec.gov/Archives/edgar/data/60714/000119312513084410/d447083dex3i1.htm" TargetMode="External"/><Relationship Id="rId143" Type="http://schemas.openxmlformats.org/officeDocument/2006/relationships/hyperlink" Target="https://www.sec.gov/Archives/edgar/data/0000060714/000119312521331386/d173096dex3i2.htm" TargetMode="External"/><Relationship Id="rId144" Type="http://schemas.openxmlformats.org/officeDocument/2006/relationships/hyperlink" Target="https://www.sec.gov/Archives/edgar/data/60714/000119312521219140/d189542dex31.htm" TargetMode="External"/><Relationship Id="rId145" Type="http://schemas.openxmlformats.org/officeDocument/2006/relationships/hyperlink" Target="https://www.sec.gov/Archives/edgar/data/60714/000119312512474073/d440760dex43.htm" TargetMode="External"/><Relationship Id="rId146" Type="http://schemas.openxmlformats.org/officeDocument/2006/relationships/hyperlink" Target="https://www.sec.gov/Archives/edgar/data/60714/000156459020031834/lxu-ex41_7.htm" TargetMode="External"/><Relationship Id="rId147" Type="http://schemas.openxmlformats.org/officeDocument/2006/relationships/hyperlink" Target="https://www.sec.gov/Archives/edgar/data/60714/000119312513332936/d583332dex991.htm" TargetMode="External"/><Relationship Id="rId148" Type="http://schemas.openxmlformats.org/officeDocument/2006/relationships/hyperlink" Target="https://www.sec.gov/Archives/edgar/data/60714/000119312521298982/d239869dex41.htm" TargetMode="External"/><Relationship Id="rId150" Type="http://schemas.openxmlformats.org/officeDocument/2006/relationships/hyperlink" Target="https://www.sec.gov/Archives/edgar/data/60714/000156459022006694/lxu-ex417_382.htm" TargetMode="External"/><Relationship Id="rId151" Type="http://schemas.openxmlformats.org/officeDocument/2006/relationships/hyperlink" Target="https://www.sec.gov/Archives/edgar/data/60714/000119312516634750/d218339dex48.htm" TargetMode="External"/><Relationship Id="rId152" Type="http://schemas.openxmlformats.org/officeDocument/2006/relationships/hyperlink" Target="https://www.sec.gov/Archives/edgar/data/60714/000119312516634750/d218339dex49.htm" TargetMode="External"/><Relationship Id="rId153" Type="http://schemas.openxmlformats.org/officeDocument/2006/relationships/hyperlink" Target="https://www.sec.gov/Archives/edgar/data/60714/000119312516634750/d218339dex410.htm" TargetMode="External"/><Relationship Id="rId154" Type="http://schemas.openxmlformats.org/officeDocument/2006/relationships/hyperlink" Target="https://www.sec.gov/Archives/edgar/data/60714/000119312516634750/d218339dex411.htm" TargetMode="External"/><Relationship Id="rId155" Type="http://schemas.openxmlformats.org/officeDocument/2006/relationships/hyperlink" Target="https://www.sec.gov/Archives/edgar/data/60714/000119312519000948/d684802dex104.htm" TargetMode="External"/><Relationship Id="rId156" Type="http://schemas.openxmlformats.org/officeDocument/2006/relationships/hyperlink" Target="https://www.sec.gov/Archives/edgar/data/60714/000119312519000948/d684802dex105.htm" TargetMode="External"/><Relationship Id="rId157" Type="http://schemas.openxmlformats.org/officeDocument/2006/relationships/hyperlink" Target="https://www.sec.gov/Archives/edgar/data/60714/000119312519000948/d684802dex101.htm" TargetMode="External"/><Relationship Id="rId158" Type="http://schemas.openxmlformats.org/officeDocument/2006/relationships/hyperlink" Target="https://www.sec.gov/Archives/edgar/data/60714/000119312519000948/d684802dex103.htm" TargetMode="External"/><Relationship Id="rId159" Type="http://schemas.openxmlformats.org/officeDocument/2006/relationships/hyperlink" Target="https://www.sec.gov/Archives/edgar/data/60714/000119312519000948/d684802dex102.htm" TargetMode="External"/><Relationship Id="rId160" Type="http://schemas.openxmlformats.org/officeDocument/2006/relationships/hyperlink" Target="https://www.sec.gov/Archives/edgar/data/60714/000156459020006380/lxu-ex1030_263.htm" TargetMode="External"/><Relationship Id="rId161" Type="http://schemas.openxmlformats.org/officeDocument/2006/relationships/hyperlink" Target="https://www.sec.gov/Archives/edgar/data/60714/000156459020022839/lxu-ex101_172.htm" TargetMode="External"/><Relationship Id="rId162" Type="http://schemas.openxmlformats.org/officeDocument/2006/relationships/hyperlink" Target="https://www.sec.gov/Archives/edgar/data/60714/000119312515346822/d84269dex101.htm" TargetMode="External"/><Relationship Id="rId166" Type="http://schemas.openxmlformats.org/officeDocument/2006/relationships/hyperlink" Target="https://www.sec.gov/Archives/edgar/data/60714/000119312515346822/d84269dex102.htm" TargetMode="External"/><Relationship Id="rId167" Type="http://schemas.openxmlformats.org/officeDocument/2006/relationships/hyperlink" Target="https://www.sec.gov/Archives/edgar/data/60714/000119312515397856/d22963dex105.htm" TargetMode="External"/><Relationship Id="rId168" Type="http://schemas.openxmlformats.org/officeDocument/2006/relationships/hyperlink" Target="https://www.sec.gov/Archives/edgar/data/60714/000006071402000055/lsb8kex21.htm" TargetMode="External"/><Relationship Id="rId169" Type="http://schemas.openxmlformats.org/officeDocument/2006/relationships/hyperlink" Target="https://www.sec.gov/Archives/edgar/data/60714/000006071410000017/ex_101b.htm" TargetMode="External"/><Relationship Id="rId170" Type="http://schemas.openxmlformats.org/officeDocument/2006/relationships/hyperlink" Target="https://www.sec.gov/Archives/edgar/data/60714/000156459016013735/lxu-ex1049_2728.htm" TargetMode="External"/><Relationship Id="rId171" Type="http://schemas.openxmlformats.org/officeDocument/2006/relationships/hyperlink" Target="https://www.sec.gov/Archives/edgar/data/60714/000156459019038411/lxu-ex101_97.htm" TargetMode="External"/><Relationship Id="rId172" Type="http://schemas.openxmlformats.org/officeDocument/2006/relationships/hyperlink" Target="https://www.sec.gov/Archives/edgar/data/60714/000119312516589507/d158530dex101.htm" TargetMode="External"/><Relationship Id="rId173" Type="http://schemas.openxmlformats.org/officeDocument/2006/relationships/hyperlink" Target="https://www.sec.gov/Archives/edgar/data/60714/000119312512493957/d450320dex992.htm" TargetMode="External"/><Relationship Id="rId174" Type="http://schemas.openxmlformats.org/officeDocument/2006/relationships/hyperlink" Target="https://www.sec.gov/Archives/edgar/data/60714/000119312513336457/d584968dex101.htm" TargetMode="External"/><Relationship Id="rId177" Type="http://schemas.openxmlformats.org/officeDocument/2006/relationships/hyperlink" Target="https://www.sec.gov/Archives/edgar/data/60714/000119312513437582/d624909dex991.htm" TargetMode="External"/><Relationship Id="rId178" Type="http://schemas.openxmlformats.org/officeDocument/2006/relationships/hyperlink" Target="https://www.sec.gov/Archives/edgar/data/60714/000119312513437582/d624909dex992.htm" TargetMode="External"/><Relationship Id="rId179" Type="http://schemas.openxmlformats.org/officeDocument/2006/relationships/hyperlink" Target="https://www.sec.gov/Archives/edgar/data/60714/000119312514003788/d654209dex991.htm" TargetMode="External"/><Relationship Id="rId180" Type="http://schemas.openxmlformats.org/officeDocument/2006/relationships/hyperlink" Target="https://www.sec.gov/Archives/edgar/data/60714/000119312515352882/d70894dex101.htm" TargetMode="External"/><Relationship Id="rId181" Type="http://schemas.openxmlformats.org/officeDocument/2006/relationships/hyperlink" Target="https://www.sec.gov/Archives/edgar/data/60714/000119312515161375/d918969dex991.htm" TargetMode="External"/><Relationship Id="rId182" Type="http://schemas.openxmlformats.org/officeDocument/2006/relationships/hyperlink" Target="https://www.sec.gov/Archives/edgar/data/60714/000119312514223976/d737274dex991.htm" TargetMode="External"/><Relationship Id="rId183" Type="http://schemas.openxmlformats.org/officeDocument/2006/relationships/hyperlink" Target="https://www.sec.gov/Archives/edgar/data/60714/000119312517014226/d331616dex101.htm" TargetMode="External"/><Relationship Id="rId184" Type="http://schemas.openxmlformats.org/officeDocument/2006/relationships/hyperlink" Target="https://www.sec.gov/Archives/edgar/data/60714/000119312518123715/d572977dex101.htm" TargetMode="External"/><Relationship Id="rId185" Type="http://schemas.openxmlformats.org/officeDocument/2006/relationships/hyperlink" Target="https://www.sec.gov/Archives/edgar/data/60714/000089914019000267/l28210130b.htm" TargetMode="External"/><Relationship Id="rId186" Type="http://schemas.openxmlformats.org/officeDocument/2006/relationships/hyperlink" Target="https://www.sec.gov/Archives/edgar/data/60714/000156459020022839/lxu-ex103_337.htm" TargetMode="External"/><Relationship Id="rId187" Type="http://schemas.openxmlformats.org/officeDocument/2006/relationships/hyperlink" Target="https://www.sec.gov/Archives/edgar/data/0000060714/000119312521282985/d144351dex101.htm" TargetMode="External"/><Relationship Id="rId188" Type="http://schemas.openxmlformats.org/officeDocument/2006/relationships/hyperlink" Target="https://www.sec.gov/Archives/edgar/data/60714/000119312522063670/d306348dex101.htm" TargetMode="External"/><Relationship Id="rId191" Type="http://schemas.openxmlformats.org/officeDocument/2006/relationships/hyperlink" Target="https://www.sec.gov/Archives/edgar/data/60714/000119312515377933/d95941dex104.htm" TargetMode="External"/><Relationship Id="rId192" Type="http://schemas.openxmlformats.org/officeDocument/2006/relationships/hyperlink" Target="https://www.sec.gov/Archives/edgar/data/60714/000119312518131457/d576542dex101.htm" TargetMode="External"/><Relationship Id="rId193" Type="http://schemas.openxmlformats.org/officeDocument/2006/relationships/hyperlink" Target="https://www.sec.gov/Archives/edgar/data/60714/000119312515377933/d95941dex105.htm" TargetMode="External"/><Relationship Id="rId194" Type="http://schemas.openxmlformats.org/officeDocument/2006/relationships/hyperlink" Target="https://www.sec.gov/Archives/edgar/data/60714/000119312515397856/d22963dex103.htm" TargetMode="External"/><Relationship Id="rId195" Type="http://schemas.openxmlformats.org/officeDocument/2006/relationships/hyperlink" Target="https://www.sec.gov/Archives/edgar/data/60714/000119312515397856/d22963dex104.htm" TargetMode="External"/><Relationship Id="rId196" Type="http://schemas.openxmlformats.org/officeDocument/2006/relationships/hyperlink" Target="https://www.sec.gov/Archives/edgar/data/60714/000119312516680812/d242514dex101.htm" TargetMode="External"/><Relationship Id="rId197" Type="http://schemas.openxmlformats.org/officeDocument/2006/relationships/hyperlink" Target="https://www.sec.gov/Archives/edgar/data/60714/000119312517220264/d421413dex101.htm" TargetMode="External"/><Relationship Id="rId198" Type="http://schemas.openxmlformats.org/officeDocument/2006/relationships/hyperlink" Target="https://www.sec.gov/Archives/edgar/data/60714/000119312517325152/d458883dex101.htm" TargetMode="External"/><Relationship Id="rId199" Type="http://schemas.openxmlformats.org/officeDocument/2006/relationships/hyperlink" Target="https://www.sec.gov/Archives/edgar/data/60714/000119312518303142/d635267dex102.htm" TargetMode="External"/><Relationship Id="rId202" Type="http://schemas.openxmlformats.org/officeDocument/2006/relationships/hyperlink" Target="https://www.sec.gov/Archives/edgar/data/60714/000119312521286899/d218002dex101.htm" TargetMode="External"/><Relationship Id="rId203" Type="http://schemas.openxmlformats.org/officeDocument/2006/relationships/hyperlink" Target="https://www.sec.gov/Archives/edgar/data/60714/000119312521219140/d189542dex101.htm" TargetMode="External"/><Relationship Id="rId204" Type="http://schemas.openxmlformats.org/officeDocument/2006/relationships/hyperlink" Target="https://www.sec.gov/Archives/edgar/data/60714/000119312521298982/d239869dex101.htm" TargetMode="External"/><Relationship Id="rId205" Type="http://schemas.openxmlformats.org/officeDocument/2006/relationships/hyperlink" Target="https://www.sec.gov/Archives/edgar/data/60714/000119312522221198/d15256dex101.htm" TargetMode="External"/><Relationship Id="rId206" Type="http://schemas.openxmlformats.org/officeDocument/2006/relationships/hyperlink" Target="https://www.sec.gov/Archives/edgar/data/60714/000119312522221198/d1525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2023-02-23T15:40:18Z</dcterms:created>
  <dcterms:modified xsi:type="dcterms:W3CDTF">2023-02-23T15:40:18Z</dcterms:modified>
</cp:coreProperties>
</file>