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r>
      <w:tr>
        <w:trPr>
          <w:trHeight w:val="412"/>
        </w:trPr>
        <w:tc>
          <w:tcPr>
            <w:tcW w:w="4360" w:type="dxa"/>
            <w:vAlign w:val="bottom"/>
            <w:gridSpan w:val="6"/>
          </w:tcPr>
          <w:p>
            <w:pPr>
              <w:ind w:left="960"/>
              <w:spacing w:after="0"/>
              <w:rPr>
                <w:sz w:val="20"/>
                <w:szCs w:val="20"/>
                <w:color w:val="auto"/>
              </w:rPr>
            </w:pPr>
            <w:r>
              <w:rPr>
                <w:rFonts w:ascii="Arial" w:cs="Arial" w:eastAsia="Arial" w:hAnsi="Arial"/>
                <w:sz w:val="18"/>
                <w:szCs w:val="18"/>
                <w:b w:val="1"/>
                <w:bCs w:val="1"/>
                <w:color w:val="auto"/>
              </w:rPr>
              <w:t>Commission file number 1-7677</w:t>
            </w:r>
          </w:p>
        </w:tc>
      </w:tr>
      <w:tr>
        <w:trPr>
          <w:trHeight w:val="20"/>
        </w:trPr>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60" w:type="dxa"/>
        <w:tblCellMar>
          <w:top w:w="0" w:type="dxa"/>
          <w:left w:w="0" w:type="dxa"/>
          <w:bottom w:w="0" w:type="dxa"/>
          <w:right w:w="0" w:type="dxa"/>
        </w:tblCellMar>
      </w:tblPr>
      <w:tr>
        <w:trPr>
          <w:trHeight w:val="212"/>
        </w:trPr>
        <w:tc>
          <w:tcPr>
            <w:tcW w:w="7080" w:type="dxa"/>
            <w:vAlign w:val="bottom"/>
          </w:tcPr>
          <w:p>
            <w:pPr>
              <w:jc w:val="center"/>
              <w:ind w:right="248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2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080" w:type="dxa"/>
            <w:vAlign w:val="bottom"/>
          </w:tcPr>
          <w:p>
            <w:pPr>
              <w:jc w:val="center"/>
              <w:ind w:right="24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7"/>
              </w:rPr>
              <w:t>I.R.S. Employer</w:t>
            </w:r>
          </w:p>
        </w:tc>
      </w:tr>
      <w:tr>
        <w:trPr>
          <w:trHeight w:val="186"/>
        </w:trPr>
        <w:tc>
          <w:tcPr>
            <w:tcW w:w="7080" w:type="dxa"/>
            <w:vAlign w:val="bottom"/>
          </w:tcPr>
          <w:p>
            <w:pPr>
              <w:jc w:val="center"/>
              <w:ind w:right="248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81"/>
              <w:spacing w:after="0"/>
              <w:rPr>
                <w:sz w:val="20"/>
                <w:szCs w:val="20"/>
                <w:color w:val="auto"/>
              </w:rPr>
            </w:pPr>
            <w:r>
              <w:rPr>
                <w:rFonts w:ascii="Arial" w:cs="Arial" w:eastAsia="Arial" w:hAnsi="Arial"/>
                <w:sz w:val="14"/>
                <w:szCs w:val="14"/>
                <w:b w:val="1"/>
                <w:bCs w:val="1"/>
                <w:color w:val="auto"/>
                <w:w w:val="95"/>
              </w:rPr>
              <w:t>Identification No.</w:t>
            </w:r>
          </w:p>
        </w:tc>
      </w:tr>
      <w:tr>
        <w:trPr>
          <w:trHeight w:val="435"/>
        </w:trPr>
        <w:tc>
          <w:tcPr>
            <w:tcW w:w="7080" w:type="dxa"/>
            <w:vAlign w:val="bottom"/>
          </w:tcPr>
          <w:p>
            <w:pPr>
              <w:jc w:val="center"/>
              <w:ind w:right="248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540" w:type="dxa"/>
            <w:vAlign w:val="bottom"/>
          </w:tcPr>
          <w:p>
            <w:pPr>
              <w:jc w:val="right"/>
              <w:ind w:right="241"/>
              <w:spacing w:after="0"/>
              <w:rPr>
                <w:sz w:val="20"/>
                <w:szCs w:val="20"/>
                <w:color w:val="auto"/>
              </w:rPr>
            </w:pPr>
            <w:r>
              <w:rPr>
                <w:rFonts w:ascii="Arial" w:cs="Arial" w:eastAsia="Arial" w:hAnsi="Arial"/>
                <w:sz w:val="18"/>
                <w:szCs w:val="18"/>
                <w:b w:val="1"/>
                <w:bCs w:val="1"/>
                <w:color w:val="auto"/>
              </w:rPr>
              <w:t>73107</w:t>
            </w:r>
          </w:p>
        </w:tc>
      </w:tr>
      <w:tr>
        <w:trPr>
          <w:trHeight w:val="186"/>
        </w:trPr>
        <w:tc>
          <w:tcPr>
            <w:tcW w:w="7080" w:type="dxa"/>
            <w:vAlign w:val="bottom"/>
          </w:tcPr>
          <w:p>
            <w:pPr>
              <w:jc w:val="center"/>
              <w:ind w:right="248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540" w:type="dxa"/>
            <w:vAlign w:val="bottom"/>
          </w:tcPr>
          <w:p>
            <w:pPr>
              <w:jc w:val="center"/>
              <w:ind w:left="381"/>
              <w:spacing w:after="0"/>
              <w:rPr>
                <w:sz w:val="20"/>
                <w:szCs w:val="20"/>
                <w:color w:val="auto"/>
              </w:rPr>
            </w:pPr>
            <w:r>
              <w:rPr>
                <w:rFonts w:ascii="Arial" w:cs="Arial" w:eastAsia="Arial" w:hAnsi="Arial"/>
                <w:sz w:val="14"/>
                <w:szCs w:val="14"/>
                <w:b w:val="1"/>
                <w:bCs w:val="1"/>
                <w:color w:val="auto"/>
                <w:w w:val="93"/>
              </w:rPr>
              <w:t>Zip Code</w:t>
            </w:r>
          </w:p>
        </w:tc>
      </w:tr>
      <w:tr>
        <w:trPr>
          <w:trHeight w:val="394"/>
        </w:trPr>
        <w:tc>
          <w:tcPr>
            <w:tcW w:w="7080" w:type="dxa"/>
            <w:vAlign w:val="bottom"/>
          </w:tcPr>
          <w:p>
            <w:pPr>
              <w:jc w:val="right"/>
              <w:ind w:right="1380"/>
              <w:spacing w:after="0"/>
              <w:rPr>
                <w:sz w:val="20"/>
                <w:szCs w:val="20"/>
                <w:color w:val="auto"/>
              </w:rPr>
            </w:pPr>
            <w:r>
              <w:rPr>
                <w:rFonts w:ascii="Arial" w:cs="Arial" w:eastAsia="Arial" w:hAnsi="Arial"/>
                <w:sz w:val="18"/>
                <w:szCs w:val="18"/>
                <w:b w:val="1"/>
                <w:bCs w:val="1"/>
                <w:color w:val="auto"/>
              </w:rPr>
              <w:t>(405) 235-4546</w:t>
            </w:r>
          </w:p>
        </w:tc>
        <w:tc>
          <w:tcPr>
            <w:tcW w:w="1540" w:type="dxa"/>
            <w:vAlign w:val="bottom"/>
          </w:tcPr>
          <w:p>
            <w:pPr>
              <w:spacing w:after="0"/>
              <w:rPr>
                <w:sz w:val="24"/>
                <w:szCs w:val="24"/>
                <w:color w:val="auto"/>
              </w:rPr>
            </w:pPr>
          </w:p>
        </w:tc>
      </w:tr>
      <w:tr>
        <w:trPr>
          <w:trHeight w:val="186"/>
        </w:trPr>
        <w:tc>
          <w:tcPr>
            <w:tcW w:w="7080" w:type="dxa"/>
            <w:vAlign w:val="bottom"/>
          </w:tcPr>
          <w:p>
            <w:pPr>
              <w:jc w:val="center"/>
              <w:ind w:left="2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7480" w:space="180"/>
            <w:col w:w="260" w:space="80"/>
            <w:col w:w="160" w:space="180"/>
            <w:col w:w="3080"/>
          </w:cols>
          <w:pgMar w:left="240" w:top="125" w:right="239" w:bottom="1440" w:gutter="0" w:footer="0" w:header="0"/>
          <w:type w:val="continuous"/>
        </w:sectPr>
      </w:pPr>
    </w:p>
    <w:p>
      <w:pPr>
        <w:spacing w:after="0" w:line="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number of shares outstanding of the Registrant’s voting common stock, as of July 31, 2015 was 22,793,202 shares, excluding 4,320,462 shares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20" w:type="dxa"/>
            <w:vAlign w:val="bottom"/>
            <w:gridSpan w:val="4"/>
            <w:vMerge w:val="restart"/>
          </w:tcPr>
          <w:p>
            <w:pPr>
              <w:jc w:val="center"/>
              <w:ind w:right="2560"/>
              <w:spacing w:after="0"/>
              <w:rPr>
                <w:sz w:val="20"/>
                <w:szCs w:val="20"/>
                <w:color w:val="auto"/>
              </w:rPr>
            </w:pPr>
            <w:r>
              <w:rPr>
                <w:rFonts w:ascii="Arial" w:cs="Arial" w:eastAsia="Arial" w:hAnsi="Arial"/>
                <w:sz w:val="18"/>
                <w:szCs w:val="18"/>
                <w:color w:val="auto"/>
                <w:w w:val="93"/>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016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20" w:type="dxa"/>
            <w:vAlign w:val="bottom"/>
            <w:gridSpan w:val="4"/>
          </w:tcPr>
          <w:p>
            <w:pPr>
              <w:jc w:val="center"/>
              <w:ind w:right="2560"/>
              <w:spacing w:after="0"/>
              <w:rPr>
                <w:sz w:val="20"/>
                <w:szCs w:val="20"/>
                <w:color w:val="auto"/>
              </w:rPr>
            </w:pPr>
            <w:r>
              <w:rPr>
                <w:rFonts w:ascii="Arial" w:cs="Arial" w:eastAsia="Arial" w:hAnsi="Arial"/>
                <w:sz w:val="18"/>
                <w:szCs w:val="18"/>
                <w:color w:val="auto"/>
                <w:w w:val="94"/>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8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5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78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0160" w:type="dxa"/>
            <w:vAlign w:val="bottom"/>
            <w:gridSpan w:val="1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Mining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82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88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60" w:type="dxa"/>
            <w:vAlign w:val="bottom"/>
            <w:gridSpan w:val="10"/>
          </w:tcPr>
          <w:p>
            <w:pPr>
              <w:jc w:val="right"/>
              <w:ind w:right="158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2015 is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132,708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85,343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Precious metals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Supplies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Prepaid and refundable income taxes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340" w:type="dxa"/>
            <w:vAlign w:val="bottom"/>
          </w:tcPr>
          <w:p>
            <w:pPr>
              <w:ind w:left="106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46,775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17,204</w:t>
            </w:r>
          </w:p>
        </w:tc>
        <w:tc>
          <w:tcPr>
            <w:tcW w:w="0" w:type="dxa"/>
            <w:vAlign w:val="bottom"/>
          </w:tcPr>
          <w:p>
            <w:pPr>
              <w:spacing w:after="0"/>
              <w:rPr>
                <w:sz w:val="1"/>
                <w:szCs w:val="1"/>
                <w:color w:val="auto"/>
              </w:rPr>
            </w:pPr>
          </w:p>
        </w:tc>
      </w:tr>
      <w:tr>
        <w:trPr>
          <w:trHeight w:val="29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360,116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restricted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Noncurrent restricted investments</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30,598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98,918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1,178,179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2015 is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4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24,095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446,091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85,391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83,128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Common stock, $.10 par value; 75,000,000 shares authorized, 27,109,544 shares issued (26,968,212 shares at December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31, 2014)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173,562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472,227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Common stock, 4,320,462 shares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28,374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1,178,179</w:t>
            </w:r>
          </w:p>
        </w:tc>
        <w:tc>
          <w:tcPr>
            <w:tcW w:w="14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and Three Months Ended June 30,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color w:val="auto"/>
              </w:rPr>
              <w:t>Six Months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10"/>
          </w:tcPr>
          <w:p>
            <w:pPr>
              <w:jc w:val="right"/>
              <w:spacing w:after="0" w:line="142" w:lineRule="exact"/>
              <w:rPr>
                <w:sz w:val="20"/>
                <w:szCs w:val="20"/>
                <w:color w:val="auto"/>
              </w:rPr>
            </w:pPr>
            <w:r>
              <w:rPr>
                <w:rFonts w:ascii="Arial" w:cs="Arial" w:eastAsia="Arial" w:hAnsi="Arial"/>
                <w:sz w:val="14"/>
                <w:szCs w:val="14"/>
                <w:color w:val="auto"/>
              </w:rPr>
              <w:t>(In Thousands, Except Per Share Amounts)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380,187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299,276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282,596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147,777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152,793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60,216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52,156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32,025</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(recovery of) losses on accounts receivable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49,625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provisions (benefit) for income taxes and equity in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of affiliate</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37,399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Provisions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22,777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22,754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6,766</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22,748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7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Non-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Common</w:t>
            </w:r>
          </w:p>
        </w:tc>
        <w:tc>
          <w:tcPr>
            <w:tcW w:w="16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8"/>
              </w:rPr>
              <w:t>Redeemable</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Common</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Treasury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Preferred</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Stock Par</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Excess of</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96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Stock</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Par Value</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42"/>
        </w:trPr>
        <w:tc>
          <w:tcPr>
            <w:tcW w:w="4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1"/>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26,968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$ 2,697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$170,537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$286,188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$434,048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7,066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7,066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1,272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income tax benefit associated with stock-based</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27,110</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$ 2,711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173,562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292,954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(28,374)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443,853</w:t>
            </w:r>
          </w:p>
        </w:tc>
      </w:tr>
      <w:tr>
        <w:trPr>
          <w:trHeight w:val="20"/>
        </w:trPr>
        <w:tc>
          <w:tcPr>
            <w:tcW w:w="4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7,066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insurance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Prepaid and accrued income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supplies, prepaid items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Other current and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gain on insurance recoveries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9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40,284</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(157,407)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short-term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Deposits of noncurrent restricted cash and cash equivalents</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 of noncurrent restricted investments</w:t>
            </w: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9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00" w:type="dxa"/>
            <w:vAlign w:val="bottom"/>
            <w:gridSpan w:val="2"/>
          </w:tcPr>
          <w:p>
            <w:pPr>
              <w:spacing w:after="0"/>
              <w:rPr>
                <w:sz w:val="20"/>
                <w:szCs w:val="20"/>
                <w:color w:val="auto"/>
              </w:rPr>
            </w:pPr>
            <w:r>
              <w:rPr>
                <w:rFonts w:ascii="Arial" w:cs="Arial" w:eastAsia="Arial" w:hAnsi="Arial"/>
                <w:sz w:val="18"/>
                <w:szCs w:val="18"/>
                <w:color w:val="auto"/>
              </w:rPr>
              <w:t>Net cash used by continuing investing activities</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(98,790)</w:t>
            </w: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revolving debt facility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revolving debt facility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long-term debt, net of fees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Payments on short-term financing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Dividends paid on preferred stocks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9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5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(54,103)</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186,811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143,750</w:t>
            </w:r>
          </w:p>
        </w:tc>
        <w:tc>
          <w:tcPr>
            <w:tcW w:w="0" w:type="dxa"/>
            <w:vAlign w:val="bottom"/>
          </w:tcPr>
          <w:p>
            <w:pPr>
              <w:spacing w:after="0"/>
              <w:rPr>
                <w:sz w:val="1"/>
                <w:szCs w:val="1"/>
                <w:color w:val="auto"/>
              </w:rPr>
            </w:pPr>
          </w:p>
        </w:tc>
      </w:tr>
      <w:tr>
        <w:trPr>
          <w:trHeight w:val="291"/>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132,708</w:t>
            </w: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176,459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2014 (“2014 Form 10-K”), filed with the Securities and Exchange Commission (“SEC”) on February 27, 2015.</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Basis of Consolidation and Presentation – </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6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June 30, 2015 and for the six and three-month periods ended June 30, 2015 and 2014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2014 Form 10-K.</w:t>
      </w:r>
    </w:p>
    <w:p>
      <w:pPr>
        <w:spacing w:after="0" w:line="183"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Investments, which consist of certificates of deposit with an original maturity no more than 26 weeks, are considered short-term</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These investments are carried at cost which approximates fair value.</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Noncurrent Restricted Cash and Cash Equivalents – </w:t>
      </w:r>
      <w:r>
        <w:rPr>
          <w:rFonts w:ascii="Arial" w:cs="Arial" w:eastAsia="Arial" w:hAnsi="Arial"/>
          <w:sz w:val="18"/>
          <w:szCs w:val="18"/>
          <w:color w:val="auto"/>
        </w:rPr>
        <w:t>Noncurrent restricted cash and cash equivalents consisted of balances that were designated by us for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purposes relating to capital projects.</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Noncurrent Restricted Investments </w:t>
      </w:r>
      <w:r>
        <w:rPr>
          <w:rFonts w:ascii="Arial" w:cs="Arial" w:eastAsia="Arial" w:hAnsi="Arial"/>
          <w:sz w:val="18"/>
          <w:szCs w:val="18"/>
          <w:color w:val="auto"/>
        </w:rPr>
        <w:t>– Noncurrent restricted investments consisted of investment balances that were designated by us for specific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 projects. The balance included investments in certificates of deposits with an original maturity no longer than approximately 26 weeks. The investments in certificates of deposits were carried at cost, which approximated fair value.</w:t>
      </w:r>
    </w:p>
    <w:p>
      <w:pPr>
        <w:spacing w:after="0" w:line="1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Concentration of Credit Risks for Cash, Cash Equivalents, and Investments at Financial Institutions – </w:t>
      </w:r>
      <w:r>
        <w:rPr>
          <w:rFonts w:ascii="Arial" w:cs="Arial" w:eastAsia="Arial" w:hAnsi="Arial"/>
          <w:sz w:val="18"/>
          <w:szCs w:val="18"/>
          <w:color w:val="auto"/>
        </w:rPr>
        <w:t>Financial instruments relating to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investments (certificates of deposits) potentially subject us to concentrations of credit risk. At June 30, 2015, the total balance of these financial instruments exceeded the FDIC-insured limits by approximately $24.8 million. All of these financial instruments were held by financial institutions within the 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3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 Update 2014-09-Revenue from Contracts with Customers, which will supersede nearly all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standard with the option to early adopt but not before the original effective date. As a result, the effective date for us of this standard is January 1, 2018, with the option to adopt a year earlier.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6"/>
          </w:tcPr>
          <w:p>
            <w:pPr>
              <w:jc w:val="right"/>
              <w:ind w:right="128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June 30,</w:t>
            </w: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2015</w:t>
            </w: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5"/>
                <w:szCs w:val="15"/>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80" w:type="dxa"/>
            <w:vAlign w:val="bottom"/>
            <w:gridSpan w:val="7"/>
          </w:tcPr>
          <w:p>
            <w:pPr>
              <w:ind w:left="280"/>
              <w:spacing w:after="0" w:line="142" w:lineRule="exact"/>
              <w:rPr>
                <w:sz w:val="20"/>
                <w:szCs w:val="20"/>
                <w:color w:val="auto"/>
              </w:rPr>
            </w:pPr>
            <w:r>
              <w:rPr>
                <w:rFonts w:ascii="Arial" w:cs="Arial" w:eastAsia="Arial" w:hAnsi="Arial"/>
                <w:sz w:val="14"/>
                <w:szCs w:val="14"/>
                <w:color w:val="auto"/>
              </w:rPr>
              <w:t>(Dollars In Thousands, Except Per Share Amounts)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7,066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 on Series B Preferred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Dividends on Series D Preferred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dividends on preferred stocks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Numerator for basic net income per common share - net</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520"/>
              <w:spacing w:after="0"/>
              <w:rPr>
                <w:sz w:val="20"/>
                <w:szCs w:val="20"/>
                <w:color w:val="auto"/>
              </w:rPr>
            </w:pPr>
            <w:r>
              <w:rPr>
                <w:rFonts w:ascii="Arial" w:cs="Arial" w:eastAsia="Arial" w:hAnsi="Arial"/>
                <w:sz w:val="18"/>
                <w:szCs w:val="18"/>
                <w:color w:val="auto"/>
              </w:rPr>
              <w:t>income applicable to common stock</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6,766</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22,454</w:t>
            </w:r>
          </w:p>
        </w:tc>
        <w:tc>
          <w:tcPr>
            <w:tcW w:w="100" w:type="dxa"/>
            <w:vAlign w:val="bottom"/>
          </w:tcPr>
          <w:p>
            <w:pPr>
              <w:spacing w:after="0"/>
              <w:rPr>
                <w:sz w:val="20"/>
                <w:szCs w:val="20"/>
                <w:color w:val="auto"/>
              </w:rPr>
            </w:pP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Dividends on preferred stocks assumed to be converted, if</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dilutive</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Numerator for diluted net income per common share</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340"/>
              <w:spacing w:after="0" w:line="201" w:lineRule="exact"/>
              <w:rPr>
                <w:sz w:val="20"/>
                <w:szCs w:val="20"/>
                <w:color w:val="auto"/>
              </w:rPr>
            </w:pPr>
            <w:r>
              <w:rPr>
                <w:rFonts w:ascii="Arial" w:cs="Arial" w:eastAsia="Arial" w:hAnsi="Arial"/>
                <w:sz w:val="18"/>
                <w:szCs w:val="18"/>
                <w:color w:val="auto"/>
                <w:w w:val="98"/>
              </w:rPr>
              <w:t>Denominator for basic net income per common share - weighted-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520"/>
              <w:spacing w:after="0"/>
              <w:rPr>
                <w:sz w:val="20"/>
                <w:szCs w:val="20"/>
                <w:color w:val="auto"/>
              </w:rPr>
            </w:pPr>
            <w:r>
              <w:rPr>
                <w:rFonts w:ascii="Arial" w:cs="Arial" w:eastAsia="Arial" w:hAnsi="Arial"/>
                <w:sz w:val="18"/>
                <w:szCs w:val="18"/>
                <w:color w:val="auto"/>
              </w:rPr>
              <w:t>average shares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22,711,332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22,538,773</w:t>
            </w:r>
          </w:p>
        </w:tc>
        <w:tc>
          <w:tcPr>
            <w:tcW w:w="100" w:type="dxa"/>
            <w:vAlign w:val="bottom"/>
          </w:tcPr>
          <w:p>
            <w:pPr>
              <w:spacing w:after="0"/>
              <w:rPr>
                <w:sz w:val="20"/>
                <w:szCs w:val="20"/>
                <w:color w:val="auto"/>
              </w:rPr>
            </w:pP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w w:val="88"/>
              </w:rPr>
              <w:t>22,747,925</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22,544,857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060"/>
              <w:spacing w:after="0"/>
              <w:rPr>
                <w:sz w:val="20"/>
                <w:szCs w:val="20"/>
                <w:color w:val="auto"/>
              </w:rPr>
            </w:pPr>
            <w:r>
              <w:rPr>
                <w:rFonts w:ascii="Arial" w:cs="Arial" w:eastAsia="Arial" w:hAnsi="Arial"/>
                <w:sz w:val="18"/>
                <w:szCs w:val="18"/>
                <w:color w:val="auto"/>
              </w:rPr>
              <w:t>Convertible preferred stocks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583,333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117,124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112,483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60" w:type="dxa"/>
            <w:vAlign w:val="bottom"/>
          </w:tcPr>
          <w:p>
            <w:pPr>
              <w:ind w:left="1420"/>
              <w:spacing w:after="0"/>
              <w:rPr>
                <w:sz w:val="20"/>
                <w:szCs w:val="20"/>
                <w:color w:val="auto"/>
              </w:rPr>
            </w:pPr>
            <w:r>
              <w:rPr>
                <w:rFonts w:ascii="Arial" w:cs="Arial" w:eastAsia="Arial" w:hAnsi="Arial"/>
                <w:sz w:val="18"/>
                <w:szCs w:val="18"/>
                <w:color w:val="auto"/>
              </w:rPr>
              <w:t>Dilutive potential common shares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700,457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1,111,666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1,029,149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1,115,381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Denominator for dilutive net income per common share -</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 weighted-average shares and assumed conversions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23,411,789</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23,650,439</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88"/>
              </w:rPr>
              <w:t>23,777,074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23,660,238</w:t>
            </w:r>
          </w:p>
        </w:tc>
        <w:tc>
          <w:tcPr>
            <w:tcW w:w="0" w:type="dxa"/>
            <w:vAlign w:val="bottom"/>
          </w:tcPr>
          <w:p>
            <w:pPr>
              <w:spacing w:after="0"/>
              <w:rPr>
                <w:sz w:val="1"/>
                <w:szCs w:val="1"/>
                <w:color w:val="auto"/>
              </w:rPr>
            </w:pPr>
          </w:p>
        </w:tc>
      </w:tr>
      <w:tr>
        <w:trPr>
          <w:trHeight w:val="20"/>
        </w:trPr>
        <w:tc>
          <w:tcPr>
            <w:tcW w:w="5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8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color w:val="auto"/>
                <w:w w:val="95"/>
              </w:rPr>
              <w:t>Six Months Ended</w:t>
            </w:r>
          </w:p>
        </w:tc>
        <w:tc>
          <w:tcPr>
            <w:tcW w:w="1680" w:type="dxa"/>
            <w:vAlign w:val="bottom"/>
            <w:gridSpan w:val="4"/>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0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89"/>
              </w:rPr>
              <w:t>June 30,</w:t>
            </w:r>
          </w:p>
        </w:tc>
        <w:tc>
          <w:tcPr>
            <w:tcW w:w="1680" w:type="dxa"/>
            <w:vAlign w:val="bottom"/>
            <w:gridSpan w:val="4"/>
          </w:tcPr>
          <w:p>
            <w:pPr>
              <w:jc w:val="right"/>
              <w:ind w:right="66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3960" w:type="dxa"/>
            <w:vAlign w:val="bottom"/>
            <w:gridSpan w:val="2"/>
          </w:tcPr>
          <w:p>
            <w:pPr>
              <w:jc w:val="right"/>
              <w:ind w:right="102"/>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stocks</w:t>
            </w:r>
          </w:p>
        </w:tc>
        <w:tc>
          <w:tcPr>
            <w:tcW w:w="3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333,333</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 options</w:t>
            </w:r>
          </w:p>
        </w:tc>
        <w:tc>
          <w:tcPr>
            <w:tcW w:w="4240" w:type="dxa"/>
            <w:vAlign w:val="bottom"/>
            <w:gridSpan w:val="3"/>
          </w:tcPr>
          <w:p>
            <w:pPr>
              <w:jc w:val="right"/>
              <w:ind w:right="280"/>
              <w:spacing w:after="0"/>
              <w:rPr>
                <w:sz w:val="20"/>
                <w:szCs w:val="20"/>
                <w:color w:val="auto"/>
              </w:rPr>
            </w:pPr>
            <w:r>
              <w:rPr>
                <w:rFonts w:ascii="Arial" w:cs="Arial" w:eastAsia="Arial" w:hAnsi="Arial"/>
                <w:sz w:val="18"/>
                <w:szCs w:val="18"/>
                <w:color w:val="auto"/>
              </w:rPr>
              <w:t>496,137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325,326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291,885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370,099</w:t>
            </w: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829,470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325,326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291,885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370,099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00" w:type="dxa"/>
            <w:vAlign w:val="bottom"/>
            <w:vMerge w:val="restart"/>
          </w:tcPr>
          <w:p>
            <w:pPr>
              <w:jc w:val="right"/>
              <w:ind w:right="1494"/>
              <w:spacing w:after="0"/>
              <w:rPr>
                <w:sz w:val="20"/>
                <w:szCs w:val="20"/>
                <w:color w:val="auto"/>
              </w:rPr>
            </w:pPr>
            <w:r>
              <w:rPr>
                <w:rFonts w:ascii="Arial" w:cs="Arial" w:eastAsia="Arial" w:hAnsi="Arial"/>
                <w:sz w:val="18"/>
                <w:szCs w:val="18"/>
                <w:color w:val="auto"/>
              </w:rPr>
              <w:t>10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June 30,</w:t>
            </w:r>
          </w:p>
        </w:tc>
        <w:tc>
          <w:tcPr>
            <w:tcW w:w="1200" w:type="dxa"/>
            <w:vAlign w:val="bottom"/>
            <w:gridSpan w:val="4"/>
          </w:tcPr>
          <w:p>
            <w:pPr>
              <w:ind w:left="280"/>
              <w:spacing w:after="0"/>
              <w:rPr>
                <w:sz w:val="20"/>
                <w:szCs w:val="20"/>
                <w:color w:val="auto"/>
              </w:rPr>
            </w:pPr>
            <w:r>
              <w:rPr>
                <w:rFonts w:ascii="Arial" w:cs="Arial" w:eastAsia="Arial" w:hAnsi="Arial"/>
                <w:sz w:val="14"/>
                <w:szCs w:val="14"/>
                <w:color w:val="auto"/>
              </w:rPr>
              <w:t>December 31,</w:t>
            </w:r>
          </w:p>
        </w:tc>
      </w:tr>
      <w:tr>
        <w:trPr>
          <w:trHeight w:val="167"/>
        </w:trPr>
        <w:tc>
          <w:tcPr>
            <w:tcW w:w="4460" w:type="dxa"/>
            <w:vAlign w:val="bottom"/>
          </w:tcPr>
          <w:p>
            <w:pPr>
              <w:spacing w:after="0"/>
              <w:rPr>
                <w:sz w:val="14"/>
                <w:szCs w:val="14"/>
                <w:color w:val="auto"/>
              </w:rPr>
            </w:pPr>
          </w:p>
        </w:tc>
        <w:tc>
          <w:tcPr>
            <w:tcW w:w="2700" w:type="dxa"/>
            <w:vAlign w:val="bottom"/>
            <w:gridSpan w:val="2"/>
          </w:tcPr>
          <w:p>
            <w:pPr>
              <w:jc w:val="right"/>
              <w:ind w:right="88"/>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40" w:type="dxa"/>
            <w:vAlign w:val="bottom"/>
            <w:tcBorders>
              <w:top w:val="single" w:sz="8" w:color="auto"/>
            </w:tcBorders>
            <w:gridSpan w:val="4"/>
          </w:tcPr>
          <w:p>
            <w:pPr>
              <w:ind w:left="560"/>
              <w:spacing w:after="0" w:line="142" w:lineRule="exact"/>
              <w:rPr>
                <w:sz w:val="20"/>
                <w:szCs w:val="20"/>
                <w:color w:val="auto"/>
              </w:rPr>
            </w:pPr>
            <w:r>
              <w:rPr>
                <w:rFonts w:ascii="Arial" w:cs="Arial" w:eastAsia="Arial" w:hAnsi="Arial"/>
                <w:sz w:val="14"/>
                <w:szCs w:val="14"/>
                <w:color w:val="auto"/>
                <w:w w:val="91"/>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$84,684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86,402</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8"/>
                <w:szCs w:val="18"/>
                <w:color w:val="auto"/>
              </w:rPr>
            </w:pPr>
          </w:p>
        </w:tc>
      </w:tr>
      <w:tr>
        <w:trPr>
          <w:trHeight w:val="75"/>
        </w:trPr>
        <w:tc>
          <w:tcPr>
            <w:tcW w:w="44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44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88,900</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(1,356)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r>
      <w:tr>
        <w:trPr>
          <w:trHeight w:val="75"/>
        </w:trPr>
        <w:tc>
          <w:tcPr>
            <w:tcW w:w="44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44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85,343</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88,074</w:t>
            </w:r>
          </w:p>
        </w:tc>
        <w:tc>
          <w:tcPr>
            <w:tcW w:w="12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June 30, 2015 and December 31, 2014, inventory reserves for certain slow-moving inventory items (Climate Control products) were $1,797,000 and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$1,653,000, respectively. In addition, because cost exceeded the net realizable value, inventory adjustments for certain nitrogen-based inventories provided by our Chemical Business were $653,000 and $1,976,000 at June 30, 2015 and December 31, 2014,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3"/>
              </w:rPr>
              <w:t>June 30,</w:t>
            </w:r>
          </w:p>
        </w:tc>
        <w:tc>
          <w:tcPr>
            <w:tcW w:w="1480" w:type="dxa"/>
            <w:vAlign w:val="bottom"/>
            <w:gridSpan w:val="4"/>
          </w:tcPr>
          <w:p>
            <w:pPr>
              <w:ind w:left="5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20" w:type="dxa"/>
            <w:vAlign w:val="bottom"/>
            <w:gridSpan w:val="2"/>
          </w:tcPr>
          <w:p>
            <w:pPr>
              <w:jc w:val="right"/>
              <w:ind w:right="88"/>
              <w:spacing w:after="0"/>
              <w:rPr>
                <w:sz w:val="20"/>
                <w:szCs w:val="20"/>
                <w:color w:val="auto"/>
              </w:rPr>
            </w:pPr>
            <w:r>
              <w:rPr>
                <w:rFonts w:ascii="Arial" w:cs="Arial" w:eastAsia="Arial" w:hAnsi="Arial"/>
                <w:sz w:val="14"/>
                <w:szCs w:val="14"/>
                <w:color w:val="auto"/>
              </w:rPr>
              <w:t>2015</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color w:val="auto"/>
                <w:w w:val="91"/>
              </w:rPr>
              <w:t>(In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11,706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Deferred revenue on extended warranty contracts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8,045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22,601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0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18,432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49,195</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4"/>
                <w:szCs w:val="14"/>
                <w:color w:val="auto"/>
              </w:rPr>
              <w:t>Six Months Ended</w:t>
            </w:r>
          </w:p>
        </w:tc>
        <w:tc>
          <w:tcPr>
            <w:tcW w:w="1720" w:type="dxa"/>
            <w:vAlign w:val="bottom"/>
            <w:gridSpan w:val="4"/>
          </w:tcPr>
          <w:p>
            <w:pPr>
              <w:jc w:val="right"/>
              <w:ind w:right="3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15"/>
                <w:szCs w:val="15"/>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color w:val="auto"/>
              </w:rPr>
              <w:t>2015</w:t>
            </w:r>
          </w:p>
        </w:tc>
        <w:tc>
          <w:tcPr>
            <w:tcW w:w="480" w:type="dxa"/>
            <w:vAlign w:val="bottom"/>
          </w:tcPr>
          <w:p>
            <w:pPr>
              <w:jc w:val="right"/>
              <w:spacing w:after="0"/>
              <w:rPr>
                <w:sz w:val="20"/>
                <w:szCs w:val="20"/>
                <w:color w:val="auto"/>
              </w:rPr>
            </w:pPr>
            <w:r>
              <w:rPr>
                <w:rFonts w:ascii="Arial" w:cs="Arial" w:eastAsia="Arial" w:hAnsi="Arial"/>
                <w:sz w:val="14"/>
                <w:szCs w:val="14"/>
                <w:color w:val="auto"/>
                <w:w w:val="85"/>
              </w:rPr>
              <w:t>June 30,</w:t>
            </w: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color w:val="auto"/>
              </w:rPr>
              <w:t>2014</w:t>
            </w:r>
          </w:p>
        </w:tc>
        <w:tc>
          <w:tcPr>
            <w:tcW w:w="500" w:type="dxa"/>
            <w:vAlign w:val="bottom"/>
          </w:tcPr>
          <w:p>
            <w:pPr>
              <w:spacing w:after="0"/>
              <w:rPr>
                <w:sz w:val="15"/>
                <w:szCs w:val="15"/>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color w:val="auto"/>
              </w:rPr>
              <w:t>2015</w:t>
            </w:r>
          </w:p>
        </w:tc>
        <w:tc>
          <w:tcPr>
            <w:tcW w:w="480" w:type="dxa"/>
            <w:vAlign w:val="bottom"/>
          </w:tcPr>
          <w:p>
            <w:pPr>
              <w:jc w:val="right"/>
              <w:spacing w:after="0"/>
              <w:rPr>
                <w:sz w:val="20"/>
                <w:szCs w:val="20"/>
                <w:color w:val="auto"/>
              </w:rPr>
            </w:pPr>
            <w:r>
              <w:rPr>
                <w:rFonts w:ascii="Arial" w:cs="Arial" w:eastAsia="Arial" w:hAnsi="Arial"/>
                <w:sz w:val="14"/>
                <w:szCs w:val="14"/>
                <w:color w:val="auto"/>
                <w:w w:val="85"/>
              </w:rPr>
              <w:t>June 30,</w:t>
            </w: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6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00" w:type="dxa"/>
            <w:vAlign w:val="bottom"/>
            <w:gridSpan w:val="4"/>
          </w:tcPr>
          <w:p>
            <w:pPr>
              <w:jc w:val="right"/>
              <w:ind w:right="788"/>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$ 8,817</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$ 7,297</w:t>
            </w: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9"/>
              </w:rPr>
              <w:t>$ 9,034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$ 7,578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Amounts charged to SG&amp;A</w:t>
            </w:r>
          </w:p>
        </w:tc>
        <w:tc>
          <w:tcPr>
            <w:tcW w:w="580" w:type="dxa"/>
            <w:vAlign w:val="bottom"/>
          </w:tcPr>
          <w:p>
            <w:pPr>
              <w:jc w:val="right"/>
              <w:spacing w:after="0"/>
              <w:rPr>
                <w:sz w:val="20"/>
                <w:szCs w:val="20"/>
                <w:color w:val="auto"/>
              </w:rPr>
            </w:pPr>
            <w:r>
              <w:rPr>
                <w:rFonts w:ascii="Arial" w:cs="Arial" w:eastAsia="Arial" w:hAnsi="Arial"/>
                <w:sz w:val="18"/>
                <w:szCs w:val="18"/>
                <w:color w:val="auto"/>
              </w:rPr>
              <w:t>4,520</w:t>
            </w:r>
          </w:p>
        </w:tc>
        <w:tc>
          <w:tcPr>
            <w:tcW w:w="4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3,695</w:t>
            </w: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rPr>
              <w:t>2,421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(3,741)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(3,291)</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(1,859)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6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$ 9,596</w:t>
            </w:r>
          </w:p>
        </w:tc>
        <w:tc>
          <w:tcPr>
            <w:tcW w:w="48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$ 7,701</w:t>
            </w: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w w:val="89"/>
              </w:rPr>
              <w:t>$ 9,596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$ 7,701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June 30, 2015 and December 31, 2014, our accrued liability for AROs was $271,000 and $340,000,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right"/>
              <w:ind w:right="49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425,000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due 2016, with a current interest rate of 3.28%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 rate of 5.25% (C)</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16,189</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with a current weighted-average interest rate of 4.33%, most of which is secured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primarily by machinery and equipment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9,504</w:t>
            </w:r>
          </w:p>
        </w:tc>
      </w:tr>
      <w:tr>
        <w:trPr>
          <w:trHeight w:val="20"/>
        </w:trPr>
        <w:tc>
          <w:tcPr>
            <w:tcW w:w="7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470,186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457,318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10,680</w:t>
            </w:r>
          </w:p>
        </w:tc>
      </w:tr>
      <w:tr>
        <w:trPr>
          <w:trHeight w:val="20"/>
        </w:trPr>
        <w:tc>
          <w:tcPr>
            <w:tcW w:w="7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440" w:type="dxa"/>
            <w:vAlign w:val="bottom"/>
          </w:tcPr>
          <w:p>
            <w:pPr>
              <w:spacing w:after="0"/>
              <w:rPr>
                <w:sz w:val="20"/>
                <w:szCs w:val="20"/>
                <w:color w:val="auto"/>
              </w:rPr>
            </w:pPr>
            <w:r>
              <w:rPr>
                <w:rFonts w:ascii="Arial" w:cs="Arial" w:eastAsia="Arial" w:hAnsi="Arial"/>
                <w:sz w:val="18"/>
                <w:szCs w:val="18"/>
                <w:color w:val="auto"/>
              </w:rPr>
              <w:t>Long-term debt due after one year</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446,091</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446,638</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8"/>
        <w:spacing w:after="0" w:line="264" w:lineRule="auto"/>
        <w:tabs>
          <w:tab w:leader="none" w:pos="29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June 2015, the Working Capital Revolver Loan was amended, by which the Lender released its second-priority security interest and liens in collateral that also secures, on a first priority basis, the 7.75% Senior Secured Notes. The amendment also amends the definition of Permitted Investments to include investments that are made:</w:t>
      </w:r>
    </w:p>
    <w:p>
      <w:pPr>
        <w:spacing w:after="0" w:line="86" w:lineRule="exact"/>
        <w:rPr>
          <w:rFonts w:ascii="Arial" w:cs="Arial" w:eastAsia="Arial" w:hAnsi="Arial"/>
          <w:sz w:val="18"/>
          <w:szCs w:val="18"/>
          <w:b w:val="1"/>
          <w:bCs w:val="1"/>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the extent that the Consolidated Leverage Ratio (as defined in the amendment) does not exceed 2.5 to 1.0;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amounts not to exceed 50% of the cumulative consolidated net income or loss since August 7,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permit $35 million in joint ventures;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permit $50 million in our subsidiary, Zena Energy LLC.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 (continued)</w:t>
      </w:r>
    </w:p>
    <w:p>
      <w:pPr>
        <w:spacing w:after="0" w:line="13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amendment also provides that we can incur additional indebtedness if the Fixed Charge Coverage Ratio, as defined in the amendment, is greater than 2.0 to 1.0.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ability to make permitted investments or incur indebtedness is conditioned upon us not being in default and having at least 20% of the maximum revolver commitment or $20 million, whichever is greater, being available.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Working Capital Revolver Loan continues to provide (a) advances up to $100 million are based on specified percentages of eligible accounts receivable and inventories (b), up to $15 million of letters of credit, the outstanding amount of which reduces the availability under the Working Capital Revolver Loan, and (c) the maturity date is April 13, 2018.</w:t>
      </w:r>
    </w:p>
    <w:p>
      <w:pPr>
        <w:spacing w:after="0" w:line="181" w:lineRule="exact"/>
        <w:rPr>
          <w:sz w:val="20"/>
          <w:szCs w:val="20"/>
          <w:color w:val="auto"/>
        </w:rPr>
      </w:pPr>
    </w:p>
    <w:p>
      <w:pPr>
        <w:ind w:firstLine="8"/>
        <w:spacing w:after="0" w:line="273" w:lineRule="auto"/>
        <w:tabs>
          <w:tab w:leader="none" w:pos="285"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7.75% Senior Secured Notes due 2019 bear interest at the rate of 7.75% per year and mature on August 1, 2019. Interest is to be paid semiannually on February 1st and August 1st. 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rank equally in right of payment to all of LSB and the guarantors’ existing and future senior secured debt, including the Working Capital Revolver Loan discussed above, and are senior in right of payment to all of LSB and the guarantors’ future subordinated indebtedness. LSB does not have independent assets or operations.</w:t>
      </w:r>
    </w:p>
    <w:p>
      <w:pPr>
        <w:spacing w:after="0" w:line="178" w:lineRule="exact"/>
        <w:rPr>
          <w:rFonts w:ascii="Arial" w:cs="Arial" w:eastAsia="Arial" w:hAnsi="Arial"/>
          <w:sz w:val="17"/>
          <w:szCs w:val="17"/>
          <w:b w:val="1"/>
          <w:bCs w:val="1"/>
          <w:color w:val="auto"/>
        </w:rPr>
      </w:pPr>
    </w:p>
    <w:p>
      <w:pPr>
        <w:ind w:firstLine="8"/>
        <w:spacing w:after="0" w:line="259" w:lineRule="auto"/>
        <w:tabs>
          <w:tab w:leader="none" w:pos="29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Secured Promissory Note due 2021 is an agreement between one of our subsidiaries EDC (subsequently assigned to LSB) and a lender for an original principal amount of approximately $16.2 million. The note bears interest at the rate of 5.25% per year and matures on March 26, 2021. Interest only is payable monthly for the first 12 months of the term. Principal and interest are payable monthly for the remaining term of the note. This note is secured by a natural gas pipeline being constructed at the El Dorado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Termination of Sales Commitment </w:t>
      </w:r>
      <w:r>
        <w:rPr>
          <w:rFonts w:ascii="Arial" w:cs="Arial" w:eastAsia="Arial" w:hAnsi="Arial"/>
          <w:sz w:val="18"/>
          <w:szCs w:val="18"/>
          <w:color w:val="auto"/>
        </w:rPr>
        <w:t>– Ammonium nitrate supply agreement – Pursuant to a long-term cost-plus supply agreement, EDC agreed to supply</w:t>
      </w:r>
      <w:r>
        <w:rPr>
          <w:rFonts w:ascii="Arial" w:cs="Arial" w:eastAsia="Arial" w:hAnsi="Arial"/>
          <w:sz w:val="18"/>
          <w:szCs w:val="18"/>
          <w:b w:val="1"/>
          <w:bCs w:val="1"/>
          <w:color w:val="auto"/>
        </w:rPr>
        <w:t xml:space="preserve"> </w:t>
      </w:r>
      <w:r>
        <w:rPr>
          <w:rFonts w:ascii="Arial" w:cs="Arial" w:eastAsia="Arial" w:hAnsi="Arial"/>
          <w:sz w:val="18"/>
          <w:szCs w:val="18"/>
          <w:color w:val="auto"/>
        </w:rPr>
        <w:t>Orica International Pte Ltd with an annual minimum of 240,000 tons of industrial grade AN produced at our El Dorado Facility. The agreement included a provision for Orica to pay for product not taken. The agreement also included a required notice of termination of one year, with the termination date to be no sooner than April 9, 2015. On March 31, 2014, EDC sent to Orica the required one-year notice that EDC would not renew the agreement. As a result, the agreement expired on April 9, 2015.</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Planned Capital Additions – </w:t>
      </w:r>
      <w:r>
        <w:rPr>
          <w:rFonts w:ascii="Arial" w:cs="Arial" w:eastAsia="Arial" w:hAnsi="Arial"/>
          <w:sz w:val="18"/>
          <w:szCs w:val="18"/>
          <w:color w:val="auto"/>
        </w:rPr>
        <w:t>A subsidiary of EDC is party to various agreements with Leidos Constructors, LLC and others to engineer, procure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an ammonia plant and certain support facilities. The estimated cost for this project ranges from $405 million to $420 million, of which $243 million has been incurred and capitalized at June 30, 2015.</w:t>
      </w:r>
    </w:p>
    <w:p>
      <w:pPr>
        <w:spacing w:after="0" w:line="1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EDC is party to an agreement with Weatherly Inc. for the licensing, engineering, and procurement of major manufacturing equipment for a new 65% strength nitric acid plant to be constructed at our El Dorado Facility. EDC is also party to various agreements with Leidos Constructors, LLC and others to engineer, procure and construct the Nitric Acid Plant, a nitric acid concentrator and certain support facilities at the El Dorado Facility. The estimated cost for this project ranges from $140 million to $142 million, of which $121 million has been incurred and capitalized at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37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In particular, the manufacture, production and distribution of products by our Chemical Business are activities that entail environmental and public health risks and impose obligations under the Environmental Laws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Laws and Health Laws is controlled by others, with our Chemical Business being responsible for its proportionate share of the costs involved. As of June 30, 2015, our accrued liabilities for environmental matters totaled $497,000 relating primarily to matters discussed below. It is reasonably possible that a change in the estimate of our liability could occur in the near term. Also see discussion in Note 7—Asset Retirement Obligations.</w:t>
      </w:r>
    </w:p>
    <w:p>
      <w:pPr>
        <w:spacing w:after="0" w:line="3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subject to oversight by the EPA. These permits limit the type and amount of effluents that can be discharged and controls the method of such discharge. The following are discharge water matters in relation to the respective permits.</w:t>
      </w:r>
    </w:p>
    <w:p>
      <w:pPr>
        <w:spacing w:after="0" w:line="15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El Dorado Facility is subject to a state National Pollutant Discharge Elimination System discharge water permit issued by the Arkansas Department of Environmental Quality.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primarily the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permit, which we have been advised that the ADEQ is currently processing.</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2012, EDC paid a penalty of $100,000 to settle an Administrative Complaint issued by the EPA, and thereafter handled by the United States Department of Justice, relating to certain alleged violations of EDC’s 2004 NPDES permit for alleged violations through 2010. The DOJ advised that some action would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June 30, 2015.</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the El Dorado Facility is currently operating under a consent administrative order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The final remedy for shallow groundwater contamination, should any remediation be required, will be selected pursuant to a new consent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June 30, 2015, in connection with this matter.</w:t>
      </w:r>
    </w:p>
    <w:p>
      <w:pPr>
        <w:spacing w:after="0" w:line="3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Air Matters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One of our subsidiaries, PCC, within our Chemical Business, has been advised that the Oklahoma Department of Environmental Quality is conducting an investigation into whether the chemical production facility located in Pryor, Oklahoma was in compliance with certain rules and regulations of the ODEQ and whether PCC’s reports of certain air emissions relating primarily to 2011 were intentionally reported incorrectly to the ODEQ. PCC has cooperated with the ODEQ in connection with this investigation. As of June 30, 2015, we are not aware of any recommendations made or to be made by the ODEQ with respect to legal action to be taken or recommended as a result of this ongoing investigation.</w:t>
      </w:r>
    </w:p>
    <w:p>
      <w:pPr>
        <w:spacing w:after="0" w:line="31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May 2013, the EPA conducted a Risk Management inspection of our Cherokee Facility. During October 2014, our Cherokee Facility received a notice of violation from the EPA as a result of the inspection listing eleven alleged violations. Our Cherokee Facility has provided the EPA with written responses. During May 2015, our Cherokee Facility received a settlement letter from the EPA, which terms have been accepted by the Cherokee Facility and awaiting the final Consent Decree from the EPA. Under the proposed settlement agreement, we have agreed to pay a penalty in the form of providing $100,000 to purchase emergency response equipment for the local first responders plus a civil penalty to the EPA of approximately $26,000. As a result, we have accrued for the amount of this settlement, which is included in our accrued liabilities for environmental matters discussed above.</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successor (“Chevron”) of a prior owner of the Hallowell Facility has agreed in writing</w:t>
      </w:r>
      <w:r>
        <w:rPr>
          <w:rFonts w:ascii="Arial" w:cs="Arial" w:eastAsia="Arial" w:hAnsi="Arial"/>
          <w:sz w:val="18"/>
          <w:szCs w:val="18"/>
          <w:b w:val="1"/>
          <w:bCs w:val="1"/>
          <w:color w:val="auto"/>
        </w:rPr>
        <w:t>,</w:t>
      </w:r>
      <w:r>
        <w:rPr>
          <w:rFonts w:ascii="Arial" w:cs="Arial" w:eastAsia="Arial" w:hAnsi="Arial"/>
          <w:sz w:val="18"/>
          <w:szCs w:val="18"/>
          <w:color w:val="auto"/>
        </w:rPr>
        <w:t xml:space="preserve"> within certain limitations, to pay and has been paying one-half of the costs of the investigation and interim measures relating to this matter as approved by the Kansas Department of Environmental Quality, subject to reallocation.</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subsidiary and Chevron are pursuing with the state of Kansas, including the Kansas Department of Health and Environmental, a corrective action strategy relating to the Hallowell Facility. This strategy currently includes a long-term surface and groundwater monitoring to track the natural decline in contamination. During December 2014, the KDHE approved a corrective action study work plan, and the KDHE is to consider and recommend restoration or replacement pursuant to the work plan and/or whether to seek compensation. The KDHE will consider the recommendations in its evaluation. Currently, it is unknown what remediation and damages the KDHE would require, if any, but we believe that certain remediation activities will be required to begin during 2016. The ultimate required remediation, if any, is currently unknown. Our subsidiary and Chevron have retained an environmental consultant to perform the corrective action study work plan as to the appropriate method to remediate the Hallowell Facility, which study is not scheduled to be completed until the end of 2015. We have been advised by our consultant that until the study has been completed there are too many unknowns to have a meaningful and reliable estimate as to the cost of the remediation. We have accrued for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relating to the study during 2015, our estimated accrual will be refined.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Pending, Threatened or Settled Litigation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2013, an explosion and fire occurred at the West Fertilizer Co.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There have been certain responses to discovery in connection with the pending lawsuits that possibly some of the AN products at West Fertilizer at the time of the explosion may have been produced by EDC. In 2014, EDC and LSB were named as defendants, together with other AN manufacturers and brokers that arranged the transport and delivery of AN to West Fertilizer, in the case styled </w:t>
      </w:r>
      <w:r>
        <w:rPr>
          <w:rFonts w:ascii="Arial" w:cs="Arial" w:eastAsia="Arial" w:hAnsi="Arial"/>
          <w:sz w:val="16"/>
          <w:szCs w:val="16"/>
          <w:u w:val="single" w:color="auto"/>
          <w:color w:val="auto"/>
        </w:rPr>
        <w:t>City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West, 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marketing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which carrier is handling the defense for LSB and EDC concerning this matter. Our product liability insurance policies have aggregate limits of general liability totaling $100 million, with a self-insured retention of $250,000. Our legal counsel in this matter has represented to us that while it is extremely early in this litigation, they believe our chances of ultimately confirming the merits of EDC’s legal position are probable. However, if there is an adverse outcome in this matter as to EDC, we are unable to estimate a possible range of loss at this time. As of June 30, 2015, no liability has been established in connection with this matter, but we have incurred professional fees up to our self-insured retention amount.</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May 2015, our subsidiary, EDC, was sued in the matter styled </w:t>
      </w:r>
      <w:r>
        <w:rPr>
          <w:rFonts w:ascii="Arial" w:cs="Arial" w:eastAsia="Arial" w:hAnsi="Arial"/>
          <w:sz w:val="17"/>
          <w:szCs w:val="17"/>
          <w:u w:val="single" w:color="auto"/>
          <w:color w:val="auto"/>
        </w:rPr>
        <w:t>BAE Systems Ordinance Systems, Inc.</w:t>
      </w:r>
      <w:r>
        <w:rPr>
          <w:rFonts w:ascii="Arial" w:cs="Arial" w:eastAsia="Arial" w:hAnsi="Arial"/>
          <w:sz w:val="17"/>
          <w:szCs w:val="17"/>
          <w:color w:val="auto"/>
        </w:rPr>
        <w:t xml:space="preserve"> (“BAE”), et al. vs. El Dorado Chemical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caused by a fire and explosion at EDC’s nitric acid plant, which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 in the supply agreement excuses EDC’s performance under the supply agreement. BAE pre-litigation demand indicated a claim in excess of $30 million. EDC will vigorously defend this matter. The cost (or range of costs), if any, EDC would incur relating to this matter cannot currently be reasonably estimated. Therefore, no liability has been established at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-725805</wp:posOffset>
            </wp:positionV>
            <wp:extent cx="1377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or $500,000 per claim, depending on the policy period. For any claims or legal actions that we have assessed the likelihood of our liability as probable, we have recognized our estimated liability up to the applicable deductible. At June 30, 2015, our accrued general liability insurance claims were $694,000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a portion of the proceeds given to Bayer. The assets for carbon credits are accounted for on a fair value basis as discussed below. Also, the contractual obligations to give the applicable portion of the related proceeds to Bayer are accounted for on a fair value basis (as discussed below) unless we enter into a firm sales commitment to sell the carbon credits.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valuations of these assets and liabilities were determined based on quoted market prices or, in instances where market quotes are not available, other valuation techniques or models used to estimate fair values.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June 30, 2015, the valuations of contracts classified as Level 2 related to certain futures/forward natural gas contracts, a foreign exchange contract and an interest rate swap contract.</w:t>
      </w:r>
    </w:p>
    <w:p>
      <w:pPr>
        <w:spacing w:after="0" w:line="187"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For the natural gas contracts, these contracts are valued using the prices pursuant to the terms of the contracts and using market information for futures/forward natural gas prices. At June 30, 2015, the valuation inputs included the contractual weighted-average cost of $3.09 per MMBtu and the estimated weighted-average market value of $2.92 per MMBtu.</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foreign exchange contracts, these contracts are valued using the foreign currency exchange rates pursuant to the terms of the contract and using market information for foreign currency exchange rates. The valuation inputs included the total contractual exchange rate of 1.14 and the total estimated market exchange rate of 1.11 (U.S. Dollar/Euro).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June 30, 2015, the valuation inputs included the contractual weighted-average pay rate of 3.23% and the estimated market weighted-average receive rate of 0.41%. No valuation input adjustments were considered necessary relating to nonperformance risk for the contracts as discussed above.</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June 30, 2015 and December 31, 2014, the valuations ($2.35 and $2.50 per carbon credit, respectively) of the carbon credits and the contractual obligations associated with these carbon credits are classified as Level 3 and are based on the most recent sales agreement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Raw materials for use in our manufacturing processes include copper used by our Climate Control Business and natural gas and platinum used by our Chemical Business. As part of our raw material price risk management, we periodically enter into futures/forward contracts for these materials, which contracts may be required to be accounted for on a mark-to-market basis. At June 30, 2015, our futures/forward copper contracts included 1,950,000 pounds of copper and extend through December 2015 at a weighted-average cost of $2.77 per pound. At December 31, 2014, our futures/forward copper contracts included 1,750,000 pounds of copper, extended through May 2015 at a weighted-average cost of $2.98 per pound. At June 30, 2015, our futures/forward natural gas contracts (accounted for on a mark-to-market basis) included approximately 4,655,000 MMBtu of natural gas and extend through June 2016 (includes contractual costs indexed to future NYMEX prices) at a weighted-average cost of $3.09 per MMBtu. At December 31, 2014, our futures/forward natural gas contracts included 8,279,000 MMBtu of natural gas and extended through June 2016 at a weighted-average cost of $3.24 per MMBtu. At June 30, 2015, we did not have any futures/forward platinum contracts. At December 31, 2014, our futures/forward platinum contracts included 3,000 ounces of platinum and extended through April 2015 at a weighted-average cost of $1,224.26 per ounce. The cash flows relating to these contracts are included in cash flows from continuing operating activities.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One of our business operations purchases industrial machinery and related components from vendors outside of the United States. As part of our foreign currency risk management, we periodically enter into foreign exchange contracts, which set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U.S. Dollar/Euro exchange rates. At June 30, 2015, our foreign exchange contract was for the receipt of approximately 280,000 Euros through September 2015 at the contractual exchange rate of 1.14 (U.S. Dollar/Euro). At December 31, 2014, our foreign exchange contract was for the receipt of approximately 819,000 Euros through May 2015 at the contractual exchange rate of 1.27 (U.S. Dollar/Euro). These contracts are free-standing derivatives and are accounted for on a mark-to-market basis. The cash flows relating to these contracts are included in cash flows from continuing operating activities.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six months ended June 30, 2015 and 2014, no cash flows occurred relating to the purchase or sale of interest rate contracts. The cash flows associated with the interest rate swap payments are included in cash flows from continuing operating activities.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June 30, 2015 and December 31, 2014, we had approximately 1,727,000 and 1,112,000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2015 and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center"/>
              <w:ind w:left="537"/>
              <w:spacing w:after="0"/>
              <w:rPr>
                <w:sz w:val="20"/>
                <w:szCs w:val="20"/>
                <w:color w:val="auto"/>
              </w:rPr>
            </w:pPr>
            <w:r>
              <w:rPr>
                <w:rFonts w:ascii="Arial" w:cs="Arial" w:eastAsia="Arial" w:hAnsi="Arial"/>
                <w:sz w:val="14"/>
                <w:szCs w:val="14"/>
                <w:color w:val="auto"/>
                <w:w w:val="90"/>
              </w:rPr>
              <w:t>Fair Value Measurements at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June 30, 2015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Quoted Prices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in Active</w:t>
            </w:r>
          </w:p>
        </w:tc>
        <w:tc>
          <w:tcPr>
            <w:tcW w:w="3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Fair</w:t>
            </w:r>
          </w:p>
        </w:tc>
        <w:tc>
          <w:tcPr>
            <w:tcW w:w="22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7"/>
              </w:rPr>
              <w:t>Markets for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5"/>
              </w:rPr>
              <w:t>Significant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Identical</w:t>
            </w:r>
          </w:p>
        </w:tc>
        <w:tc>
          <w:tcPr>
            <w:tcW w:w="3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90"/>
              </w:rPr>
              <w:t>Unobservable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at</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70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Assets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72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Inputs</w:t>
            </w:r>
          </w:p>
        </w:tc>
        <w:tc>
          <w:tcPr>
            <w:tcW w:w="4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16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32"/>
              <w:spacing w:after="0"/>
              <w:rPr>
                <w:sz w:val="20"/>
                <w:szCs w:val="20"/>
                <w:color w:val="auto"/>
              </w:rPr>
            </w:pPr>
            <w:r>
              <w:rPr>
                <w:rFonts w:ascii="Arial" w:cs="Arial" w:eastAsia="Arial" w:hAnsi="Arial"/>
                <w:sz w:val="14"/>
                <w:szCs w:val="14"/>
                <w:color w:val="auto"/>
                <w:w w:val="96"/>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(Level 1)</w:t>
            </w:r>
          </w:p>
        </w:tc>
        <w:tc>
          <w:tcPr>
            <w:tcW w:w="36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Commodities contracts</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Carbon credits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4,059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60" w:type="dxa"/>
            <w:vAlign w:val="bottom"/>
          </w:tcPr>
          <w:p>
            <w:pPr>
              <w:spacing w:after="0"/>
              <w:rPr>
                <w:sz w:val="5"/>
                <w:szCs w:val="5"/>
                <w:color w:val="auto"/>
              </w:rPr>
            </w:pPr>
          </w:p>
        </w:tc>
        <w:tc>
          <w:tcPr>
            <w:tcW w:w="4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 Current and noncurrent accrued and 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Commodities contracts</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290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Contractual obligations - carbon credits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4,049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Interest rate contracts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5,541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290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4,049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3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Assets</w:t>
            </w:r>
          </w:p>
        </w:tc>
        <w:tc>
          <w:tcPr>
            <w:tcW w:w="320" w:type="dxa"/>
            <w:vAlign w:val="bottom"/>
          </w:tcPr>
          <w:p>
            <w:pPr>
              <w:spacing w:after="0"/>
              <w:rPr>
                <w:sz w:val="14"/>
                <w:szCs w:val="14"/>
                <w:color w:val="auto"/>
              </w:rPr>
            </w:pPr>
          </w:p>
        </w:tc>
        <w:tc>
          <w:tcPr>
            <w:tcW w:w="1060" w:type="dxa"/>
            <w:vAlign w:val="bottom"/>
            <w:gridSpan w:val="6"/>
          </w:tcPr>
          <w:p>
            <w:pPr>
              <w:jc w:val="center"/>
              <w:ind w:right="360"/>
              <w:spacing w:after="0"/>
              <w:rPr>
                <w:sz w:val="20"/>
                <w:szCs w:val="20"/>
                <w:color w:val="auto"/>
              </w:rPr>
            </w:pPr>
            <w:r>
              <w:rPr>
                <w:rFonts w:ascii="Arial" w:cs="Arial" w:eastAsia="Arial" w:hAnsi="Arial"/>
                <w:sz w:val="14"/>
                <w:szCs w:val="14"/>
                <w:color w:val="auto"/>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5"/>
          </w:tcPr>
          <w:p>
            <w:pPr>
              <w:jc w:val="center"/>
              <w:ind w:right="40"/>
              <w:spacing w:after="0"/>
              <w:rPr>
                <w:sz w:val="20"/>
                <w:szCs w:val="20"/>
                <w:color w:val="auto"/>
              </w:rPr>
            </w:pPr>
            <w:r>
              <w:rPr>
                <w:rFonts w:ascii="Arial" w:cs="Arial" w:eastAsia="Arial" w:hAnsi="Arial"/>
                <w:sz w:val="14"/>
                <w:szCs w:val="14"/>
                <w:color w:val="auto"/>
                <w:w w:val="90"/>
              </w:rPr>
              <w:t>Assets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9"/>
          </w:tcPr>
          <w:p>
            <w:pPr>
              <w:jc w:val="center"/>
              <w:ind w:right="16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5"/>
          </w:tcPr>
          <w:p>
            <w:pPr>
              <w:jc w:val="center"/>
              <w:spacing w:after="0" w:line="123" w:lineRule="exact"/>
              <w:rPr>
                <w:sz w:val="20"/>
                <w:szCs w:val="20"/>
                <w:color w:val="auto"/>
              </w:rPr>
            </w:pPr>
            <w:r>
              <w:rPr>
                <w:rFonts w:ascii="Arial" w:cs="Arial" w:eastAsia="Arial" w:hAnsi="Arial"/>
                <w:sz w:val="14"/>
                <w:szCs w:val="14"/>
                <w:color w:val="auto"/>
                <w:w w:val="95"/>
              </w:rPr>
              <w:t>Six Months Ended</w:t>
            </w:r>
          </w:p>
        </w:tc>
        <w:tc>
          <w:tcPr>
            <w:tcW w:w="220" w:type="dxa"/>
            <w:vAlign w:val="bottom"/>
          </w:tcPr>
          <w:p>
            <w:pPr>
              <w:spacing w:after="0"/>
              <w:rPr>
                <w:sz w:val="10"/>
                <w:szCs w:val="10"/>
                <w:color w:val="auto"/>
              </w:rPr>
            </w:pPr>
          </w:p>
        </w:tc>
        <w:tc>
          <w:tcPr>
            <w:tcW w:w="1360" w:type="dxa"/>
            <w:vAlign w:val="bottom"/>
            <w:tcBorders>
              <w:top w:val="single" w:sz="8" w:color="auto"/>
            </w:tcBorders>
            <w:gridSpan w:val="6"/>
          </w:tcPr>
          <w:p>
            <w:pPr>
              <w:jc w:val="center"/>
              <w:spacing w:after="0" w:line="123" w:lineRule="exact"/>
              <w:rPr>
                <w:sz w:val="20"/>
                <w:szCs w:val="20"/>
                <w:color w:val="auto"/>
              </w:rPr>
            </w:pPr>
            <w:r>
              <w:rPr>
                <w:rFonts w:ascii="Arial" w:cs="Arial" w:eastAsia="Arial" w:hAnsi="Arial"/>
                <w:sz w:val="14"/>
                <w:szCs w:val="14"/>
                <w:color w:val="auto"/>
                <w:w w:val="95"/>
              </w:rPr>
              <w:t>Six Months Ended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gridSpan w:val="7"/>
          </w:tcPr>
          <w:p>
            <w:pPr>
              <w:jc w:val="center"/>
              <w:spacing w:after="0" w:line="123" w:lineRule="exact"/>
              <w:rPr>
                <w:sz w:val="20"/>
                <w:szCs w:val="20"/>
                <w:color w:val="auto"/>
              </w:rPr>
            </w:pPr>
            <w:r>
              <w:rPr>
                <w:rFonts w:ascii="Arial" w:cs="Arial" w:eastAsia="Arial" w:hAnsi="Arial"/>
                <w:sz w:val="14"/>
                <w:szCs w:val="14"/>
                <w:color w:val="auto"/>
                <w:w w:val="93"/>
              </w:rPr>
              <w:t>Three Months Ended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8"/>
          </w:tcPr>
          <w:p>
            <w:pPr>
              <w:jc w:val="center"/>
              <w:spacing w:after="0" w:line="123" w:lineRule="exact"/>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6"/>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c>
          <w:tcPr>
            <w:tcW w:w="320" w:type="dxa"/>
            <w:vAlign w:val="bottom"/>
          </w:tcPr>
          <w:p>
            <w:pPr>
              <w:spacing w:after="0"/>
              <w:rPr>
                <w:sz w:val="12"/>
                <w:szCs w:val="12"/>
                <w:color w:val="auto"/>
              </w:rPr>
            </w:pPr>
          </w:p>
        </w:tc>
        <w:tc>
          <w:tcPr>
            <w:tcW w:w="1060" w:type="dxa"/>
            <w:vAlign w:val="bottom"/>
            <w:gridSpan w:val="6"/>
          </w:tcPr>
          <w:p>
            <w:pPr>
              <w:jc w:val="center"/>
              <w:ind w:right="340"/>
              <w:spacing w:after="0" w:line="149" w:lineRule="exact"/>
              <w:rPr>
                <w:sz w:val="20"/>
                <w:szCs w:val="20"/>
                <w:color w:val="auto"/>
              </w:rPr>
            </w:pPr>
            <w:r>
              <w:rPr>
                <w:rFonts w:ascii="Arial" w:cs="Arial" w:eastAsia="Arial" w:hAnsi="Arial"/>
                <w:sz w:val="14"/>
                <w:szCs w:val="14"/>
                <w:color w:val="auto"/>
                <w:w w:val="89"/>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gridSpan w:val="5"/>
          </w:tcPr>
          <w:p>
            <w:pPr>
              <w:jc w:val="center"/>
              <w:ind w:right="60"/>
              <w:spacing w:after="0" w:line="149" w:lineRule="exact"/>
              <w:rPr>
                <w:sz w:val="20"/>
                <w:szCs w:val="20"/>
                <w:color w:val="auto"/>
              </w:rPr>
            </w:pPr>
            <w:r>
              <w:rPr>
                <w:rFonts w:ascii="Arial" w:cs="Arial" w:eastAsia="Arial" w:hAnsi="Arial"/>
                <w:sz w:val="14"/>
                <w:szCs w:val="14"/>
                <w:color w:val="auto"/>
                <w:w w:val="89"/>
              </w:rPr>
              <w:t>June 30,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9"/>
          </w:tcPr>
          <w:p>
            <w:pPr>
              <w:jc w:val="center"/>
              <w:ind w:right="140"/>
              <w:spacing w:after="0" w:line="149"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gridSpan w:val="2"/>
          </w:tcPr>
          <w:p>
            <w:pPr>
              <w:jc w:val="right"/>
              <w:ind w:right="17"/>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4"/>
                <w:szCs w:val="14"/>
                <w:color w:val="auto"/>
              </w:rPr>
            </w:pPr>
          </w:p>
        </w:tc>
        <w:tc>
          <w:tcPr>
            <w:tcW w:w="720" w:type="dxa"/>
            <w:vAlign w:val="bottom"/>
            <w:gridSpan w:val="3"/>
          </w:tcPr>
          <w:p>
            <w:pPr>
              <w:jc w:val="right"/>
              <w:ind w:right="55"/>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ind w:left="240"/>
              <w:spacing w:after="0"/>
              <w:rPr>
                <w:sz w:val="20"/>
                <w:szCs w:val="20"/>
                <w:color w:val="auto"/>
              </w:rPr>
            </w:pPr>
            <w:r>
              <w:rPr>
                <w:rFonts w:ascii="Arial" w:cs="Arial" w:eastAsia="Arial" w:hAnsi="Arial"/>
                <w:sz w:val="14"/>
                <w:szCs w:val="14"/>
                <w:color w:val="auto"/>
              </w:rPr>
              <w:t>2015</w:t>
            </w:r>
          </w:p>
        </w:tc>
        <w:tc>
          <w:tcPr>
            <w:tcW w:w="140" w:type="dxa"/>
            <w:vAlign w:val="bottom"/>
          </w:tcPr>
          <w:p>
            <w:pPr>
              <w:spacing w:after="0"/>
              <w:rPr>
                <w:sz w:val="14"/>
                <w:szCs w:val="14"/>
                <w:color w:val="auto"/>
              </w:rPr>
            </w:pPr>
          </w:p>
        </w:tc>
        <w:tc>
          <w:tcPr>
            <w:tcW w:w="620" w:type="dxa"/>
            <w:vAlign w:val="bottom"/>
            <w:gridSpan w:val="4"/>
          </w:tcPr>
          <w:p>
            <w:pPr>
              <w:ind w:left="200"/>
              <w:spacing w:after="0"/>
              <w:rPr>
                <w:sz w:val="20"/>
                <w:szCs w:val="20"/>
                <w:color w:val="auto"/>
              </w:rPr>
            </w:pPr>
            <w:r>
              <w:rPr>
                <w:rFonts w:ascii="Arial" w:cs="Arial" w:eastAsia="Arial" w:hAnsi="Arial"/>
                <w:sz w:val="14"/>
                <w:szCs w:val="14"/>
                <w:color w:val="auto"/>
              </w:rPr>
              <w:t>2014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5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7"/>
          </w:tcPr>
          <w:p>
            <w:pPr>
              <w:ind w:left="12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$2,779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$ 1,284</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$(2,779)</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$ 2,716</w:t>
            </w:r>
          </w:p>
        </w:tc>
        <w:tc>
          <w:tcPr>
            <w:tcW w:w="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6"/>
              </w:rPr>
              <w:t>$ 1,673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1"/>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9"/>
              </w:rPr>
              <w:t>Total net realized and unrealized gains (losses) included in earnings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1,925</w:t>
            </w: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(1,334)</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(1,634)</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8"/>
              </w:rPr>
              <w:t>(1,364)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(1,536)</w:t>
            </w:r>
          </w:p>
        </w:tc>
        <w:tc>
          <w:tcPr>
            <w:tcW w:w="6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1,245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4,049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$ 1,673</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(4,049)</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4,049</w:t>
            </w:r>
          </w:p>
        </w:tc>
        <w:tc>
          <w:tcPr>
            <w:tcW w:w="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86"/>
              </w:rPr>
              <w:t>$ 1,673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1"/>
              </w:rPr>
              <w:t>(1,673)</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6"/>
              </w:rPr>
              <w:t>Total net gains (losses) for the period included in earnings attributed to</w:t>
            </w: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w w:val="96"/>
              </w:rPr>
              <w:t>the change in unrealized gains or losses on assets and liabilities still</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held at the reporting date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1,334</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$ 1,004</w:t>
            </w: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(1,334)</w:t>
            </w:r>
          </w:p>
        </w:tc>
        <w:tc>
          <w:tcPr>
            <w:tcW w:w="8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w:t>
            </w:r>
          </w:p>
        </w:tc>
        <w:tc>
          <w:tcPr>
            <w:tcW w:w="7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1,334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920" w:type="dxa"/>
            <w:vAlign w:val="bottom"/>
            <w:gridSpan w:val="10"/>
          </w:tcPr>
          <w:p>
            <w:pPr>
              <w:spacing w:after="0"/>
              <w:rPr>
                <w:sz w:val="20"/>
                <w:szCs w:val="20"/>
                <w:color w:val="auto"/>
              </w:rPr>
            </w:pPr>
            <w:r>
              <w:rPr>
                <w:rFonts w:ascii="Arial" w:cs="Arial" w:eastAsia="Arial" w:hAnsi="Arial"/>
                <w:sz w:val="18"/>
                <w:szCs w:val="18"/>
                <w:color w:val="auto"/>
                <w:w w:val="91"/>
              </w:rPr>
              <w:t>Net gains (losses) included in earnings and the income statement classifications are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10"/>
          </w:tcPr>
          <w:p>
            <w:pPr>
              <w:jc w:val="right"/>
              <w:ind w:right="540"/>
              <w:spacing w:after="0"/>
              <w:rPr>
                <w:sz w:val="20"/>
                <w:szCs w:val="20"/>
                <w:color w:val="auto"/>
              </w:rPr>
            </w:pPr>
            <w:r>
              <w:rPr>
                <w:rFonts w:ascii="Arial" w:cs="Arial" w:eastAsia="Arial" w:hAnsi="Arial"/>
                <w:sz w:val="14"/>
                <w:szCs w:val="14"/>
                <w:color w:val="auto"/>
                <w:w w:val="96"/>
              </w:rPr>
              <w:t>Six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9"/>
          </w:tcPr>
          <w:p>
            <w:pPr>
              <w:ind w:left="6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w w:val="85"/>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6"/>
          </w:tcPr>
          <w:p>
            <w:pPr>
              <w:jc w:val="right"/>
              <w:ind w:right="170"/>
              <w:spacing w:after="0" w:line="149" w:lineRule="exact"/>
              <w:rPr>
                <w:sz w:val="20"/>
                <w:szCs w:val="20"/>
                <w:color w:val="auto"/>
              </w:rPr>
            </w:pPr>
            <w:r>
              <w:rPr>
                <w:rFonts w:ascii="Arial" w:cs="Arial" w:eastAsia="Arial" w:hAnsi="Arial"/>
                <w:sz w:val="14"/>
                <w:szCs w:val="14"/>
                <w:color w:val="auto"/>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54"/>
              <w:spacing w:after="0"/>
              <w:rPr>
                <w:sz w:val="20"/>
                <w:szCs w:val="20"/>
                <w:color w:val="auto"/>
              </w:rPr>
            </w:pPr>
            <w:r>
              <w:rPr>
                <w:rFonts w:ascii="Arial" w:cs="Arial" w:eastAsia="Arial" w:hAnsi="Arial"/>
                <w:sz w:val="14"/>
                <w:szCs w:val="14"/>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9"/>
          </w:tcPr>
          <w:p>
            <w:pPr>
              <w:ind w:left="14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Cost of sales – Undesignated commodities contracts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6"/>
          </w:tcPr>
          <w:p>
            <w:pPr>
              <w:jc w:val="right"/>
              <w:ind w:right="315"/>
              <w:spacing w:after="0"/>
              <w:rPr>
                <w:sz w:val="20"/>
                <w:szCs w:val="20"/>
                <w:color w:val="auto"/>
              </w:rPr>
            </w:pPr>
            <w:r>
              <w:rPr>
                <w:rFonts w:ascii="Arial" w:cs="Arial" w:eastAsia="Arial" w:hAnsi="Arial"/>
                <w:sz w:val="18"/>
                <w:szCs w:val="18"/>
                <w:color w:val="auto"/>
              </w:rPr>
              <w:t>$(2,048)</w:t>
            </w:r>
          </w:p>
        </w:tc>
        <w:tc>
          <w:tcPr>
            <w:tcW w:w="20" w:type="dxa"/>
            <w:vAlign w:val="bottom"/>
          </w:tcPr>
          <w:p>
            <w:pPr>
              <w:spacing w:after="0"/>
              <w:rPr>
                <w:sz w:val="18"/>
                <w:szCs w:val="18"/>
                <w:color w:val="auto"/>
              </w:rPr>
            </w:pPr>
          </w:p>
        </w:tc>
        <w:tc>
          <w:tcPr>
            <w:tcW w:w="700" w:type="dxa"/>
            <w:vAlign w:val="bottom"/>
            <w:gridSpan w:val="4"/>
          </w:tcPr>
          <w:p>
            <w:pPr>
              <w:jc w:val="right"/>
              <w:ind w:right="68"/>
              <w:spacing w:after="0"/>
              <w:rPr>
                <w:sz w:val="20"/>
                <w:szCs w:val="20"/>
                <w:color w:val="auto"/>
              </w:rPr>
            </w:pPr>
            <w:r>
              <w:rPr>
                <w:rFonts w:ascii="Arial" w:cs="Arial" w:eastAsia="Arial" w:hAnsi="Arial"/>
                <w:sz w:val="18"/>
                <w:szCs w:val="18"/>
                <w:color w:val="auto"/>
                <w:w w:val="89"/>
              </w:rPr>
              <w:t>$ 2,111</w:t>
            </w:r>
          </w:p>
        </w:tc>
        <w:tc>
          <w:tcPr>
            <w:tcW w:w="140" w:type="dxa"/>
            <w:vAlign w:val="bottom"/>
          </w:tcPr>
          <w:p>
            <w:pPr>
              <w:spacing w:after="0"/>
              <w:rPr>
                <w:sz w:val="18"/>
                <w:szCs w:val="18"/>
                <w:color w:val="auto"/>
              </w:rPr>
            </w:pP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960" w:type="dxa"/>
            <w:vAlign w:val="bottom"/>
            <w:gridSpan w:val="7"/>
          </w:tcPr>
          <w:p>
            <w:pPr>
              <w:jc w:val="right"/>
              <w:ind w:right="40"/>
              <w:spacing w:after="0"/>
              <w:rPr>
                <w:sz w:val="20"/>
                <w:szCs w:val="20"/>
                <w:color w:val="auto"/>
              </w:rPr>
            </w:pPr>
            <w:r>
              <w:rPr>
                <w:rFonts w:ascii="Arial" w:cs="Arial" w:eastAsia="Arial" w:hAnsi="Arial"/>
                <w:sz w:val="18"/>
                <w:szCs w:val="18"/>
                <w:color w:val="auto"/>
              </w:rPr>
              <w:t>$ (105)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Undesignated foreign exchange contracts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15"/>
              <w:spacing w:after="0"/>
              <w:rPr>
                <w:sz w:val="20"/>
                <w:szCs w:val="20"/>
                <w:color w:val="auto"/>
              </w:rPr>
            </w:pPr>
            <w:r>
              <w:rPr>
                <w:rFonts w:ascii="Arial" w:cs="Arial" w:eastAsia="Arial" w:hAnsi="Arial"/>
                <w:sz w:val="18"/>
                <w:szCs w:val="18"/>
                <w:color w:val="auto"/>
                <w:w w:val="93"/>
              </w:rPr>
              <w:t>(64)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Other income – Carbon credits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6"/>
          </w:tcPr>
          <w:p>
            <w:pPr>
              <w:jc w:val="right"/>
              <w:ind w:right="375"/>
              <w:spacing w:after="0"/>
              <w:rPr>
                <w:sz w:val="20"/>
                <w:szCs w:val="20"/>
                <w:color w:val="auto"/>
              </w:rPr>
            </w:pPr>
            <w:r>
              <w:rPr>
                <w:rFonts w:ascii="Arial" w:cs="Arial" w:eastAsia="Arial" w:hAnsi="Arial"/>
                <w:sz w:val="18"/>
                <w:szCs w:val="18"/>
                <w:color w:val="auto"/>
              </w:rPr>
              <w:t>1,741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68"/>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1,771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9"/>
              </w:rPr>
              <w:t>Other expense – Contractual obligations relating to carbon credits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15"/>
              <w:spacing w:after="0"/>
              <w:rPr>
                <w:sz w:val="20"/>
                <w:szCs w:val="20"/>
                <w:color w:val="auto"/>
              </w:rPr>
            </w:pPr>
            <w:r>
              <w:rPr>
                <w:rFonts w:ascii="Arial" w:cs="Arial" w:eastAsia="Arial" w:hAnsi="Arial"/>
                <w:sz w:val="18"/>
                <w:szCs w:val="18"/>
                <w:color w:val="auto"/>
              </w:rPr>
              <w:t>(1,741)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4"/>
              </w:rPr>
              <w:t>(1,634)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(1,771)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Interest expense – Undesignated interest rate contracts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15"/>
              <w:spacing w:after="0"/>
              <w:rPr>
                <w:sz w:val="20"/>
                <w:szCs w:val="20"/>
                <w:color w:val="auto"/>
              </w:rPr>
            </w:pPr>
            <w:r>
              <w:rPr>
                <w:rFonts w:ascii="Arial" w:cs="Arial" w:eastAsia="Arial" w:hAnsi="Arial"/>
                <w:sz w:val="18"/>
                <w:szCs w:val="18"/>
                <w:color w:val="auto"/>
                <w:w w:val="93"/>
              </w:rPr>
              <w:t>(45)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1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(2,157)</w:t>
            </w: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w w:val="89"/>
              </w:rPr>
              <w:t>$ 2,345</w:t>
            </w: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 (142)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June 30, 2015 and December 31, 2014, we did not have any financial instruments with fair values significantly different from their carrying amounts, except for the Senior Secured Notes. At June 30, 2015, the estimated fair value of the Senior Secured Notes exceeded the carrying value by approximately $30 million based on a quoted price of 107.0. At December 31, 2014, the estimated fair value of the Senior Secured Notes exceeded the carrying by approximately $17 million based on a quoted price of 104.0.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7 – Asset Retirement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(benefit) for income taxes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20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3"/>
          </w:tcPr>
          <w:p>
            <w:pPr>
              <w:jc w:val="right"/>
              <w:ind w:right="740"/>
              <w:spacing w:after="0" w:line="149" w:lineRule="exact"/>
              <w:rPr>
                <w:sz w:val="20"/>
                <w:szCs w:val="20"/>
                <w:color w:val="auto"/>
              </w:rPr>
            </w:pPr>
            <w:r>
              <w:rPr>
                <w:rFonts w:ascii="Arial" w:cs="Arial" w:eastAsia="Arial" w:hAnsi="Arial"/>
                <w:sz w:val="14"/>
                <w:szCs w:val="14"/>
                <w:color w:val="auto"/>
                <w:w w:val="85"/>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3"/>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2015</w:t>
            </w:r>
          </w:p>
        </w:tc>
        <w:tc>
          <w:tcPr>
            <w:tcW w:w="9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6"/>
          </w:tcPr>
          <w:p>
            <w:pPr>
              <w:jc w:val="right"/>
              <w:ind w:right="388"/>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 (1,189)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85"/>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671</w:t>
            </w:r>
          </w:p>
        </w:tc>
        <w:tc>
          <w:tcPr>
            <w:tcW w:w="4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(334)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3,121</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13,393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3,469</w:t>
            </w:r>
          </w:p>
        </w:tc>
        <w:tc>
          <w:tcPr>
            <w:tcW w:w="4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14,648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293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Provisions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4,140</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six and three months ended June 30, 2015 and 2014, the current provisions (benefit) for federal income taxes shown above includes regular federal income tax provision after the consideration of permanent and temporary differences between income for GAAP and tax purposes. For the six and three months ended June 30, 2015 and 2014, the current provisions (benefit) for state income taxes shown above includes regular state income tax and provisions for uncertain state income tax positions.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annual estimated effective rate for 2015 includes the impact of permanent tax differences, such as energy tax credits and other permanent items.</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tax provision for the six months ended June 30, 2015 and 2014 was $4.1 million (37% of pre-tax income) and $14.7 million (39% of pre-tax income),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2011-2013 years remain open for all purposes of examination by the U.S. Internal Revenue Service and other major tax jurisdictions.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Chemical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239,582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250,977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112,768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123,100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376,517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380,187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201,662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Gross profit: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40,043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37,766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77,241</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97,591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34,882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Chemical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6,840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corporate expenses (4)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(15,609)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49,625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 business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Provisions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14,701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 – Climate Control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7,099</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22,777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2014, we recognized business interruption and property insurance recoveries totaling $28.0 million, of which approximately $22.9 million was recognized as a reduction to cost of sales.</w:t>
      </w:r>
    </w:p>
    <w:p>
      <w:pPr>
        <w:ind w:left="460" w:right="10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chief operating decision makers use operating income by business segment for purposes of making decisions that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 (continued)</w:t>
      </w:r>
    </w:p>
    <w:p>
      <w:pPr>
        <w:spacing w:after="0" w:line="25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corporate expenses consist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color w:val="auto"/>
              </w:rPr>
              <w:t>Six Months Ended</w:t>
            </w:r>
          </w:p>
        </w:tc>
        <w:tc>
          <w:tcPr>
            <w:tcW w:w="1640" w:type="dxa"/>
            <w:vAlign w:val="bottom"/>
            <w:gridSpan w:val="4"/>
          </w:tcPr>
          <w:p>
            <w:pPr>
              <w:jc w:val="right"/>
              <w:ind w:right="2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4"/>
          </w:tcPr>
          <w:p>
            <w:pPr>
              <w:jc w:val="right"/>
              <w:ind w:right="64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2014</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right"/>
              <w:ind w:right="82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Personnel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(6,690)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(4,344)</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$(4,088)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expenses relating to shareholders (A)</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(2,148)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(1,287)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2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(15,626)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(12,672)</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(8,904)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(15,609)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(12,622)</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(8,862)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9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These fees and expenses include costs associated with evaluating and analyzing proposals received from certain activist shareholders and dealing, negotiating and settling with those shareholders in order to avoid proxy contests.</w:t>
      </w:r>
    </w:p>
    <w:p>
      <w:pPr>
        <w:spacing w:after="0" w:line="75" w:lineRule="exact"/>
        <w:rPr>
          <w:rFonts w:ascii="Arial" w:cs="Arial" w:eastAsia="Arial" w:hAnsi="Arial"/>
          <w:sz w:val="18"/>
          <w:szCs w:val="18"/>
          <w:color w:val="auto"/>
        </w:rPr>
      </w:pPr>
    </w:p>
    <w:p>
      <w:pPr>
        <w:ind w:left="460" w:right="40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six and three months ended June 30, 2015, interest expense is net of capitalized interest of $12.6 million and $7.0 million, respectively. During the six and three months ended June 30, 2014, interest expense is net of capitalized interest of $5.3 million and $3.0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total assets by business segment is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color w:val="auto"/>
                <w:w w:val="96"/>
              </w:rPr>
              <w:t>June 30,</w:t>
            </w:r>
          </w:p>
        </w:tc>
        <w:tc>
          <w:tcPr>
            <w:tcW w:w="4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right"/>
              <w:ind w:right="5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980,064</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136,767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54,939</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1,178,179</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first quarter of 2015 and 2014, we paid dividends totaling $300,000, respectively, on our Series B Preferred and our Series D Preferred. The Series B Preferred and Series D Preferred are non-redeemable preferred stocks issued in 1986 and 2001, respectively, of which all outstanding shares are owned by the Golsen Group.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47" w:lineRule="exact"/>
        <w:rPr>
          <w:sz w:val="20"/>
          <w:szCs w:val="20"/>
          <w:color w:val="auto"/>
        </w:rPr>
      </w:pPr>
    </w:p>
    <w:p>
      <w:pPr>
        <w:jc w:val="center"/>
        <w:ind w:left="6840"/>
        <w:spacing w:after="0"/>
        <w:rPr>
          <w:sz w:val="20"/>
          <w:szCs w:val="20"/>
          <w:color w:val="auto"/>
        </w:rPr>
      </w:pPr>
      <w:r>
        <w:rPr>
          <w:rFonts w:ascii="Arial" w:cs="Arial" w:eastAsia="Arial" w:hAnsi="Arial"/>
          <w:sz w:val="14"/>
          <w:szCs w:val="14"/>
          <w:color w:val="auto"/>
        </w:rPr>
        <w:t>Six Months Ended</w:t>
      </w:r>
    </w:p>
    <w:p>
      <w:pPr>
        <w:jc w:val="center"/>
        <w:ind w:left="6840"/>
        <w:spacing w:after="0"/>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56"/>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7"/>
              <w:spacing w:after="0" w:line="157" w:lineRule="exact"/>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4"/>
              <w:spacing w:after="0" w:line="15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3"/>
                <w:szCs w:val="13"/>
                <w:color w:val="auto"/>
              </w:rPr>
            </w:pPr>
          </w:p>
        </w:tc>
      </w:tr>
      <w:tr>
        <w:trPr>
          <w:trHeight w:val="142"/>
        </w:trPr>
        <w:tc>
          <w:tcPr>
            <w:tcW w:w="6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ind w:right="294"/>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refunds for income taxes, net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4"/>
              </w:rPr>
              <w:t>(3,878)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(5,564)</w:t>
            </w: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6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Accounts payable, accrued liabilities and long-term debt associated with additions of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property, plant and equipment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87"/>
              </w:rPr>
              <w:t>64,640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24,841</w:t>
            </w:r>
          </w:p>
        </w:tc>
        <w:tc>
          <w:tcPr>
            <w:tcW w:w="120" w:type="dxa"/>
            <w:vAlign w:val="bottom"/>
            <w:shd w:val="clear" w:color="auto" w:fill="CCEEFF"/>
          </w:tcPr>
          <w:p>
            <w:pPr>
              <w:spacing w:after="0"/>
              <w:rPr>
                <w:sz w:val="20"/>
                <w:szCs w:val="20"/>
                <w:color w:val="auto"/>
              </w:rPr>
            </w:pPr>
          </w:p>
        </w:tc>
      </w:tr>
      <w:tr>
        <w:trPr>
          <w:trHeight w:val="202"/>
        </w:trPr>
        <w:tc>
          <w:tcPr>
            <w:tcW w:w="6700" w:type="dxa"/>
            <w:vAlign w:val="bottom"/>
          </w:tcPr>
          <w:p>
            <w:pPr>
              <w:ind w:left="360"/>
              <w:spacing w:after="0" w:line="201" w:lineRule="exact"/>
              <w:rPr>
                <w:sz w:val="20"/>
                <w:szCs w:val="20"/>
                <w:color w:val="auto"/>
              </w:rPr>
            </w:pPr>
            <w:r>
              <w:rPr>
                <w:rFonts w:ascii="Arial" w:cs="Arial" w:eastAsia="Arial" w:hAnsi="Arial"/>
                <w:sz w:val="18"/>
                <w:szCs w:val="18"/>
                <w:color w:val="auto"/>
                <w:w w:val="98"/>
              </w:rPr>
              <w:t>Long-term debt associated with additions of capitalized internal-use software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700" w:type="dxa"/>
            <w:vAlign w:val="bottom"/>
          </w:tcPr>
          <w:p>
            <w:pPr>
              <w:ind w:left="540"/>
              <w:spacing w:after="0"/>
              <w:rPr>
                <w:sz w:val="20"/>
                <w:szCs w:val="20"/>
                <w:color w:val="auto"/>
              </w:rPr>
            </w:pPr>
            <w:r>
              <w:rPr>
                <w:rFonts w:ascii="Arial" w:cs="Arial" w:eastAsia="Arial" w:hAnsi="Arial"/>
                <w:sz w:val="18"/>
                <w:szCs w:val="18"/>
                <w:color w:val="auto"/>
              </w:rPr>
              <w:t>software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7"/>
              <w:spacing w:after="0"/>
              <w:rPr>
                <w:sz w:val="20"/>
                <w:szCs w:val="20"/>
                <w:color w:val="auto"/>
              </w:rPr>
            </w:pPr>
            <w:r>
              <w:rPr>
                <w:rFonts w:ascii="Arial" w:cs="Arial" w:eastAsia="Arial" w:hAnsi="Arial"/>
                <w:sz w:val="18"/>
                <w:szCs w:val="18"/>
                <w:color w:val="auto"/>
              </w:rPr>
              <w:t>2,251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r>
      <w:tr>
        <w:trPr>
          <w:trHeight w:val="365"/>
        </w:trPr>
        <w:tc>
          <w:tcPr>
            <w:tcW w:w="6700" w:type="dxa"/>
            <w:vAlign w:val="bottom"/>
          </w:tcPr>
          <w:p>
            <w:pPr>
              <w:ind w:left="4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a review of the other Items included in this Form 10-Q including our June 30, 2015 condensed consolidated financial statements included elsewhere in this report. Certain statements contained in this MD&amp;A may be deemed to be forward-looking statements. Also see “Special Note Regarding Forward-Looking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LSB is a manufacturing and marketing company operating through our subsidiaries. LSB and its wholly-owned subsidiaries own the following core businesses:</w:t>
      </w:r>
    </w:p>
    <w:p>
      <w:pPr>
        <w:spacing w:after="0" w:line="76" w:lineRule="exact"/>
        <w:rPr>
          <w:sz w:val="20"/>
          <w:szCs w:val="20"/>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75"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7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Corn prices affect the number of acres of corn planted in a given year and the number of acres planted will drive nitrogen fertilizer consumption, likely driving ammonia, UAN and urea prices. Weather also will have an impact on fertilizer consumption. As reported in Green Markets, for the 2015/16 corn season, production is estimated 13.5 billion bushels, 5% below last year’s record level and wet weather conditions in the early spring delayed corn planting and consequently fertilizer application. That late start put downward pressure on nitrogen prices as dealers liquidated inventories by the end of the spring application season. Additionally, while unfavorable weather conditions were experienced during the second quarter</w:t>
      </w:r>
      <w:r>
        <w:rPr>
          <w:rFonts w:ascii="Arial" w:cs="Arial" w:eastAsia="Arial" w:hAnsi="Arial"/>
          <w:sz w:val="18"/>
          <w:szCs w:val="18"/>
          <w:b w:val="1"/>
          <w:bCs w:val="1"/>
          <w:color w:val="auto"/>
        </w:rPr>
        <w:t>,</w:t>
      </w:r>
      <w:r>
        <w:rPr>
          <w:rFonts w:ascii="Arial" w:cs="Arial" w:eastAsia="Arial" w:hAnsi="Arial"/>
          <w:sz w:val="18"/>
          <w:szCs w:val="18"/>
          <w:color w:val="auto"/>
        </w:rPr>
        <w:t xml:space="preserve"> the demand for nitrogen during the fall prepay season is currently expected to be strong. Notwithstanding the current conditions, the fundamentals continue to be positive for nitrogen fertilizer products we produce and sell and gross margins still continue to be favorable, with the current exception of AN produced at the El Dorado Facility from purchased ammonia.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According to the American Chemistry Council, the U.S. economic indicators continue to be mostly positive. Our sales prices generally vary with the market price of our feedstock (ammonia, natural gas or sulfur, as applicable) in our pricing arrangements with customers.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mining products are industrial grade AN (“LDAN”) and AN solutions. The primary uses are as ammonium nitrate fuel oil, specialty emulsions primarily in surface mining of coal and for usage in quarries and the construction industry. As reported by the U.S. Energy Information Administration, annual coal production for 2014 was up 1% over 2013. EIA has forecasted a decline in overall coal production in the U.S. for 2015 and for the five months ended May 2015 U.S. coal production was down 7.5% relative to 2014. EIA is forecasting modest growth in U.S. coal production of 0.5% in 2016. The Appalachia region is expected to drive the decline in coal production with expected declines of approximately 12% in 2015. For 2015, the Powder River Basin, and Illinois Basin are estimated to decline approximately 7% and 3%, respectively. We believe that coal production in the U.S. will face significant challenges assuming that natural gas prices remain at current levels and given that export demand could be lower due to the current strong U.S. currency. While we believe our plants are well-located to support the regions that are more stable in the upcoming years, our current mining sales volumes are being impacted by overall lower customer demand for LDAN.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farmers’ financial resources, soil conditions, weather patterns and the types of crops planted.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Natural gas is the primary feedstock for the production of nitrogen fertilizers at our Cherokee and Pryor Facilities. Over the last five years, U.S. natural gas reserves have increased significantly due to, among other factors, advances in extracting shale gas, which have reduced and stabilized natural gas prices, providing North America with a cost advantage over certain imports. As a result, we believe that our competitive position and that of other North American nitrogen fertilizer producers have been positively impacted.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historically have purchased natural gas in the spot market or through the use of forward purchase contracts, or a combination of both. We historically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fluctuations, which has had an impact on our cost of producing nitrogen fertilizer. The following table shows the second quarter volume of natural gas we purchased and the average cost per MMBtu:</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volumes (MMBtu in millions)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220" w:type="dxa"/>
            <w:vAlign w:val="bottom"/>
          </w:tcPr>
          <w:p>
            <w:pPr>
              <w:spacing w:after="0"/>
              <w:rPr>
                <w:sz w:val="20"/>
                <w:szCs w:val="20"/>
                <w:color w:val="auto"/>
              </w:rPr>
            </w:pPr>
            <w:r>
              <w:rPr>
                <w:rFonts w:ascii="Arial" w:cs="Arial" w:eastAsia="Arial" w:hAnsi="Arial"/>
                <w:sz w:val="18"/>
                <w:szCs w:val="18"/>
                <w:color w:val="auto"/>
              </w:rPr>
              <w:t>Natural gas average cost per MMBtu</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3.16</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4.55</w:t>
            </w:r>
          </w:p>
        </w:tc>
        <w:tc>
          <w:tcPr>
            <w:tcW w:w="100" w:type="dxa"/>
            <w:vAlign w:val="bottom"/>
          </w:tcPr>
          <w:p>
            <w:pPr>
              <w:spacing w:after="0"/>
              <w:rPr>
                <w:sz w:val="24"/>
                <w:szCs w:val="24"/>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Beginning in December 2014, Henry Hub average daily natural gas spot prices have trended below $4.00 averaging approximately $2.73 in the second quarter of 2015 compared to $4.58 in the second quarter of 2014.</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Ammonia Prices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Ammonia is the primary feedstock for the production of agricultural grade AN (“HDAN”) and LDAN at our El Dorado Facility. Ammonia pricing is based on a published Tampa, Florida market index. The Tampa index is commonly used in annual contracts for both the mining and industrial sectors, and is based on the most recent major industry transactions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Tampa market. Pricing considerations for ammonia incorporate international supply-demand, ocean freight and production factors. Additionally, the El Dorado Facility’s cost to produce HDAN from purchased ammonia can periodically exceed our selling price (a cost disadvantage as compared to producing ammonia from natural gas) as discussed below. Subject to availability, the El Dorado Facility has the ability to source a portion of its ammonia requirements from our Pryor Facility, which cost is significantly lower than current market prices. Once our new ammonia production plant at the El Dorado Facility commences production (expected to begin early in the second quarter of 2016), we believe this cost disadvantage will be eliminated. Over the past several years, ammonia prices have experienced large fluctuations. The table below shows the El Dorado Facility’s second quarter volume of ammonia purchased and the average cost per short ton:</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Ammonia volumes (tons in thousands)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Ammonia average cost per short ton</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455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523</w:t>
            </w:r>
          </w:p>
        </w:tc>
        <w:tc>
          <w:tcPr>
            <w:tcW w:w="100" w:type="dxa"/>
            <w:vAlign w:val="bottom"/>
          </w:tcPr>
          <w:p>
            <w:pPr>
              <w:spacing w:after="0"/>
              <w:rPr>
                <w:sz w:val="24"/>
                <w:szCs w:val="24"/>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upon full plant production, the El Dorado Facility would normally purchase 200,000 to 220,000 tons per year of ammonia feedstock. In the second quarter of 2015, the purchased ammonia was less than the amount required for full production due to lower</w:t>
      </w:r>
    </w:p>
    <w:p>
      <w:pPr>
        <w:spacing w:after="0" w:line="76" w:lineRule="exact"/>
        <w:rPr>
          <w:sz w:val="20"/>
          <w:szCs w:val="20"/>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LDAN production caused by low natural gas prices affecting the overall demand for coal translating to lower U.S. coal production combined with EDC currently being a high cost producer and customers purchasing LDAN from competitors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production of HDAN tons due to weather issues causing a wet spring that compressed the fertilizer application season creating lower demand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nitric acid capacity in both periods due to the loss of the DSN plant in 2012.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expected that this trend will continue for the balance of 2015 and negatively impact our operating results as we continue to rebuild sales volumes post the expiration of the Orica contract. We believe that these volumes will be recaptured in 2016 with new contracts in conjunction with the startup of the ammonia plant.</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mentioned above, our El Dorado Facility produces HDAN, nitric acid and LDAN from purchased ammonia, which is currently at a cost disadvantage compared to products produced from natural gas. This cost disadvantage combined with the impact of the loss of the Orica contract contributed to an operating loss for the facility during the period of approximately $10 million compared to an operating loss of approximately $1 million in the second quarter of 2014. El Dorado has the advantage of being able to receive and ship ammonia by pipeline, the most effective mode of transportation.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that transport shorter distances an advantage.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Construction Markets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Climate Control Business serves the new and renovation commercial/institutional and residential construction sectors, and we believe the majority of our business is associated with the construction of new facilities. Information available from the CMFS forecast indicates that construction activity in the commercial/institutional markets we serve (including multi-family residential structures) is expected to increase 7% in aggregate during 2015 and is near 2007 pre-recession levels and single-family residential construction is expected to grow 15% during 2015, however, still remains well below pre-recession levels. In particular, the hospitality, education and multi-family vertical end markets of the commercial/institutional sector are expected to grow faster than other vertical end markets we serve.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Based on the above projection, we expect the Climate Control Business to experience sales growth in the short-term. Although a part of the Climate Control Business’ commercial/institutional sales are products that are used for renovation and replacement applications, sales increases in the medium-term and long-term are expected to be primarily driven by growth in new construction, as well as the introduction of new products specifically in the hospitality, education and healthcare verticals end markets. Our expectations for our residential products, which are all GHPs, are that they will experience minimal growth due to the higher relative total system purchase cost of our higher efficiency GHP product offerings as compared to traditional HVAC systems creating a longer payback period in most regions due to low natural gas prices compared to previous years where there were higher natural gas prices. We continue to focus our sales and marketing efforts to increase our share of the existing market for our products as well as expand the markets for and application of our products, with a focus on utilizing high efficiency/“green” technology.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Unplanned downtime of the plants typically results in lost contribution margin, increased maintenance expense and decreased inventory for sale. The financial impact of planned downtime, including Turnarounds maintenance, is mitigated through a diligent planning process that takes into account the market, the availability of resources to perform the needed maintenance, feedstock logistics and other factors. Our Cherokee and Pryor Facilities have historically undergone a facility Turnaround every year. In the third quarter of 2014, our Cherokee Facility underwent an extended Turnaround replacing certain end-of-life equipment and performing additional maintenance required to move to a two-year Turnaround cycle. Going forward, we anticipate that Turnarounds at our Cherokee Facility typically will be performed every two years, expecting to last 25 to 30 days. Turnarounds at our Pryor Facility currently are performed every year, and typically last between 20 to 25 days. We recently completed a Turnaround at our Pryor Facility, which began on July 11th and we are currently in the process of restarting the ammonia plant. At our El Dorado Facility, since we are able to perform Turnaround projects on individual plants without shutting down the entire facility, we believe that the impact of lost production to be less significant. Upon completion of the new ammonia plant at our El Dorado Facility, that facility is expected to begin with annual Turnarounds that will typically last between 20 to 25 days. All Turnarounds result in lost fixed overhead absorption and additional maintenance costs, which costs are expensed as incurred.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as to whether price environments will be increasing or decreasing.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Orders, Sales and Ending Backlog</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Climate Control Business’ second quarter 2015 total new product bookings were $70 million, a decrease of 15% over the second quarter of 2014, however, increased over the first quarter of 2015. Including the loss of Carrier’s heat pump contracts as previously reported, our commercial and residential bookings declined 15% and 20%, respectively. Excluding Carrier heat pump activity, commercial and residential bookings declined 8% and 16%, respectively. Our backlog is higher in 2015 over 2014 due to orders exceeding sales in most product lines.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Arial" w:cs="Arial" w:eastAsia="Arial" w:hAnsi="Arial"/>
                <w:sz w:val="14"/>
                <w:szCs w:val="14"/>
                <w:color w:val="auto"/>
              </w:rPr>
              <w:t>New Orders (1)</w:t>
            </w:r>
          </w:p>
        </w:tc>
        <w:tc>
          <w:tcPr>
            <w:tcW w:w="14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color w:val="auto"/>
                <w:w w:val="88"/>
              </w:rPr>
              <w:t>Net Sales</w:t>
            </w:r>
          </w:p>
        </w:tc>
        <w:tc>
          <w:tcPr>
            <w:tcW w:w="14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Ending Backlog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ind w:right="248"/>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228"/>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89"/>
              </w:rPr>
              <w:t>2015</w:t>
            </w: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14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6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color w:val="auto"/>
                <w:w w:val="88"/>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880" w:type="dxa"/>
            <w:vAlign w:val="bottom"/>
            <w:gridSpan w:val="2"/>
            <w:shd w:val="clear" w:color="auto" w:fill="CCEEFF"/>
          </w:tcPr>
          <w:p>
            <w:pPr>
              <w:jc w:val="center"/>
              <w:ind w:right="108"/>
              <w:spacing w:after="0"/>
              <w:rPr>
                <w:sz w:val="20"/>
                <w:szCs w:val="20"/>
                <w:color w:val="auto"/>
              </w:rPr>
            </w:pPr>
            <w:r>
              <w:rPr>
                <w:rFonts w:ascii="Arial" w:cs="Arial" w:eastAsia="Arial" w:hAnsi="Arial"/>
                <w:sz w:val="18"/>
                <w:szCs w:val="18"/>
                <w:color w:val="auto"/>
                <w:w w:val="93"/>
              </w:rPr>
              <w:t>$65.2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$ 68.6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Second Quarter</w:t>
            </w:r>
          </w:p>
        </w:tc>
        <w:tc>
          <w:tcPr>
            <w:tcW w:w="3660" w:type="dxa"/>
            <w:vAlign w:val="bottom"/>
            <w:gridSpan w:val="2"/>
          </w:tcPr>
          <w:p>
            <w:pPr>
              <w:jc w:val="center"/>
              <w:ind w:left="2530"/>
              <w:spacing w:after="0"/>
              <w:rPr>
                <w:sz w:val="20"/>
                <w:szCs w:val="20"/>
                <w:color w:val="auto"/>
              </w:rPr>
            </w:pPr>
            <w:r>
              <w:rPr>
                <w:rFonts w:ascii="Arial" w:cs="Arial" w:eastAsia="Arial" w:hAnsi="Arial"/>
                <w:sz w:val="18"/>
                <w:szCs w:val="18"/>
                <w:color w:val="auto"/>
                <w:w w:val="88"/>
              </w:rPr>
              <w:t>$70.2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880" w:type="dxa"/>
            <w:vAlign w:val="bottom"/>
            <w:gridSpan w:val="2"/>
          </w:tcPr>
          <w:p>
            <w:pPr>
              <w:jc w:val="center"/>
              <w:ind w:right="108"/>
              <w:spacing w:after="0"/>
              <w:rPr>
                <w:sz w:val="20"/>
                <w:szCs w:val="20"/>
                <w:color w:val="auto"/>
              </w:rPr>
            </w:pPr>
            <w:r>
              <w:rPr>
                <w:rFonts w:ascii="Arial" w:cs="Arial" w:eastAsia="Arial" w:hAnsi="Arial"/>
                <w:sz w:val="18"/>
                <w:szCs w:val="18"/>
                <w:color w:val="auto"/>
                <w:w w:val="93"/>
              </w:rPr>
              <w:t>$66.8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1"/>
              </w:rPr>
              <w:t>$ 75.1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Fourth Quarter</w:t>
            </w:r>
          </w:p>
        </w:tc>
        <w:tc>
          <w:tcPr>
            <w:tcW w:w="2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40" w:type="dxa"/>
            <w:vAlign w:val="bottom"/>
          </w:tcPr>
          <w:p>
            <w:pPr>
              <w:spacing w:after="0"/>
              <w:rPr>
                <w:sz w:val="6"/>
                <w:szCs w:val="6"/>
                <w:color w:val="auto"/>
              </w:rPr>
            </w:pPr>
          </w:p>
        </w:tc>
        <w:tc>
          <w:tcPr>
            <w:tcW w:w="2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2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line="271"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the June 30, 2015 backlog includes two orders totaling approximately $0.4 million expected to ship in twelve to thirteen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July 2015, our new orders received were approximately $21 million and our backlog was approximately $74 million at July 31, 2015.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Operational Excellence Activities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 the second full year of our operational excellence initiatives to become a world class company in terms of safety, quality, delivery and cost. We believe world class performance will benefit our Climate Control Business through a high level of customer satisfaction, enhanced employee engagement, faster growth and improved margins. During the past two years, we completed value analysis/value engineering activities that are part of our operational excellence initiatives at each of our companies within our Climate Control Business. In addition, we have laid the foundation for the continuous improvement culture desired in our organization. Key metrics include measurements and targets for sales volume, material, direct labor, safety, quality, delivery and asset management.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2015</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consolidated net sales for the second quarter of 2015 were $183 million compared to $202 million for the same period in 2014. The sales decrease of $19 million included a decrease of $23 million in our Chemical Business partially offset by an increase of $4 million in our Climate Control Business. Our consolidated operating income was $2.6 million compared to $23.8 million. The decrease in operating income of $21.2 million included a decrease of $16.7 million in our Chemical Business and $0.6 million in our Climate Control Business. In addition, unallocated corporate expenses increased $3.9 million. The items impacting our operating results are discussed in more detail below and under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Orica Contract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previously reported, our contract with Orica expired on April 9, 2015. Under that contract, we agreed to grant Orica the exclusive right to sell all of the LDAN produced at our El Dorado Facility in exchange for a guaranteed minimum 240,000 tons annually. The contract included a provision for Orica to pay for fixed overhead costs and gross profit on the portion of the annual minimum of product not taken. The annual fixed overhead and gross profit associated with the 240,000 tons was approximately $20 million.</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During second quarter of 2014, we sold Orica approximately 22,000 tons of LDAN but under this contract, we were also paid for the fixed overhead and profit on the approximately 38,000 tons not taken during the quarter. During second quarter of 2015, we sold approximately 14,000 tons of LDAN to customers, including Orica, creating $4 million less contribution margin compared to the second quarter of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Subsequent to the expiration of the Orica contract, we are selling LDAN but at relatively lower volume. Given that we remain a high cost producer, we believe we will continue to experience lower volumes until the El Dorado ammonia plant construction is completed and production begins early in the second quarter of 2016.</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signed contracts with customers that, beginning in 2016, provide for the sale of LDAN for certain annual volume levels under various cost plus pricing arrangements. We expect that these contracted annual volumes should represent a majority of the previously contracted volume under the Orica contract. Unlike the Orica contract, that contained take-or-pay provisions, these contracts include minimum annual volume levels with penalty payments if minimum volumes are not met. However as discussed in more detail below under “Key Industry Factors”, our LDAN sales volumes are being impacted by the decline in coal production in the U.S.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August 2013, in connection with a major expansion of our El Dorado Facility, LSB sold $425 million of 7.75% Senior Secured Notes. During the second quarter of 2015 and 2014, interest expense was $2.2 million and $5.7 million, net of capitalized interest of $7.0 million and $3.0 million, respectively. Interest was capitalized based upon construction in progress of the El Dorado expansion and certain other capital projects.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six and three months ended June 30, 2015 and 2014 and accompanying notes and the discussions under “Overview” and “Liquidity and Capital Resources” included in this MD&amp;A.</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by business segment represents net sales less cost of sales. In addition, our chief operating decision makers use operating income by business segment for purposes of making decisions that include resource allocations and performance evaluations. Operating income by business segment represents gross profit by business segment less SG&amp;A incurred by each business segment plus other income and other expense earned/incurred by each business segment before general corporate expenses. General corporate expenses consist of SG&amp;A, other income and other expense that are not allocated to one of our business segments.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contains certain information about our continuing operations in different business segments on a consolidated basis for the six and three months ended June 30:</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color w:val="auto"/>
              </w:rPr>
              <w:t>Six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239,582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250,977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112,768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132,040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123,100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376,517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380,187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201,662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40,043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37,766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77,241</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97,591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34,882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6,840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corporate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(15,609)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49,625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 business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Provisions (benefit) for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14,701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 – 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7,099</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22,777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186,703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102,142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110,014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187,424</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103,413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110,598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depletion and amortization of property, plant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14,760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8,716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19,036</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17,362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Six Months Ended June 30, 2015 Compared to Six Months Ended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Chemical segment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Agricultural products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129,195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134,913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(5,718)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 acids and other chemical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Mining products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28,407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33,133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(4,726)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(5,122)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600" w:type="dxa"/>
            <w:vAlign w:val="bottom"/>
          </w:tcPr>
          <w:p>
            <w:pPr>
              <w:ind w:left="700"/>
              <w:spacing w:after="0"/>
              <w:rPr>
                <w:sz w:val="20"/>
                <w:szCs w:val="20"/>
                <w:color w:val="auto"/>
              </w:rPr>
            </w:pPr>
            <w:r>
              <w:rPr>
                <w:rFonts w:ascii="Arial" w:cs="Arial" w:eastAsia="Arial" w:hAnsi="Arial"/>
                <w:sz w:val="18"/>
                <w:szCs w:val="18"/>
                <w:color w:val="auto"/>
              </w:rPr>
              <w:t>Total Chemical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239,582</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250,977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(11,395)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Chemical</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(22,225)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gridSpan w:val="2"/>
          </w:tcPr>
          <w:p>
            <w:pPr>
              <w:spacing w:after="0"/>
              <w:rPr>
                <w:sz w:val="20"/>
                <w:szCs w:val="20"/>
                <w:color w:val="auto"/>
              </w:rPr>
            </w:pPr>
            <w:r>
              <w:rPr>
                <w:rFonts w:ascii="Arial" w:cs="Arial" w:eastAsia="Arial" w:hAnsi="Arial"/>
                <w:sz w:val="18"/>
                <w:szCs w:val="18"/>
                <w:color w:val="auto"/>
              </w:rPr>
              <w:t>Gross profit percentage – Chemical (1)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 Chemical</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(28,902)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Chemical Business sales in the agricultural markets were primarily at the spot market price in effect at the time of sale or at a negotiated future price. Most of our Chemical Business sales in the industrial and mining markets were pursuant to sales contracts and/or pricing arrangements on terms that include the cost of raw material feedstock as a pass through component in the sales price. In general, our first six months of 2015 agricultural sales were lower mostly due to decreased prices of UAN and lower sales volumes of HDAN partially offset by higher sales volume of UAN and ammonia. Mining sales also declined primarily due to lower sales volumes partially offset by increased sales volume of industrial products.</w:t>
      </w:r>
    </w:p>
    <w:p>
      <w:pPr>
        <w:spacing w:after="0" w:line="78" w:lineRule="exact"/>
        <w:rPr>
          <w:sz w:val="20"/>
          <w:szCs w:val="20"/>
          <w:color w:val="auto"/>
        </w:rPr>
      </w:pPr>
    </w:p>
    <w:p>
      <w:pPr>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Agricultural products comprised approximately 54% of the Chemical Business’ net sales for both periods. Sales decreased during the first half of 2015 primarily due to lower average selling prices of UAN (6%) and to lower sales volume of HDAN (22%) due to adverse weather conditions in much of our markets causing decreased customer demand partially offset by increased sales volume of UAN (10%) and ammonia (32%), due in part, to an overall improved on-stream rate of our Pryor Facility, despite an unplanned outage of 17 days in the second quarter of 2015. The decrease in selling prices for UAN fertilizers was attributable to lower commodity prices coupled with lower urea prices due to the large amount of imports.</w:t>
      </w:r>
    </w:p>
    <w:p>
      <w:pPr>
        <w:spacing w:after="0" w:line="98"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as a result of increased volumes at our Baytown Facility, which performed a Turnaround in the second quarter of 2014.</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Mining products sales decreased primarily as a result of lower volumes at our Cherokee Facility due to continued decline of demand for mining products in the Appalachian region.</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products relates to natural gas sales from our working interests in certain natural gas properties. The decrease in natural gas sales is due to lower sales prices in the Marcellus Shale region and lower production volumes as the operator of these properties has slowed development due to the decline in natural gas pricing.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35" w:lineRule="exact"/>
        <w:rPr>
          <w:sz w:val="20"/>
          <w:szCs w:val="20"/>
          <w:color w:val="auto"/>
        </w:rPr>
      </w:pPr>
    </w:p>
    <w:p>
      <w:pPr>
        <w:ind w:left="900" w:hanging="446"/>
        <w:spacing w:after="0" w:line="272"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gross profit decreased $22.2 million during the first half of 2015 as compared to the same period of 2014. The first half of 2014 included a business interruption insurance recovery of $22.9 million. Excluding the business interruption insurance recovery, gross profit increased $0.7 million in the first half of 2015 as compared to the same period last year. The increase of $0.7 million was primarily due to overall improved on-stream production rates of our Pryor Facility coupled with lower natural gas feedstock costs of approximately (29%) partially offset by lost absorption of fixed overhead costs associated with the lower production volume of HDAN, the impact from expiration of the supply contract with Orica in April 2015 and increased operating costs. The positive impact from lower natural gas prices was partially offset by operating losses incurred relating to our working interests in certain natural gas properties.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135" w:lineRule="exact"/>
        <w:rPr>
          <w:sz w:val="20"/>
          <w:szCs w:val="20"/>
          <w:color w:val="auto"/>
        </w:rPr>
      </w:pPr>
    </w:p>
    <w:p>
      <w:pPr>
        <w:ind w:left="900" w:right="40" w:hanging="446"/>
        <w:spacing w:after="0" w:line="27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Chemical Business’ operating income was $23.5 million, a decrease of $28.9 million. In addition to the business interruption insurance recovery included in gross profit discussed above, a property insurance recovery of $5.1 million was recognized in the first half of 2014. Excluding the total insurance recoveries of $28.0 million in the first half of 2014, operating income decreased $0.9 million primarily as the result of increased product handling (railcar lease costs), personnel and training expenses, primarily related to the expansion related activities at the El Dorado Facility partially offset by the increase in gross profit (excluding insurance recoveries) discussed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six months ended June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22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76,200</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80,380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(4,180)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4,940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8,180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7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132,040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123,100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8,940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gridSpan w:val="2"/>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40,043</w:t>
            </w: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37,766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2,277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8,316</w:t>
            </w: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8,944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(628)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3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 – Climate Control</w:t>
      </w:r>
    </w:p>
    <w:p>
      <w:pPr>
        <w:spacing w:after="0" w:line="134" w:lineRule="exact"/>
        <w:rPr>
          <w:rFonts w:ascii="Arial" w:cs="Arial" w:eastAsia="Arial" w:hAnsi="Arial"/>
          <w:sz w:val="18"/>
          <w:szCs w:val="18"/>
          <w:color w:val="auto"/>
        </w:rPr>
      </w:pPr>
    </w:p>
    <w:p>
      <w:pPr>
        <w:ind w:left="900" w:right="40" w:hanging="446"/>
        <w:spacing w:after="0" w:line="276" w:lineRule="auto"/>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Net sales of our water source and geothermal heat pump products decreased in the first half of 2015 primarily as a result of the loss of the Carrier heat pump contracts. Excluding Carrier heat pump sales, sales increased from $68 million in the first half of 2014 to $76 million in the first half of 2015, or approximately 12%, with commercial/institutional product sales increasing approximately 13% and residential product sales increasing approximately 9% primarily due to higher incoming order levels in the preceding quarters. The increase in commercial/institutional product sales were driven by gains in the retail and multi-family sectors with a slight decline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80"/>
        <w:spacing w:after="0" w:line="264" w:lineRule="auto"/>
        <w:rPr>
          <w:sz w:val="20"/>
          <w:szCs w:val="20"/>
          <w:color w:val="auto"/>
        </w:rPr>
      </w:pPr>
      <w:r>
        <w:rPr>
          <w:rFonts w:ascii="Arial" w:cs="Arial" w:eastAsia="Arial" w:hAnsi="Arial"/>
          <w:sz w:val="18"/>
          <w:szCs w:val="18"/>
          <w:color w:val="auto"/>
        </w:rPr>
        <w:t>in the education sector. Incoming orders, excluding Carrier, for commercial/institutional products increased 13% while residential products declined 3%, respectively. The decline in residential products (geothermal heat pumps) is driven by low natural gas prices causing a longer payback.</w:t>
      </w:r>
    </w:p>
    <w:p>
      <w:pPr>
        <w:spacing w:after="0" w:line="87" w:lineRule="exact"/>
        <w:rPr>
          <w:sz w:val="20"/>
          <w:szCs w:val="20"/>
          <w:color w:val="auto"/>
        </w:rPr>
      </w:pPr>
    </w:p>
    <w:p>
      <w:pPr>
        <w:ind w:left="900" w:right="120" w:hanging="446"/>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sales of our hydronic fan coils increased as a result of an increase number of units sold due to stronger incoming orders in the preceding quarters, an increase in the average unit price and favorable product mix. We experienced only minor fluctuations in the vertical markets served.</w:t>
      </w:r>
    </w:p>
    <w:p>
      <w:pPr>
        <w:spacing w:after="0" w:line="29" w:lineRule="exact"/>
        <w:rPr>
          <w:rFonts w:ascii="Arial" w:cs="Arial" w:eastAsia="Arial" w:hAnsi="Arial"/>
          <w:sz w:val="16"/>
          <w:szCs w:val="16"/>
          <w:color w:val="auto"/>
        </w:rPr>
      </w:pPr>
    </w:p>
    <w:p>
      <w:pPr>
        <w:ind w:left="900" w:right="40" w:hanging="446"/>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due to increased sales of our large custom air handlers and modular chillers, up 95% and 43%, respectively, partially offset by a reduction in sales of our engineering and construction services due to contract award delays. In our large custom air handler and modular chiller products, incoming order levels and customer requested delivery dates during 2014 resulted in higher beginning backlogs in 2015 and facilitated higher sales during the first six months of 2015. From a vertical market perspective, there were no significant shifts in the sectors served.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Climate Control</w:t>
      </w:r>
    </w:p>
    <w:p>
      <w:pPr>
        <w:spacing w:after="0" w:line="135" w:lineRule="exact"/>
        <w:rPr>
          <w:sz w:val="20"/>
          <w:szCs w:val="20"/>
          <w:color w:val="auto"/>
        </w:rPr>
      </w:pPr>
    </w:p>
    <w:p>
      <w:pPr>
        <w:jc w:val="both"/>
        <w:ind w:left="900" w:right="100" w:hanging="325"/>
        <w:spacing w:after="0" w:line="28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increase in gross profit in our Climate Control Business was primarily the result of the higher sales discussed above. The lower gross profit as a percentage of sales was primarily the result of product mix as residential products, which carry a higher gross margin declined in proportion to commercial/institutional products and as margins on large custom air handlers are lower than those of other product lines.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 Climate Control</w:t>
      </w:r>
    </w:p>
    <w:p>
      <w:pPr>
        <w:spacing w:after="0" w:line="135" w:lineRule="exact"/>
        <w:rPr>
          <w:sz w:val="20"/>
          <w:szCs w:val="20"/>
          <w:color w:val="auto"/>
        </w:rPr>
      </w:pPr>
    </w:p>
    <w:p>
      <w:pPr>
        <w:ind w:left="900" w:hanging="325"/>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 in the first half of 2015 declined by $0.6 million compared to the same period of 2014. The increase in gross profit was offset by higher variable selling expenses (freight of $1.1 million due to higher sales volume and product mix; warranty of $0.8 million due higher sales volume as well as specific claims in our hydronic fan coil and large custom air handler businesses; and commissions of $0.6 million due to higher sales volume and customer mix) and personnel related expenses of $0.8 million (salaries, wages and benefits), partially offset by lower fixed spending in advertising and consulting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for the first half of 2015 was $15.6 million compared to $12.6 million for the same period in 2014. The increase primarily related to an increase in personnel related expenses (salaries and number of employees), directors’ fees (number of independent board members and related quarterly fees), amortization of software costs (implementation of the new ERP system), and professional fees.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Interest expense for the first six months of 2015 was $5.6 million compared to $12.4 million for the same period in 2014. The decrease is due primarily to capitalized interest on capital projects under development and construction, of which $12.6 million was capitalized in the first half of 2015 compared to $5.3 million during the same period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provision for income taxes for the first half of 2015 was $4.1 million compared to $14.7 million for the same period in 2014. The resulting effective tax rate for the first half of 2015 was 37% and 39% for the first half of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Three Months Ended June 30, 2015 Compared to Three Months Ended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profit and operating income in our Chemical segment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Agricultural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60,840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75,390</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$(14,550)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38,321</w:t>
            </w: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11,540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18,700</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(7,160)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products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3,345</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Total Chemical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112,768</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135,756</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(22,988)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29,256</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gridSpan w:val="2"/>
          </w:tcPr>
          <w:p>
            <w:pPr>
              <w:spacing w:after="0"/>
              <w:rPr>
                <w:sz w:val="20"/>
                <w:szCs w:val="20"/>
                <w:color w:val="auto"/>
              </w:rPr>
            </w:pPr>
            <w:r>
              <w:rPr>
                <w:rFonts w:ascii="Arial" w:cs="Arial" w:eastAsia="Arial" w:hAnsi="Arial"/>
                <w:sz w:val="18"/>
                <w:szCs w:val="18"/>
                <w:color w:val="auto"/>
              </w:rPr>
              <w:t>Gross profit percentage – Chemical (1)</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(9.5)%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23,589</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(16,749)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general, our second quarter 2015 agricultural sales were lower mostly due to lower sales volumes and prices of UAN and HDAN. Mining sales also declined due to lower sales prices and volumes partially offset by increased sales volume of industrial products.</w:t>
      </w:r>
    </w:p>
    <w:p>
      <w:pPr>
        <w:spacing w:after="0" w:line="76" w:lineRule="exact"/>
        <w:rPr>
          <w:sz w:val="20"/>
          <w:szCs w:val="20"/>
          <w:color w:val="auto"/>
        </w:rPr>
      </w:pPr>
    </w:p>
    <w:p>
      <w:pPr>
        <w:ind w:left="90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Agricultural products comprised approximately 54% and 56% of the Chemical Business’ net sales for the second quarter 2015 and 2014, respectively. Agricultural products sales decreased during the second quarter of 2015 primarily due to lower sales volume of HDAN (17%) due to the adverse weather conditions in much of our markets causing decreased customer demand, a lower on-stream rate experienced at the Pryor Facility due to an unplanned outage of 17 days, and a lower average selling price for nitrogen fertilizers. Compared to the second quarter of 2014, the 2015 overall average agricultural products selling prices decreased, driven by an 8% decrease in UAN prices, a 5% decrease in AN prices slightly offset by 1% increase in ammonia prices. The decrease in selling prices for UAN fertilizers was attributable to lower commodity prices and lower urea prices that serve as alternative to UAN effecting price. Unfavorable weather conditions also contributed to the lower UAN and HDAN prices for the quarter.</w:t>
      </w:r>
    </w:p>
    <w:p>
      <w:pPr>
        <w:spacing w:after="0" w:line="97"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as a result of increased volumes at our Baytown Facility, which performed a Turnaround in the second quarter of 2014, partially offset by lower prices from the pass-through of decreased ammonia costs to contractual customers.</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Mining products sales decreased primarily due to the expiration of the Orica supply contract in April 2015, which terms included the recovery of certain fixed overhead costs and gross profit for tons not taken, and lower prices from the pass-through of decreased ammonia costs to our contractual customers.</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products relates to natural gas sales from our working interests in certain natural gas properties. The decrease in natural gas sales is due to lower sales prices and lower production volumes as the operator of these properties is delaying development due to the current low net selling prices of natural gas in the Marcellus Shale region.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35" w:lineRule="exact"/>
        <w:rPr>
          <w:sz w:val="20"/>
          <w:szCs w:val="20"/>
          <w:color w:val="auto"/>
        </w:rPr>
      </w:pPr>
    </w:p>
    <w:p>
      <w:pPr>
        <w:ind w:left="900" w:right="60" w:hanging="446"/>
        <w:spacing w:after="0" w:line="273"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gross profit decreased $15.6 million during the second quarter of 2015 as compared to the second quarter of 2014. The decrease of $15.6 million was primarily due to the lost absorption of fixed overhead costs associated with lower production volumes of agricultural and mining products and the lower on-stream production rate at our Pryor Facility, the expiration of the supply contract with Orica, increased operating costs and the lower average sales prices partially offset by lower feedstock costs. Natural gas feedstock costs decreased approximately 31% coupled with a 13% decrease in ammonia feedstock costs. The positive impact from lower natural gas prices were partially offset by operating losses incurred relating to our working interests in certain natural gas properties.</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135" w:lineRule="exact"/>
        <w:rPr>
          <w:sz w:val="20"/>
          <w:szCs w:val="20"/>
          <w:color w:val="auto"/>
        </w:rPr>
      </w:pPr>
    </w:p>
    <w:p>
      <w:pPr>
        <w:ind w:left="900" w:right="2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Chemical Business’ operating income was $6.8 million, a decrease of $16.7 million. Operating income decreased as the result of the items discussed above combine with increased product handling (railcar lease costs) and personnel and training expenses, some of which relate to expansion related activities at the El Dorado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June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38,706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41,898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(3,192)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3,744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11,971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8,432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3,539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9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66,842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62,751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4,091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gridSpan w:val="2"/>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20,081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18,502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1,579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4,004</w:t>
            </w: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4,612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(608)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3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 – Climate Control</w:t>
      </w:r>
    </w:p>
    <w:p>
      <w:pPr>
        <w:spacing w:after="0" w:line="134"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decreased in the second quarter of 2015 primarily as a result of the loss of the Carrier heat pump contracts. Excluding Carrier heat pump sales, sales increased from $35.7 million in the second quarter of 2014 to $38.7 million in the second quarter of 2015, or 8%, with commercial/institutional product sales up 12% and residential product sales declining approximately 3% related to incoming order levels . From a commercial/institutional market perspective, gains were seen in the retail and multi-family sectors with a slight decline in the education sector. Incoming orders, excluding Carrier, for commercial/institutional products increased 15% and residential products decreased 16%, respectively.</w:t>
      </w:r>
    </w:p>
    <w:p>
      <w:pPr>
        <w:spacing w:after="0" w:line="98" w:lineRule="exact"/>
        <w:rPr>
          <w:rFonts w:ascii="Arial" w:cs="Arial" w:eastAsia="Arial" w:hAnsi="Arial"/>
          <w:sz w:val="18"/>
          <w:szCs w:val="18"/>
          <w:color w:val="auto"/>
        </w:rPr>
      </w:pPr>
    </w:p>
    <w:p>
      <w:pPr>
        <w:ind w:left="900" w:right="2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Net sales of our hydronic fan coils increased as a result of an increase number of units sold due to stronger incoming orders in the first quarter, an increase in the average unit price and favorable product mix. We experienced only minor fluctuations in the vertical markets served.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5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due to increased sales of our large custom air handlers and modular chillers, up 94% and 37%, respectively, partially offset by a reduction in sales of our engineering and construction services due to contract award delays. In our large custom air handler and modular chiller products, incoming order levels and customer requested delivery dates during 2014 resulted in higher beginning backlogs in 2015 and facilitated higher sales during second quarter of 2015. From a vertical market perspective, there were no significant shifts in the sectors served.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Climate Control</w:t>
      </w:r>
    </w:p>
    <w:p>
      <w:pPr>
        <w:spacing w:after="0" w:line="135" w:lineRule="exact"/>
        <w:rPr>
          <w:sz w:val="20"/>
          <w:szCs w:val="20"/>
          <w:color w:val="auto"/>
        </w:rPr>
      </w:pPr>
    </w:p>
    <w:p>
      <w:pPr>
        <w:ind w:left="900" w:right="10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increase in gross profit in our Climate Control Business was primarily the result of the higher sales discussed above. The higher gross profit as a percentage of sales was primarily the result of favorable prices for raw materials and components and product mix as residential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 Climate Control</w:t>
      </w:r>
    </w:p>
    <w:p>
      <w:pPr>
        <w:spacing w:after="0" w:line="135" w:lineRule="exact"/>
        <w:rPr>
          <w:sz w:val="20"/>
          <w:szCs w:val="20"/>
          <w:color w:val="auto"/>
        </w:rPr>
      </w:pPr>
    </w:p>
    <w:p>
      <w:pPr>
        <w:ind w:left="900" w:hanging="446"/>
        <w:spacing w:after="0" w:line="279"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Operating income in the second quarter of 2015 declined by $0.6 million compared to the same period of 2014. The increase in gross profit was offset by higher variable selling expenses (warranty of $1.0 million due to higher sales volume as well as specific claims in our hydronic fan coil and large custom air handler businesses; freight of $0.6 million due to higher sales volume and product mix; and commissions of $0.1 million due to higher sales volume) and personnel related expenses of $0.7 million (salaries, wages and benefits).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General corporate expenses for the second quarter of 2015 were approximately $8.9 million compared to $5.0 million for the same period in 2014. The increase primarily relates to fees and expenses incurred in evaluating and analyzing proposals received from certain activist shareholders, and dealing, negotiating and settling with those shareholders in order to avoid a proxy contest and personnel related expenses (salaries and number of employees).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expense for the second quarter of 2015 was $2.2 million compared to $5.7 million for the same period in 2014. The decrease is due primarily to capitalized interest on capital projects under development and construction, of which $7.0 million capitalized in the second quarter of 2015 compared to $3.0 million capitalized during second quarter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benefit for income taxes for the second quarter of 2015 was minimal compared to a provision for income taxes of $7.0 million for the same period in 2014. The resulting effective tax rate for the second quarters of 2015 and 2014 was 37%, excluding the impact that the reduction in second quarter income had on the resulting rate, and 39%,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“Results of Operations included in this MD&amp;A. Before discussing our capitalization and capital projects in detail, the following summarizes our cash flow activities for the six months ended June 30,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provided by continuing operating activities was $40.3 million primarily as the result of net income of $7.1 million plus adjustments of $19.0 million for depreciation, depletion and amortization of PP&amp;E and net cash provided of $9.3 million primarily from our working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by continuing investing activities was $98.8 million that consisted primarily of $157.4 million used for expenditures for PP&amp;E primarily for the benefit of our Chemical Business and net purchases of short-term investments of $10.5 million, partially offset by proceeds of $71.0 million from restricted cash and cash equivalents and investments primarily representing funds designated by management for specific capital projects relating to our Chemical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provided by continuing financing activities was $4.5 million that primarily related to net proceeds from long-term financing of $16.0 million partially offset by payments on short-term financing and long-term debt of $12.9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and noncurrent cash and investments, long-term debt and stockholders’ equity:</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5"/>
              </w:rPr>
              <w:t>June 30,</w:t>
            </w:r>
          </w:p>
        </w:tc>
        <w:tc>
          <w:tcPr>
            <w:tcW w:w="1480" w:type="dxa"/>
            <w:vAlign w:val="bottom"/>
            <w:gridSpan w:val="4"/>
          </w:tcPr>
          <w:p>
            <w:pPr>
              <w:ind w:left="5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and noncurrent cash and 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157.7</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r>
              <w:rPr>
                <w:rFonts w:ascii="Arial" w:cs="Arial" w:eastAsia="Arial" w:hAnsi="Arial"/>
                <w:sz w:val="18"/>
                <w:szCs w:val="18"/>
                <w:u w:val="single" w:color="auto"/>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Notes due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$425.0</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Secured Promissory Notes due 2016</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Promissory Notes due 2021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470.2</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443.9</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As of June 30, 2015, our current cash and investments totaled $157.7 million. In addition, our $100 million revolving credit facility was undrawn and available to fund operations as discussed below, if needed, subject to the amount of our eligible collateral and outstanding letters of credit.</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first part of August 2015, the engineering, procurement and construction contractor and other consultants we have retained in connection with the El Dorado Expansion projects advised us they are now estimating that the total cost to complete the El Dorado Expansion projects will exceed what we previously projected, due, in part, to work performed by a previous subcontractor. We have now been advised that the total cost to complete the El Dorado Expansion projects is estimated to be in the range of $660 million to $680 million ($437 million spent as of June 30, 2015 and $223 million to $243 million to be spent in the balance of 2015 with the possibility that a portion of these capital additions could occur during the first quarter of 2016).</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expected that the new ammonia plant will be mechanically complete by the end of 2015 and should begin production early in the second quarter 2016. As it relates to the new nitric acid plant and concentrator, the concentrator went into production in June 2015 and the nitric acid plant is expected to be mechanically complete in September 2015, with production beginning in mid-fourth quarter of 2016.</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expect to be able to fund the cash needs for our operations and our capital expenditures, including the El Dorado Expansion projects and our other planned discretionary capital projects, from cash on hand, internally generated cash flow, working capital, borrowings under our working capital revolver, and other financings. We are currently negotiating with third party lenders for the financing for certain discrete pieces of equipment in connection with the El Dorado Expansion projects. Additionally, the Indenture governing our Senior Secured Notes allows us to incur an additional $50 million in debt. We are also in discussions with other financing providers to provide additional capital, as needed, for the completion of the El Dorado Expansion projects. If for some reason we are unable to complete these financings or there is a shortfall in our internally generated cash flow, either of which would negatively affect our ability to fund all of the discretionary capital projects we had planned to complete or initiate during the balance of 2015 and 2016, we would be required to reduce, delay the start of, or terminate at least some of these capital projects.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party to an Indenture governing the Senior Secured Notes. The Indenture contains covenants that, among other things, limit LSB’s ability, with certain exceptions and as defined in the Indenture, to certain transactions.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and certain of our subsidiaries are party to an amended revolving credit facility. Pursuant to the terms of the Working Capital Revolver Loan, the principal amount the Borrowers may borrow is up to $100.0 million, based on specific percentages of eligible accounts receivable and inventories. At June 30, 2015, there were no outstanding borrowings under the Working Capital Revolver Loan and the net credit available for borrowings was approximately $75.3 million, based on our eligible collateral, less outstanding letters of credit as of that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Six Months of 2015</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Capital additions during the first six months of 2015 were $190.8 million, including $188.6 million for the benefit of our Chemical Business. The Chemical Business capital additions included $173.6 million for expansion projects at our El Dorado Facility (which capital additions include equipment associated with maintaining compliance with environmental laws, regulations and guidelines), $10.4 million for various major renewal and improvement projects, $2.3 million for the development of natural gas leaseholds, $1.9 million relating to the new ERP system, and an additional $0.4 million associated with maintaining compliance with environmental laws, regulations and guidelines. The capital additions were funded primarily from noncurrent restricted cash and investments, working capital and third-party financing. Due to the increase in the amount of capital additions incurred and planned, our depreciation, depletion and amortization expenses have increased and are expected to continue to increase during 2015 and future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Additions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Planned Capital</w:t>
            </w:r>
          </w:p>
        </w:tc>
      </w:tr>
      <w:tr>
        <w:trPr>
          <w:trHeight w:val="149"/>
        </w:trPr>
        <w:tc>
          <w:tcPr>
            <w:tcW w:w="674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7"/>
              </w:rPr>
              <w:t>Additions</w:t>
            </w:r>
          </w:p>
        </w:tc>
      </w:tr>
      <w:tr>
        <w:trPr>
          <w:trHeight w:val="149"/>
        </w:trPr>
        <w:tc>
          <w:tcPr>
            <w:tcW w:w="674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1"/>
              </w:rPr>
              <w:t>For the Second</w:t>
            </w:r>
          </w:p>
        </w:tc>
      </w:tr>
      <w:tr>
        <w:trPr>
          <w:trHeight w:val="167"/>
        </w:trPr>
        <w:tc>
          <w:tcPr>
            <w:tcW w:w="674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color w:val="auto"/>
                <w:w w:val="97"/>
              </w:rPr>
              <w:t>Half of 2015</w:t>
            </w:r>
          </w:p>
        </w:tc>
      </w:tr>
      <w:tr>
        <w:trPr>
          <w:trHeight w:val="142"/>
        </w:trPr>
        <w:tc>
          <w:tcPr>
            <w:tcW w:w="674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El Dorado Facility Expansion Projects (1)</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$ 223</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 $243</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of Natural Gas Leaseholds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Environmental Projects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Major Renewal and Improvement Projects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75"/>
        </w:trPr>
        <w:tc>
          <w:tcPr>
            <w:tcW w:w="6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Chemical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248</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278</w:t>
            </w:r>
          </w:p>
        </w:tc>
      </w:tr>
      <w:tr>
        <w:trPr>
          <w:trHeight w:val="291"/>
        </w:trPr>
        <w:tc>
          <w:tcPr>
            <w:tcW w:w="6740" w:type="dxa"/>
            <w:vAlign w:val="bottom"/>
          </w:tcPr>
          <w:p>
            <w:pPr>
              <w:spacing w:after="0"/>
              <w:rPr>
                <w:sz w:val="20"/>
                <w:szCs w:val="20"/>
                <w:color w:val="auto"/>
              </w:rPr>
            </w:pPr>
            <w:r>
              <w:rPr>
                <w:rFonts w:ascii="Arial" w:cs="Arial" w:eastAsia="Arial" w:hAnsi="Arial"/>
                <w:sz w:val="18"/>
                <w:szCs w:val="18"/>
                <w:color w:val="auto"/>
              </w:rPr>
              <w:t>Climate Control</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91"/>
        </w:trPr>
        <w:tc>
          <w:tcPr>
            <w:tcW w:w="6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254</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290</w:t>
            </w:r>
          </w:p>
        </w:tc>
      </w:tr>
      <w:tr>
        <w:trPr>
          <w:trHeight w:val="20"/>
        </w:trPr>
        <w:tc>
          <w:tcPr>
            <w:tcW w:w="6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a portion of these capital additions could occur during the first quarter of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Included in planned capital expenditures is capitalized interest of approximately $9 million for the second half of 2015. The planned capital expenditures for Corporate and Other are primarily for the replacement of our enterprise resource planning, financial and operations management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2016 at a total cost of $25 million to $27 million.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planned capital expenditures include investments that we anticipate making for expansion and development projects, environmental requirements, and major renewal and improvement projects. Beyond the completion of the expansion projects, specific capital projects are less identified but are expected to include approximately $40 million to $60 million per year at our chemical facilities for ongoing capital maintenance, including environmental compliance, major renewal and improvement projects, and other capital projects, and approximately $28 million from 2016-2019 to fully develop our natural gas working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El Dorado Facility has certain expansion projects underway. These expansion projects include an ammonia production plant; a new 65% strength nitric acid plant and concentrator; and other support infrastructure, all of which were analyzed and evaluated based on their forecasted return on investment. During the second quarter of 2015, we started the concentrated nitric acid process and incurred startup costs for the period of approximately $0.2 million. Sales from the process have commenced, although startup costs are continuing. The expected costs of these projects are outlined below, which planned amounts are included in the table above.</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Capitalized</w:t>
            </w:r>
          </w:p>
        </w:tc>
        <w:tc>
          <w:tcPr>
            <w:tcW w:w="1820" w:type="dxa"/>
            <w:vAlign w:val="bottom"/>
            <w:gridSpan w:val="5"/>
          </w:tcPr>
          <w:p>
            <w:pPr>
              <w:spacing w:after="0"/>
              <w:rPr>
                <w:sz w:val="20"/>
                <w:szCs w:val="20"/>
                <w:color w:val="auto"/>
              </w:rPr>
            </w:pPr>
            <w:r>
              <w:rPr>
                <w:rFonts w:ascii="Arial" w:cs="Arial" w:eastAsia="Arial" w:hAnsi="Arial"/>
                <w:sz w:val="14"/>
                <w:szCs w:val="14"/>
                <w:color w:val="auto"/>
              </w:rPr>
              <w:t>Planned Capital Additions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 Date</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w w:val="97"/>
              </w:rPr>
              <w:t>to Completion</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tcPr>
          <w:p>
            <w:pPr>
              <w:jc w:val="right"/>
              <w:ind w:right="560"/>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$420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 –</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480" w:type="dxa"/>
            <w:vAlign w:val="bottom"/>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243</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660</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680</w:t>
            </w: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El Dorado Facility produces nitric acid and HDAN and LDAN from purchased ammonia, which is currently at a cost disadvantage compared to products produced from natural gas. The El Dorado Facility historically purchased 600-700 tons of ammonia per day when operating at full capacity. We are constructing a 1,150 ton per day ammonia production plant at the El Dorado Facility, which we believe should eliminate the cost disadvantage, increase capacity, and improve efficiency of the El Dorado Facility. This project is expected to be operational early in the second quarter of 2016.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to replace the concentrated nitric acid capacity lost in May 2012. The concentrator was recently completed, the nitric acid plant is scheduled to begin production in the fourth quarter of 2015 and are designed to be more efficient and provide increased nitric acid production capacity.</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Plant Turnarounds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Consistent, reliable and safe operations at our chemical plants are critical to our financial performance and results of operations. Unplanned downtime of the plants typically result in lost contribution margin, increased maintenance expense and decreased inventory for sale. The financial impact of planned downtime, such as major Turnaround maintenance, is mitigated through a diligent planning process that takes into consideration the market, the availability of resources to perform the needed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maintenance, feedstock logistics and other factors. Based on our current plan for Turnarounds for the remainder of 2015, we estimate that we will incur approximately $2.0 million to $2.4 million of these Turnaround costs. However, it is possible that the actual costs could be significantly different from our estimates.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Chemical Business is subject to specific federal and state environmental compliance laws, regulations and guidelines. As a result, our Chemical Business incurred expenses of $3.1 million in the first half of 2015 in connection with environmental projects. For the remainder of 2015, we expect to incur expenses ranging from $2.2 million to $2.7 million in connection with additional environmental projects. However, it is possible that the actual costs could be significantly different than our estimates, including costs relating to a corrective action study work plan approved by the KDHE discussed under footnote 3 – Other Environmental Matters of Note 9 of Notes to Condensed Consolidated Financial Statements.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terms of the Amended Working Capital Loan Agreement and the Senior Secured Notes.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2015, dividends totaling $300,000 were declared and paid on our outstanding preferred stock using funds from our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1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Working Capital Revolver Loan requires, among other things, that we meet certain financial covenants, including a minimum fixed charge coverage ratio of not less than 2.0 to 1.0, if at any time the excess availability (as defined by the Working Capital Revolver Loan), under the Working Capital Revolver Loan, is less than or equal to $12.5 million. This ratio will be measured monthly on a trailing twelve month basis and as defined in the agreement. As of June 30, 2015, as defined in the agreement, the fixed charge coverage ratio was 3.4 to 1. Currently, our forecast is that we will be able to meet all financial covenant requirements for the next twelve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believe chemical products sold by our Chemical Business to the agricultural industry are seasonal while sales into the industrial and mining sectors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See our discussion on critical accounting policies and estimates in Item 7 of our 2014 Form 10-K. In addition, the preparation of financial statements requires management to make estimates and assumptions that affect the reported amount of assets, liabilities, revenues and expenses, and disclosures of contingencies and fair values. For the first half of 2015, we did not experience a material change in accounting estimates. However, it is reasonably possible that the estimates and assumptions utilized as of June 30, 2015 could change in the near-term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2015, we have agreed to indemnify the sureties for payments, up to $17.3 million, made by them in respect of such bonds. All of these insurance bonds are expected to expire or be renewed in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2014 Form 10-K, we had certain contractual obligations as of December 31, 2014, with various maturity dates, showing payments due for the next five years and thereafter related to the following:</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ammonia and natural gas, changes in market interest rates, and changes in market currency exchange rates.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June 30, 2015, we had a minimal amount of embedded losses associated with sales commitments with firm sales prices relating to our Chemical Business.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Chemical Business buys substantial quantities of natural gas (as a feedstock) and platinum (as a catalyst in the manufacturing process) generally at market prices and our Climate Control Business buys substantial quantities of copper for use in manufacturing processes. As part of our raw material price risk management, periodically, our Chemical Business enters into firm purchase commitments and/or futures/forward contracts for natural gas and our Climate Control Business enters into futures contracts for copper, which are discussed in Note 10 of Notes To Condensed Consolidated Financial Statements. Our Chemical Business has also acquired working interests in natural gas properties to serve as an economic hedge against potential higher natural gas prices for a portion of our future natural gas requirements.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Certain subsidiaries within the Chemical Business entered into contracts to purchase natural gas for anticipated production needs. A portion of these contracts are considered derivatives and are accounted for on a mark-to-market basis; which are discussed in Note 10, and a portion of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June 30, 2015, our futures/forward natural gas contracts, which are exempt from mark-to-market accounting, included the firm purchase commitments of approximately 1.8 million MMBtu of natural gas. These contracts extend through December 2015 at a weighted-average cost of $3.20 per MMBtu ($5.9 million) and a weighted-average market value of $2.91 per MMBtu ($5.4 million).</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 As part of our interest rate risk management, we periodically purchase and/or enter into various interest rate contracts, which are discussed in Note 10 of Notes To Condensed Consolidated Financial Statements. At June 30, 2015, we did not have any financial instruments with fair values significantly different from their carrying amounts, except for the Senior Secured Notes. At June 30, 2015, the estimated fair value of the Senior Secured Notes exceeded the carrying value by approximately $30.0 million based on a quoted price of 107.0, which is also discussed in Note 10.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June 30, 2015 that have materially affected, or are reasonably likely to materially affect, our internal control over financial reporting.</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2014, we began implementing a new enterprise resource planning system. We are implementing this system in discreet phases during the next few years. As a result, this implementation requires us to monitor and maintain appropriate internal control over financial reporting during this transition. While we expect that our internal controls over financial reporting will remain largely similar or unchanged,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“should” and similar expressions identify Forward-Looking Statements. Forward-Looking Statements contained herein include, but not limited to, the following:</w:t>
      </w:r>
    </w:p>
    <w:p>
      <w:pPr>
        <w:spacing w:after="0" w:line="7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downtime at our Chemical Business facilities;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for purchased ammonia;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construction and sales outlook for the markets we serve and the products we sell in the Climate Control Business;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demand for our geothermal products;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due to expiration of the Orica contract and replacing lost annual volumes: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from the ongoing Operational Excellence activities;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strategy for our Climate Control Business;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our external ammonia purchase requirements;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domestic fertilizer production and/or demand;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stimulating sales of our geothermal heat pump products, and other “green” products;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current ammonia cost disadvantage;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improved sales in 2015 for our Climate Control Business;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entering into the additional borrowings;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completing the ERP implementation in 2016;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completing the El Dorado expansion project during 2015 and 2016;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from the El Dorado expansion project;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cost of our capital projects and the timing of those costs;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to develop natural gas working interest;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Turnarounds during the remainder of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benefits from the El Dorado expansion projects;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internal controls over financial reporting.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8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ectPr>
          <w:pgSz w:w="11900" w:h="16838" w:orient="portrait"/>
          <w:cols w:equalWidth="0" w:num="1">
            <w:col w:w="11320"/>
          </w:cols>
          <w:pgMar w:left="240" w:top="459" w:right="339" w:bottom="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459" w:right="339" w:bottom="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ammonia, natural gas, copper, steel and purchased components,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problems with production equipment,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obtain third-party financing;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2014 Form 10-K and Form 10-Q for quarterly period ended March 31, 2015 and June 30, 2015.</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ectPr>
          <w:pgSz w:w="11900" w:h="16838" w:orient="portrait"/>
          <w:cols w:equalWidth="0" w:num="1">
            <w:col w:w="11400"/>
          </w:cols>
          <w:pgMar w:left="240" w:top="459" w:right="259" w:bottom="622"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59" w:right="259" w:bottom="622"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 </w:t>
      </w:r>
      <w:r>
        <w:rPr>
          <w:rFonts w:ascii="Arial" w:cs="Arial" w:eastAsia="Arial" w:hAnsi="Arial"/>
          <w:sz w:val="18"/>
          <w:szCs w:val="18"/>
          <w:color w:val="auto"/>
        </w:rPr>
        <w:t>– Ammonium nitrate.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ARO </w:t>
      </w:r>
      <w:r>
        <w:rPr>
          <w:rFonts w:ascii="Arial" w:cs="Arial" w:eastAsia="Arial" w:hAnsi="Arial"/>
          <w:sz w:val="18"/>
          <w:szCs w:val="18"/>
          <w:color w:val="auto"/>
        </w:rPr>
        <w:t>– Asset retirement obligation.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Bayer </w:t>
      </w:r>
      <w:r>
        <w:rPr>
          <w:rFonts w:ascii="Arial" w:cs="Arial" w:eastAsia="Arial" w:hAnsi="Arial"/>
          <w:sz w:val="18"/>
          <w:szCs w:val="18"/>
          <w:color w:val="auto"/>
        </w:rPr>
        <w:t>– Bayer MaterialScience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Baytown Facility </w:t>
      </w:r>
      <w:r>
        <w:rPr>
          <w:rFonts w:ascii="Arial" w:cs="Arial" w:eastAsia="Arial" w:hAnsi="Arial"/>
          <w:sz w:val="18"/>
          <w:szCs w:val="18"/>
          <w:color w:val="auto"/>
        </w:rPr>
        <w:t>– The nitric acid production facility operated by a subsidiary of EDN located in Baytown,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 LSB and certain of its subsidiaries that are party to the Amended Working Capital Revolver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 Carrier Corporation.</w:t>
      </w:r>
    </w:p>
    <w:p>
      <w:pPr>
        <w:spacing w:after="0" w:line="9"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b w:val="1"/>
          <w:bCs w:val="1"/>
          <w:color w:val="auto"/>
        </w:rPr>
        <w:t xml:space="preserve">Chemical Business </w:t>
      </w:r>
      <w:r>
        <w:rPr>
          <w:rFonts w:ascii="Arial" w:cs="Arial" w:eastAsia="Arial" w:hAnsi="Arial"/>
          <w:sz w:val="18"/>
          <w:szCs w:val="18"/>
          <w:color w:val="auto"/>
        </w:rPr>
        <w:t>– LSB’s business segment that manufactures and sells nitrogen-based chemical products for the agricultural, industrial, and mining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Cherokee Facility </w:t>
      </w:r>
      <w:r>
        <w:rPr>
          <w:rFonts w:ascii="Arial" w:cs="Arial" w:eastAsia="Arial" w:hAnsi="Arial"/>
          <w:sz w:val="18"/>
          <w:szCs w:val="18"/>
          <w:color w:val="auto"/>
        </w:rPr>
        <w:t>– Our chemical production facility located in Cherokee, Alabama.</w:t>
      </w:r>
    </w:p>
    <w:p>
      <w:pPr>
        <w:spacing w:after="0" w:line="9"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color w:val="auto"/>
        </w:rPr>
        <w:t xml:space="preserve">Climate Control Business </w:t>
      </w:r>
      <w:r>
        <w:rPr>
          <w:rFonts w:ascii="Arial" w:cs="Arial" w:eastAsia="Arial" w:hAnsi="Arial"/>
          <w:sz w:val="17"/>
          <w:szCs w:val="17"/>
          <w:color w:val="auto"/>
        </w:rPr>
        <w:t>– LSB’s business segment manufactures and sells a broad range of HVAC products that include water source and geothermal heat</w:t>
      </w:r>
      <w:r>
        <w:rPr>
          <w:rFonts w:ascii="Arial" w:cs="Arial" w:eastAsia="Arial" w:hAnsi="Arial"/>
          <w:sz w:val="17"/>
          <w:szCs w:val="17"/>
          <w:b w:val="1"/>
          <w:bCs w:val="1"/>
          <w:color w:val="auto"/>
        </w:rPr>
        <w:t xml:space="preserve"> </w:t>
      </w:r>
      <w:r>
        <w:rPr>
          <w:rFonts w:ascii="Arial" w:cs="Arial" w:eastAsia="Arial" w:hAnsi="Arial"/>
          <w:sz w:val="17"/>
          <w:szCs w:val="17"/>
          <w:color w:val="auto"/>
        </w:rPr>
        <w:t>pumps, hydronic fan coils, large custom air handlers, modular geothermal and other chillers, and other related products and services.</w:t>
      </w:r>
    </w:p>
    <w:p>
      <w:pPr>
        <w:spacing w:after="0"/>
        <w:rPr>
          <w:sz w:val="20"/>
          <w:szCs w:val="20"/>
          <w:color w:val="auto"/>
        </w:rPr>
      </w:pPr>
      <w:r>
        <w:rPr>
          <w:rFonts w:ascii="Arial" w:cs="Arial" w:eastAsia="Arial" w:hAnsi="Arial"/>
          <w:sz w:val="18"/>
          <w:szCs w:val="18"/>
          <w:b w:val="1"/>
          <w:bCs w:val="1"/>
          <w:color w:val="auto"/>
        </w:rPr>
        <w:t xml:space="preserve">CMFS </w:t>
      </w:r>
      <w:r>
        <w:rPr>
          <w:rFonts w:ascii="Arial" w:cs="Arial" w:eastAsia="Arial" w:hAnsi="Arial"/>
          <w:sz w:val="18"/>
          <w:szCs w:val="18"/>
          <w:color w:val="auto"/>
        </w:rPr>
        <w:t>– The Dodge Data &amp; Analytics Construction Market Forecasting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DSN </w:t>
      </w:r>
      <w:r>
        <w:rPr>
          <w:rFonts w:ascii="Arial" w:cs="Arial" w:eastAsia="Arial" w:hAnsi="Arial"/>
          <w:sz w:val="18"/>
          <w:szCs w:val="18"/>
          <w:color w:val="auto"/>
        </w:rPr>
        <w:t>– A 98% strength nitric acid plant which was located at the El Dorado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EDC </w:t>
      </w:r>
      <w:r>
        <w:rPr>
          <w:rFonts w:ascii="Arial" w:cs="Arial" w:eastAsia="Arial" w:hAnsi="Arial"/>
          <w:sz w:val="18"/>
          <w:szCs w:val="18"/>
          <w:color w:val="auto"/>
        </w:rPr>
        <w:t>– El Dorado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EDN – </w:t>
      </w:r>
      <w:r>
        <w:rPr>
          <w:rFonts w:ascii="Arial" w:cs="Arial" w:eastAsia="Arial" w:hAnsi="Arial"/>
          <w:sz w:val="18"/>
          <w:szCs w:val="18"/>
          <w:color w:val="auto"/>
        </w:rPr>
        <w:t>El Dorado Nitric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EIA </w:t>
      </w:r>
      <w:r>
        <w:rPr>
          <w:rFonts w:ascii="Arial" w:cs="Arial" w:eastAsia="Arial" w:hAnsi="Arial"/>
          <w:sz w:val="18"/>
          <w:szCs w:val="18"/>
          <w:color w:val="auto"/>
        </w:rPr>
        <w:t>– The U.S. Energy Information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 Dorado Facility </w:t>
      </w:r>
      <w:r>
        <w:rPr>
          <w:rFonts w:ascii="Arial" w:cs="Arial" w:eastAsia="Arial" w:hAnsi="Arial"/>
          <w:sz w:val="18"/>
          <w:szCs w:val="18"/>
          <w:color w:val="auto"/>
        </w:rPr>
        <w:t>– Our chemical production facility located in El Dorado,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 Numerous federal, state and local environmental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EPA </w:t>
      </w:r>
      <w:r>
        <w:rPr>
          <w:rFonts w:ascii="Arial" w:cs="Arial" w:eastAsia="Arial" w:hAnsi="Arial"/>
          <w:sz w:val="18"/>
          <w:szCs w:val="18"/>
          <w:color w:val="auto"/>
        </w:rPr>
        <w:t>– The U.S. Environmental Protection Agency.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ERP </w:t>
      </w:r>
      <w:r>
        <w:rPr>
          <w:rFonts w:ascii="Arial" w:cs="Arial" w:eastAsia="Arial" w:hAnsi="Arial"/>
          <w:sz w:val="18"/>
          <w:szCs w:val="18"/>
          <w:color w:val="auto"/>
        </w:rPr>
        <w:t>– Enterprise resource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FASB </w:t>
      </w:r>
      <w:r>
        <w:rPr>
          <w:rFonts w:ascii="Arial" w:cs="Arial" w:eastAsia="Arial" w:hAnsi="Arial"/>
          <w:sz w:val="18"/>
          <w:szCs w:val="18"/>
          <w:color w:val="auto"/>
        </w:rPr>
        <w:t>– Financial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GHP </w:t>
      </w:r>
      <w:r>
        <w:rPr>
          <w:rFonts w:ascii="Arial" w:cs="Arial" w:eastAsia="Arial" w:hAnsi="Arial"/>
          <w:sz w:val="18"/>
          <w:szCs w:val="18"/>
          <w:color w:val="auto"/>
        </w:rPr>
        <w:t>– Geothermal heat pump.</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Golsen Group </w:t>
      </w:r>
      <w:r>
        <w:rPr>
          <w:rFonts w:ascii="Arial" w:cs="Arial" w:eastAsia="Arial" w:hAnsi="Arial"/>
          <w:sz w:val="18"/>
          <w:szCs w:val="18"/>
          <w:color w:val="auto"/>
        </w:rPr>
        <w:t>– Jack E. Golsen, our Executive Chairman of the Board of Directors, members of his immediate family, including Barry H. Golsen, our Chief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and President, entities owned by them and trusts for which they possess voting or dispositive power as trustee. </w:t>
      </w:r>
      <w:r>
        <w:rPr>
          <w:rFonts w:ascii="Arial" w:cs="Arial" w:eastAsia="Arial" w:hAnsi="Arial"/>
          <w:sz w:val="18"/>
          <w:szCs w:val="18"/>
          <w:b w:val="1"/>
          <w:bCs w:val="1"/>
          <w:color w:val="auto"/>
        </w:rPr>
        <w:t xml:space="preserve">HDAN </w:t>
      </w:r>
      <w:r>
        <w:rPr>
          <w:rFonts w:ascii="Arial" w:cs="Arial" w:eastAsia="Arial" w:hAnsi="Arial"/>
          <w:sz w:val="18"/>
          <w:szCs w:val="18"/>
          <w:color w:val="auto"/>
        </w:rPr>
        <w:t>– High density ammonium nitrate prills used in the agricultural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 Laws </w:t>
      </w:r>
      <w:r>
        <w:rPr>
          <w:rFonts w:ascii="Arial" w:cs="Arial" w:eastAsia="Arial" w:hAnsi="Arial"/>
          <w:sz w:val="18"/>
          <w:szCs w:val="18"/>
          <w:color w:val="auto"/>
        </w:rPr>
        <w:t>– Numerous federal, state and local health and safety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KDHE </w:t>
      </w:r>
      <w:r>
        <w:rPr>
          <w:rFonts w:ascii="Arial" w:cs="Arial" w:eastAsia="Arial" w:hAnsi="Arial"/>
          <w:sz w:val="18"/>
          <w:szCs w:val="18"/>
          <w:color w:val="auto"/>
        </w:rPr>
        <w:t>– The Kansas Department of Health and Environmental.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LDAN </w:t>
      </w:r>
      <w:r>
        <w:rPr>
          <w:rFonts w:ascii="Arial" w:cs="Arial" w:eastAsia="Arial" w:hAnsi="Arial"/>
          <w:sz w:val="18"/>
          <w:szCs w:val="18"/>
          <w:color w:val="auto"/>
        </w:rPr>
        <w:t>– Low density ammonium nitrate prills used in the mining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 Wells Fargo Capital Finance, LLC (“Wells Fargo”), as the arranger and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 The agreement governing the Senior Secured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LSB </w:t>
      </w:r>
      <w:r>
        <w:rPr>
          <w:rFonts w:ascii="Arial" w:cs="Arial" w:eastAsia="Arial" w:hAnsi="Arial"/>
          <w:sz w:val="18"/>
          <w:szCs w:val="18"/>
          <w:color w:val="auto"/>
        </w:rPr>
        <w:t>– LSB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MD&amp;A </w:t>
      </w:r>
      <w:r>
        <w:rPr>
          <w:rFonts w:ascii="Arial" w:cs="Arial" w:eastAsia="Arial" w:hAnsi="Arial"/>
          <w:sz w:val="18"/>
          <w:szCs w:val="18"/>
          <w:color w:val="auto"/>
        </w:rPr>
        <w:t>– 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MMBtu </w:t>
      </w:r>
      <w:r>
        <w:rPr>
          <w:rFonts w:ascii="Arial" w:cs="Arial" w:eastAsia="Arial" w:hAnsi="Arial"/>
          <w:sz w:val="18"/>
          <w:szCs w:val="18"/>
          <w:color w:val="auto"/>
        </w:rPr>
        <w:t>– Million Metric British thermal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Nitric Acid Plant </w:t>
      </w:r>
      <w:r>
        <w:rPr>
          <w:rFonts w:ascii="Arial" w:cs="Arial" w:eastAsia="Arial" w:hAnsi="Arial"/>
          <w:sz w:val="18"/>
          <w:szCs w:val="18"/>
          <w:color w:val="auto"/>
        </w:rPr>
        <w:t>– A new nitric acid plant being constructed at our El Dorado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 </w:t>
      </w:r>
      <w:r>
        <w:rPr>
          <w:rFonts w:ascii="Arial" w:cs="Arial" w:eastAsia="Arial" w:hAnsi="Arial"/>
          <w:sz w:val="18"/>
          <w:szCs w:val="18"/>
          <w:color w:val="auto"/>
        </w:rPr>
        <w:t>New York Mercantile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Orica </w:t>
      </w:r>
      <w:r>
        <w:rPr>
          <w:rFonts w:ascii="Arial" w:cs="Arial" w:eastAsia="Arial" w:hAnsi="Arial"/>
          <w:sz w:val="18"/>
          <w:szCs w:val="18"/>
          <w:color w:val="auto"/>
        </w:rPr>
        <w:t>– Orica International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PCC </w:t>
      </w:r>
      <w:r>
        <w:rPr>
          <w:rFonts w:ascii="Arial" w:cs="Arial" w:eastAsia="Arial" w:hAnsi="Arial"/>
          <w:sz w:val="18"/>
          <w:szCs w:val="18"/>
          <w:color w:val="auto"/>
        </w:rPr>
        <w:t>– Pryor Chemical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PP&amp;E </w:t>
      </w:r>
      <w:r>
        <w:rPr>
          <w:rFonts w:ascii="Arial" w:cs="Arial" w:eastAsia="Arial" w:hAnsi="Arial"/>
          <w:sz w:val="18"/>
          <w:szCs w:val="18"/>
          <w:color w:val="auto"/>
        </w:rPr>
        <w:t>– Plant,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Pryor Facility </w:t>
      </w:r>
      <w:r>
        <w:rPr>
          <w:rFonts w:ascii="Arial" w:cs="Arial" w:eastAsia="Arial" w:hAnsi="Arial"/>
          <w:sz w:val="18"/>
          <w:szCs w:val="18"/>
          <w:color w:val="auto"/>
        </w:rPr>
        <w:t>– Our chemical production facility located in Pryor,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 The 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Senior Secured Notes </w:t>
      </w:r>
      <w:r>
        <w:rPr>
          <w:rFonts w:ascii="Arial" w:cs="Arial" w:eastAsia="Arial" w:hAnsi="Arial"/>
          <w:sz w:val="18"/>
          <w:szCs w:val="18"/>
          <w:color w:val="auto"/>
        </w:rPr>
        <w:t>– The $425 million aggregate principal amount of 7.75% Senior Secured Notes due August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SG&amp;A </w:t>
      </w:r>
      <w:r>
        <w:rPr>
          <w:rFonts w:ascii="Arial" w:cs="Arial" w:eastAsia="Arial" w:hAnsi="Arial"/>
          <w:sz w:val="18"/>
          <w:szCs w:val="18"/>
          <w:color w:val="auto"/>
        </w:rPr>
        <w:t>– Selling, general and administrative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Turnaround </w:t>
      </w:r>
      <w:r>
        <w:rPr>
          <w:rFonts w:ascii="Arial" w:cs="Arial" w:eastAsia="Arial" w:hAnsi="Arial"/>
          <w:sz w:val="18"/>
          <w:szCs w:val="18"/>
          <w:color w:val="auto"/>
        </w:rPr>
        <w:t>– A planned major maintenance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UAN </w:t>
      </w:r>
      <w:r>
        <w:rPr>
          <w:rFonts w:ascii="Arial" w:cs="Arial" w:eastAsia="Arial" w:hAnsi="Arial"/>
          <w:sz w:val="18"/>
          <w:szCs w:val="18"/>
          <w:color w:val="auto"/>
        </w:rPr>
        <w:t>– Urea ammonium nitrate.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Working Capital Revolver Loan </w:t>
      </w:r>
      <w:r>
        <w:rPr>
          <w:rFonts w:ascii="Arial" w:cs="Arial" w:eastAsia="Arial" w:hAnsi="Arial"/>
          <w:sz w:val="18"/>
          <w:szCs w:val="18"/>
          <w:color w:val="auto"/>
        </w:rPr>
        <w:t>– The senior secured revolving credit facility, as amended in June 2015.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legal proceedings or material developments in any such legal proceedings pending against us not reported in Item 3 of our 2014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 or in Item 1 of Part II of our March 31, 2015 Form 10-Q, except as follows: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October 2014, our Cherokee Facility received from the EPA a notice of violation as a result of a risk management inspection by the EPA during 2013. The notice listed eleven alleged violations. During May 2015, our Cherokee Facility received a settlement letter from the EPA, which terms have been accepted, subject to the final consent decree from the EPA. Under the proposed settlement, we would pay a penalty in the form of providing $100,000 to purchase emergency response equipment for the local first responders plus a civil penalty of $26,000.</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During May 2015, our subsidiary, EDC, was sued in the matter styled </w:t>
      </w:r>
      <w:r>
        <w:rPr>
          <w:rFonts w:ascii="Arial" w:cs="Arial" w:eastAsia="Arial" w:hAnsi="Arial"/>
          <w:sz w:val="18"/>
          <w:szCs w:val="18"/>
          <w:u w:val="single" w:color="auto"/>
          <w:color w:val="auto"/>
        </w:rPr>
        <w:t>BAE Systems Ordinance Systems, Inc.</w:t>
      </w:r>
      <w:r>
        <w:rPr>
          <w:rFonts w:ascii="Arial" w:cs="Arial" w:eastAsia="Arial" w:hAnsi="Arial"/>
          <w:sz w:val="18"/>
          <w:szCs w:val="18"/>
          <w:color w:val="auto"/>
        </w:rPr>
        <w:t xml:space="preserve"> (“BAE”), </w:t>
      </w:r>
      <w:r>
        <w:rPr>
          <w:rFonts w:ascii="Arial" w:cs="Arial" w:eastAsia="Arial" w:hAnsi="Arial"/>
          <w:sz w:val="18"/>
          <w:szCs w:val="18"/>
          <w:u w:val="single" w:color="auto"/>
          <w:color w:val="auto"/>
        </w:rPr>
        <w:t>et al. vs. El Dorado Chemical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in the United States District Court, Western District of Arkansas, for alleged breach of a supply agreement to provide BAE certain products. It is EDC’s position, among other things, that its inability to deliver to BAE was due to a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event caused by a fire and explosion at EDC’s nitric acid plant, which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clause in the supply agreement excuses EDC’s performance under the supply agreement. BAE pre-litigation demand indicated a claim in excess of $30 million. EDC will vigorously defend this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2014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3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 The Company has included the following exhibits in this report:</w:t>
      </w:r>
    </w:p>
    <w:p>
      <w:pPr>
        <w:spacing w:after="0" w:line="36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400" w:type="dxa"/>
            <w:vAlign w:val="bottom"/>
          </w:tcPr>
          <w:p>
            <w:pPr>
              <w:ind w:left="380"/>
              <w:spacing w:after="0"/>
              <w:rPr>
                <w:sz w:val="20"/>
                <w:szCs w:val="20"/>
                <w:color w:val="auto"/>
              </w:rPr>
            </w:pPr>
            <w:r>
              <w:rPr>
                <w:rFonts w:ascii="Arial" w:cs="Arial" w:eastAsia="Arial" w:hAnsi="Arial"/>
                <w:sz w:val="18"/>
                <w:szCs w:val="18"/>
                <w:color w:val="auto"/>
                <w:w w:val="89"/>
              </w:rPr>
              <w:t>Amendment No. 1 to the Second Amended and Restated Loan and Security Agreement, dated effective as of June 11, 2015, by and among</w:t>
            </w:r>
          </w:p>
        </w:tc>
      </w:tr>
      <w:tr>
        <w:trPr>
          <w:trHeight w:val="216"/>
        </w:trPr>
        <w:tc>
          <w:tcPr>
            <w:tcW w:w="680" w:type="dxa"/>
            <w:vAlign w:val="bottom"/>
          </w:tcPr>
          <w:p>
            <w:pPr>
              <w:spacing w:after="0"/>
              <w:rPr>
                <w:sz w:val="18"/>
                <w:szCs w:val="18"/>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w w:val="89"/>
              </w:rPr>
              <w:t>LSB Industries, Inc. and each of its subsidiaries that are Signatories, the lenders and Wells Fargo Capital Finance, LLC, as the arranger and</w:t>
            </w:r>
          </w:p>
        </w:tc>
      </w:tr>
      <w:tr>
        <w:trPr>
          <w:trHeight w:val="216"/>
        </w:trPr>
        <w:tc>
          <w:tcPr>
            <w:tcW w:w="680" w:type="dxa"/>
            <w:vAlign w:val="bottom"/>
          </w:tcPr>
          <w:p>
            <w:pPr>
              <w:spacing w:after="0"/>
              <w:rPr>
                <w:sz w:val="18"/>
                <w:szCs w:val="18"/>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w w:val="91"/>
              </w:rPr>
              <w:t>administrative agent for the Lenders, which the Company hereby incorporates by reference from Exhibit 99.1 to the Company’s Form 8-K,</w:t>
            </w:r>
          </w:p>
        </w:tc>
      </w:tr>
      <w:tr>
        <w:trPr>
          <w:trHeight w:val="230"/>
        </w:trPr>
        <w:tc>
          <w:tcPr>
            <w:tcW w:w="680" w:type="dxa"/>
            <w:vAlign w:val="bottom"/>
          </w:tcPr>
          <w:p>
            <w:pPr>
              <w:spacing w:after="0"/>
              <w:rPr>
                <w:sz w:val="20"/>
                <w:szCs w:val="20"/>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rPr>
              <w:t>dated June 12, 2015.</w:t>
            </w:r>
          </w:p>
        </w:tc>
      </w:tr>
      <w:tr>
        <w:trPr>
          <w:trHeight w:val="324"/>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400" w:type="dxa"/>
            <w:vAlign w:val="bottom"/>
          </w:tcPr>
          <w:p>
            <w:pPr>
              <w:ind w:left="380"/>
              <w:spacing w:after="0"/>
              <w:rPr>
                <w:sz w:val="20"/>
                <w:szCs w:val="20"/>
                <w:color w:val="auto"/>
              </w:rPr>
            </w:pPr>
            <w:r>
              <w:rPr>
                <w:rFonts w:ascii="Arial" w:cs="Arial" w:eastAsia="Arial" w:hAnsi="Arial"/>
                <w:sz w:val="18"/>
                <w:szCs w:val="18"/>
                <w:color w:val="auto"/>
              </w:rPr>
              <w:t>Certification of Barry H. Golsen, Chief Executive Officer, pursuant to Sarbanes-Oxley Act of 2002, Section 302.</w:t>
            </w:r>
          </w:p>
        </w:tc>
      </w:tr>
      <w:tr>
        <w:trPr>
          <w:trHeight w:val="365"/>
        </w:trPr>
        <w:tc>
          <w:tcPr>
            <w:tcW w:w="680" w:type="dxa"/>
            <w:vAlign w:val="bottom"/>
          </w:tcPr>
          <w:p>
            <w:pPr>
              <w:spacing w:after="0"/>
              <w:rPr>
                <w:sz w:val="24"/>
                <w:szCs w:val="24"/>
                <w:color w:val="auto"/>
              </w:rPr>
            </w:pPr>
          </w:p>
        </w:tc>
        <w:tc>
          <w:tcPr>
            <w:tcW w:w="10400" w:type="dxa"/>
            <w:vAlign w:val="bottom"/>
          </w:tcPr>
          <w:p>
            <w:pPr>
              <w:ind w:left="484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9140" w:type="dxa"/>
            <w:vAlign w:val="bottom"/>
          </w:tcPr>
          <w:p>
            <w:pPr>
              <w:ind w:left="240"/>
              <w:spacing w:after="0"/>
              <w:rPr>
                <w:sz w:val="20"/>
                <w:szCs w:val="20"/>
                <w:color w:val="auto"/>
              </w:rPr>
            </w:pPr>
            <w:r>
              <w:rPr>
                <w:rFonts w:ascii="Arial" w:cs="Arial" w:eastAsia="Arial" w:hAnsi="Arial"/>
                <w:sz w:val="18"/>
                <w:szCs w:val="18"/>
                <w:color w:val="auto"/>
              </w:rPr>
              <w:t>Certification of Mark T. Behrman, Chief Financial Officer, pursuant to Sarbanes-Oxley Act of 2002, Section 302.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9140" w:type="dxa"/>
            <w:vAlign w:val="bottom"/>
          </w:tcPr>
          <w:p>
            <w:pPr>
              <w:ind w:left="240"/>
              <w:spacing w:after="0"/>
              <w:rPr>
                <w:sz w:val="20"/>
                <w:szCs w:val="20"/>
                <w:color w:val="auto"/>
              </w:rPr>
            </w:pPr>
            <w:r>
              <w:rPr>
                <w:rFonts w:ascii="Arial" w:cs="Arial" w:eastAsia="Arial" w:hAnsi="Arial"/>
                <w:sz w:val="18"/>
                <w:szCs w:val="18"/>
                <w:color w:val="auto"/>
                <w:w w:val="92"/>
              </w:rPr>
              <w:t>Certification of Barry H. Golsen, Chief Executive Officer, furnished pursuant to Sarbanes-Oxley Act of 2002, Section 906.</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9140" w:type="dxa"/>
            <w:vAlign w:val="bottom"/>
          </w:tcPr>
          <w:p>
            <w:pPr>
              <w:ind w:left="240"/>
              <w:spacing w:after="0"/>
              <w:rPr>
                <w:sz w:val="20"/>
                <w:szCs w:val="20"/>
                <w:color w:val="auto"/>
              </w:rPr>
            </w:pPr>
            <w:r>
              <w:rPr>
                <w:rFonts w:ascii="Arial" w:cs="Arial" w:eastAsia="Arial" w:hAnsi="Arial"/>
                <w:sz w:val="18"/>
                <w:szCs w:val="18"/>
                <w:color w:val="auto"/>
                <w:w w:val="91"/>
              </w:rPr>
              <w:t>Certification of Mark T. Behrman,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1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1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1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9140" w:type="dxa"/>
            <w:vAlign w:val="bottom"/>
          </w:tcPr>
          <w:p>
            <w:pPr>
              <w:ind w:left="47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0219"/>
          </w:cols>
          <w:pgMar w:left="240" w:top="45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6</w:t>
      </w:r>
      <w:r>
        <w:rPr>
          <w:rFonts w:ascii="Arial" w:cs="Arial" w:eastAsia="Arial" w:hAnsi="Arial"/>
          <w:sz w:val="15"/>
          <w:szCs w:val="15"/>
          <w:color w:val="auto"/>
        </w:rPr>
        <w:t>th</w:t>
      </w:r>
      <w:r>
        <w:rPr>
          <w:rFonts w:ascii="Arial" w:cs="Arial" w:eastAsia="Arial" w:hAnsi="Arial"/>
          <w:sz w:val="18"/>
          <w:szCs w:val="18"/>
          <w:color w:val="auto"/>
        </w:rPr>
        <w:t xml:space="preserve"> day of August 2015.</w:t>
      </w:r>
    </w:p>
    <w:p>
      <w:pPr>
        <w:spacing w:after="0" w:line="19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29330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2933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240" w:top="459" w:right="6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H. Golsen, certify that:</w:t>
      </w:r>
    </w:p>
    <w:p>
      <w:pPr>
        <w:spacing w:after="0" w:line="1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H.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5"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40"/>
          </w:cols>
          <w:pgMar w:left="240" w:top="125"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2015 as filed with the Securities and Exchange Commission on the date hereof (the “Report”). I, Barry H. Golsen, President and Chief Executive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H. Golsen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6, 2015</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380"/>
          </w:cols>
          <w:pgMar w:left="240" w:top="125"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2015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August 6, 2015</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1"/>
    </w:lvl>
    <w:lvl w:ilvl="1">
      <w:lvlJc w:val="left"/>
      <w:lvlText w:val="•"/>
      <w:numFmt w:val="bullet"/>
      <w:start w:val="1"/>
    </w:lvl>
  </w:abstractNum>
  <w:abstractNum w:abstractNumId="3">
    <w:nsid w:val="2443A858"/>
    <w:multiLevelType w:val="hybridMultilevel"/>
    <w:lvl w:ilvl="0">
      <w:lvlJc w:val="left"/>
      <w:lvlText w:val="(%1)"/>
      <w:numFmt w:val="upperLetter"/>
      <w:start w:val="2"/>
    </w:lvl>
  </w:abstractNum>
  <w:abstractNum w:abstractNumId="4">
    <w:nsid w:val="2D1D5AE9"/>
    <w:multiLevelType w:val="hybridMultilevel"/>
    <w:lvl w:ilvl="0">
      <w:lvlJc w:val="left"/>
      <w:lvlText w:val="%1."/>
      <w:numFmt w:val="upperLetter"/>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upperLetter"/>
      <w:start w:val="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4"/>
    </w:lvl>
  </w:abstractNum>
  <w:abstractNum w:abstractNumId="11">
    <w:nsid w:val="189A769B"/>
    <w:multiLevelType w:val="hybridMultilevel"/>
    <w:lvl w:ilvl="0">
      <w:lvlJc w:val="left"/>
      <w:lvlText w:val="%1"/>
      <w:numFmt w:val="decimal"/>
      <w:start w:val="1"/>
    </w:lvl>
    <w:lvl w:ilvl="1">
      <w:lvlJc w:val="left"/>
      <w:lvlText w:val="(%2)"/>
      <w:numFmt w:val="upperLetter"/>
      <w:start w:val="1"/>
    </w:lvl>
  </w:abstractNum>
  <w:abstractNum w:abstractNumId="12">
    <w:nsid w:val="54E49EB4"/>
    <w:multiLevelType w:val="hybridMultilevel"/>
    <w:lvl w:ilvl="0">
      <w:lvlJc w:val="left"/>
      <w:lvlText w:val="(%1)"/>
      <w:numFmt w:val="decimal"/>
      <w:start w:val="5"/>
    </w:lvl>
    <w:lvl w:ilvl="1">
      <w:lvlJc w:val="left"/>
      <w:lvlText w:val="%2"/>
      <w:numFmt w:val="upperLetter"/>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lvl w:ilvl="1">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lvl w:ilvl="1">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2019-12-29T15:46:35Z</dcterms:created>
  <dcterms:modified xsi:type="dcterms:W3CDTF">2019-12-29T15:46:35Z</dcterms:modified>
</cp:coreProperties>
</file>