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397"/>
        </w:trPr>
        <w:tc>
          <w:tcPr>
            <w:tcW w:w="3380" w:type="dxa"/>
            <w:vAlign w:val="bottom"/>
            <w:gridSpan w:val="3"/>
          </w:tcPr>
          <w:p>
            <w:pPr>
              <w:ind w:left="960"/>
              <w:spacing w:after="0"/>
              <w:rPr>
                <w:sz w:val="20"/>
                <w:szCs w:val="20"/>
                <w:color w:val="auto"/>
              </w:rPr>
            </w:pPr>
            <w:r>
              <w:rPr>
                <w:rFonts w:ascii="Arial" w:cs="Arial" w:eastAsia="Arial" w:hAnsi="Arial"/>
                <w:sz w:val="18"/>
                <w:szCs w:val="18"/>
                <w:b w:val="1"/>
                <w:bCs w:val="1"/>
                <w:color w:val="auto"/>
                <w:w w:val="88"/>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-264160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680" w:type="dxa"/>
        <w:tblCellMar>
          <w:top w:w="0" w:type="dxa"/>
          <w:left w:w="0" w:type="dxa"/>
          <w:bottom w:w="0" w:type="dxa"/>
          <w:right w:w="0" w:type="dxa"/>
        </w:tblCellMar>
      </w:tblPr>
      <w:tr>
        <w:trPr>
          <w:trHeight w:val="218"/>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6980" w:type="dxa"/>
            <w:vAlign w:val="bottom"/>
          </w:tcPr>
          <w:p>
            <w:pPr>
              <w:jc w:val="center"/>
              <w:ind w:right="24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80" w:type="dxa"/>
            <w:vAlign w:val="bottom"/>
          </w:tcPr>
          <w:p>
            <w:pPr>
              <w:jc w:val="center"/>
              <w:ind w:right="24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50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6980" w:type="dxa"/>
            <w:vAlign w:val="bottom"/>
          </w:tcPr>
          <w:p>
            <w:pPr>
              <w:jc w:val="center"/>
              <w:ind w:right="24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6980" w:type="dxa"/>
            <w:vAlign w:val="bottom"/>
          </w:tcPr>
          <w:p>
            <w:pPr>
              <w:jc w:val="right"/>
              <w:ind w:right="1324"/>
              <w:spacing w:after="0"/>
              <w:rPr>
                <w:sz w:val="20"/>
                <w:szCs w:val="20"/>
                <w:color w:val="auto"/>
              </w:rPr>
            </w:pPr>
            <w:r>
              <w:rPr>
                <w:rFonts w:ascii="Arial" w:cs="Arial" w:eastAsia="Arial" w:hAnsi="Arial"/>
                <w:sz w:val="18"/>
                <w:szCs w:val="18"/>
                <w:b w:val="1"/>
                <w:bCs w:val="1"/>
                <w:color w:val="auto"/>
              </w:rPr>
              <w:t>(405) 235-4546</w:t>
            </w:r>
          </w:p>
        </w:tc>
        <w:tc>
          <w:tcPr>
            <w:tcW w:w="1500" w:type="dxa"/>
            <w:vAlign w:val="bottom"/>
          </w:tcPr>
          <w:p>
            <w:pPr>
              <w:spacing w:after="0"/>
              <w:rPr>
                <w:sz w:val="24"/>
                <w:szCs w:val="24"/>
                <w:color w:val="auto"/>
              </w:rPr>
            </w:pPr>
          </w:p>
        </w:tc>
      </w:tr>
      <w:tr>
        <w:trPr>
          <w:trHeight w:val="174"/>
        </w:trPr>
        <w:tc>
          <w:tcPr>
            <w:tcW w:w="6980" w:type="dxa"/>
            <w:vAlign w:val="bottom"/>
          </w:tcPr>
          <w:p>
            <w:pPr>
              <w:jc w:val="center"/>
              <w:ind w:left="302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0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46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April 30, 2014 was 22,535,813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3"/>
              </w:rPr>
              <w:t>Page</w:t>
            </w:r>
          </w:p>
        </w:tc>
      </w:tr>
      <w:tr>
        <w:trPr>
          <w:trHeight w:val="264"/>
        </w:trPr>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780" w:type="dxa"/>
            <w:vAlign w:val="bottom"/>
            <w:gridSpan w:val="8"/>
          </w:tcPr>
          <w:p>
            <w:pPr>
              <w:jc w:val="center"/>
              <w:ind w:right="4560"/>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PART I – Financial Information</w:t>
              </w:r>
            </w:hyperlink>
          </w:p>
        </w:tc>
        <w:tc>
          <w:tcPr>
            <w:tcW w:w="28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000" w:type="dxa"/>
            <w:vAlign w:val="bottom"/>
            <w:gridSpan w:val="4"/>
          </w:tcPr>
          <w:p>
            <w:pPr>
              <w:spacing w:after="0"/>
              <w:rPr>
                <w:sz w:val="24"/>
                <w:szCs w:val="24"/>
                <w:color w:val="auto"/>
              </w:rPr>
            </w:pPr>
          </w:p>
        </w:tc>
        <w:tc>
          <w:tcPr>
            <w:tcW w:w="2220" w:type="dxa"/>
            <w:vAlign w:val="bottom"/>
            <w:tcBorders>
              <w:top w:val="single" w:sz="8" w:color="0000EE"/>
            </w:tcBorders>
            <w:gridSpan w:val="6"/>
          </w:tcPr>
          <w:p>
            <w:pPr>
              <w:spacing w:after="0"/>
              <w:rPr>
                <w:sz w:val="24"/>
                <w:szCs w:val="24"/>
                <w:color w:val="auto"/>
              </w:rPr>
            </w:pPr>
          </w:p>
        </w:tc>
        <w:tc>
          <w:tcPr>
            <w:tcW w:w="456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Controls and Procedures</w:t>
              </w:r>
            </w:hyperlink>
          </w:p>
        </w:tc>
        <w:tc>
          <w:tcPr>
            <w:tcW w:w="852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Special Note Regarding Forward-Looking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80" w:type="dxa"/>
            <w:vAlign w:val="bottom"/>
            <w:gridSpan w:val="8"/>
          </w:tcPr>
          <w:p>
            <w:pPr>
              <w:jc w:val="center"/>
              <w:ind w:right="4540"/>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PART II – Other Information</w:t>
              </w:r>
            </w:hyperlink>
          </w:p>
        </w:tc>
        <w:tc>
          <w:tcPr>
            <w:tcW w:w="2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040" w:type="dxa"/>
            <w:vAlign w:val="bottom"/>
            <w:tcBorders>
              <w:top w:val="single" w:sz="8" w:color="0000EE"/>
            </w:tcBorders>
            <w:gridSpan w:val="4"/>
          </w:tcPr>
          <w:p>
            <w:pPr>
              <w:spacing w:after="0"/>
              <w:rPr>
                <w:sz w:val="24"/>
                <w:szCs w:val="24"/>
                <w:color w:val="auto"/>
              </w:rPr>
            </w:pPr>
          </w:p>
        </w:tc>
        <w:tc>
          <w:tcPr>
            <w:tcW w:w="464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8960" w:type="dxa"/>
            <w:vAlign w:val="bottom"/>
            <w:gridSpan w:val="1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2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Mining Safety Disclosures</w:t>
              </w:r>
            </w:hyperlink>
          </w:p>
        </w:tc>
        <w:tc>
          <w:tcPr>
            <w:tcW w:w="8380" w:type="dxa"/>
            <w:vAlign w:val="bottom"/>
            <w:gridSpan w:val="10"/>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383"/>
        </w:trPr>
        <w:tc>
          <w:tcPr>
            <w:tcW w:w="880" w:type="dxa"/>
            <w:vAlign w:val="bottom"/>
          </w:tcPr>
          <w:p>
            <w:pPr>
              <w:spacing w:after="0"/>
              <w:rPr>
                <w:sz w:val="24"/>
                <w:szCs w:val="24"/>
                <w:color w:val="auto"/>
              </w:rPr>
            </w:pPr>
          </w:p>
        </w:tc>
        <w:tc>
          <w:tcPr>
            <w:tcW w:w="5620" w:type="dxa"/>
            <w:vAlign w:val="bottom"/>
            <w:gridSpan w:val="14"/>
          </w:tcPr>
          <w:p>
            <w:pPr>
              <w:ind w:left="48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2014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color w:val="auto"/>
                <w:w w:val="89"/>
              </w:rPr>
              <w:t>March 31,</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59"/>
        </w:trPr>
        <w:tc>
          <w:tcPr>
            <w:tcW w:w="9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80,570</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29,163</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Work in progress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880"/>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Precious metals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Supplies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ind w:left="130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60,034</w:t>
            </w: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370,679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353,839</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416,801</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restricted cash and cash equivalents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80,974</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Noncurrent restricted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209,990</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issuance costs,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312,457</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1,090,305</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1,083,097</w:t>
            </w:r>
          </w:p>
        </w:tc>
        <w:tc>
          <w:tcPr>
            <w:tcW w:w="10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2014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color w:val="auto"/>
                <w:w w:val="89"/>
              </w:rPr>
              <w:t>March 31,</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59"/>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452,136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453,705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$.10 par value; 75,000,000 shares authorized, 26,855,450 shares issued (26,846,470 at December 31, 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168,360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266,854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452,241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440,089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423,867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1,090,305</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1,083,097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 and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right"/>
              <w:ind w:right="53"/>
              <w:spacing w:after="0" w:line="142" w:lineRule="exact"/>
              <w:rPr>
                <w:sz w:val="20"/>
                <w:szCs w:val="20"/>
                <w:color w:val="auto"/>
              </w:rPr>
            </w:pPr>
            <w:r>
              <w:rPr>
                <w:rFonts w:ascii="Arial" w:cs="Arial" w:eastAsia="Arial" w:hAnsi="Arial"/>
                <w:sz w:val="14"/>
                <w:szCs w:val="14"/>
                <w:color w:val="auto"/>
                <w:w w:val="86"/>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129,803</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27,658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(recovery of) losses on accounts receivable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(5,147)</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25,861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before provision (benefit) for income taxes and equity in earnings of affiliate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11,643</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 (loss) applicable to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11,341</w:t>
            </w:r>
          </w:p>
        </w:tc>
        <w:tc>
          <w:tcPr>
            <w:tcW w:w="4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22,533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0.49</w:t>
            </w:r>
          </w:p>
        </w:tc>
        <w:tc>
          <w:tcPr>
            <w:tcW w:w="4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$ 2,685</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$167,550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$266,854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$ 411,715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11,641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433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168,360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278,195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 and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11,641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(used) by continuing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Prepaid and accrued 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Deferred gain on insurance recoveries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Expenditures for property, plant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(165,106)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noncurrent restricted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sales of carbon credits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obligations—carbon credits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 net of fees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financing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(29,350)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98,020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162,783</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2013 (“2013 Form 10-K”), filed with the Securities and Exchange Commission (“SEC”) on February 27, 2014.</w:t>
      </w:r>
    </w:p>
    <w:p>
      <w:pPr>
        <w:spacing w:after="0" w:line="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Basis of Consolidation and Presentation—</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opinion of management, the unaudited condensed consolidated financial statements of the Company as of March 31, 2014 and for the three month periods ended March 31, 2014 and 2013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certain downtime events associated with our chemical facilities,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2013 Form 10-K.</w:t>
      </w:r>
    </w:p>
    <w:p>
      <w:pPr>
        <w:spacing w:after="0" w:line="13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Reclassifications—</w:t>
      </w:r>
      <w:r>
        <w:rPr>
          <w:rFonts w:ascii="Arial" w:cs="Arial" w:eastAsia="Arial" w:hAnsi="Arial"/>
          <w:sz w:val="18"/>
          <w:szCs w:val="18"/>
          <w:color w:val="auto"/>
        </w:rPr>
        <w:t>Reclassifications have been made in our condensed consolidated statement of cash flows for the three months ended March 31,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conform to our condensed consolidated statement of cash flows for the three months ended March 31, 2014, which reclassifications combined various operating activities line items. These reclassifications did not impact the total amount of net cash used by continuing operating activities for the three months ended March 31, 2013.</w:t>
      </w:r>
    </w:p>
    <w:p>
      <w:pPr>
        <w:spacing w:after="0" w:line="136"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At March, 31, 2014, the cash and cash equivalents balance exceeded the FDIC-insured limits by approximately $8 million. All of these cash balances were held by financial institutions within the U.S.</w:t>
      </w:r>
    </w:p>
    <w:p>
      <w:pPr>
        <w:spacing w:after="0" w:line="1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Noncurrent Restricted Cash and Cash Equivalents—</w:t>
      </w:r>
      <w:r>
        <w:rPr>
          <w:rFonts w:ascii="Arial" w:cs="Arial" w:eastAsia="Arial" w:hAnsi="Arial"/>
          <w:sz w:val="18"/>
          <w:szCs w:val="18"/>
          <w:color w:val="auto"/>
        </w:rPr>
        <w:t>Noncurrent restricted cash and cash equivalents consist of balances that are designated by us for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relating to capital projects. At March 31, 2014, the noncurrent restricted cash and cash equivalents balance exceeded the FDIC-insured limits by approximately $122 million. All of this balance was held by financial institutions within the 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Recognition of Insurance Recoveries—</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March 31,</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46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11,641</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on Series B Preferred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460" w:type="dxa"/>
            <w:vAlign w:val="bottom"/>
          </w:tcPr>
          <w:p>
            <w:pPr>
              <w:ind w:left="860"/>
              <w:spacing w:after="0"/>
              <w:rPr>
                <w:sz w:val="20"/>
                <w:szCs w:val="20"/>
                <w:color w:val="auto"/>
              </w:rPr>
            </w:pPr>
            <w:r>
              <w:rPr>
                <w:rFonts w:ascii="Arial" w:cs="Arial" w:eastAsia="Arial" w:hAnsi="Arial"/>
                <w:sz w:val="18"/>
                <w:szCs w:val="18"/>
                <w:color w:val="auto"/>
              </w:rPr>
              <w:t>Dividends on Series D Preferred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dividends on preferred stocks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5460" w:type="dxa"/>
            <w:vAlign w:val="bottom"/>
          </w:tcPr>
          <w:p>
            <w:pPr>
              <w:ind w:left="440"/>
              <w:spacing w:after="0"/>
              <w:rPr>
                <w:sz w:val="20"/>
                <w:szCs w:val="20"/>
                <w:color w:val="auto"/>
              </w:rPr>
            </w:pPr>
            <w:r>
              <w:rPr>
                <w:rFonts w:ascii="Arial" w:cs="Arial" w:eastAsia="Arial" w:hAnsi="Arial"/>
                <w:sz w:val="18"/>
                <w:szCs w:val="18"/>
                <w:color w:val="auto"/>
              </w:rPr>
              <w:t>Numerator for basic net income (loss) per common share—net</w:t>
            </w: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640"/>
              <w:spacing w:after="0"/>
              <w:rPr>
                <w:sz w:val="20"/>
                <w:szCs w:val="20"/>
                <w:color w:val="auto"/>
              </w:rPr>
            </w:pPr>
            <w:r>
              <w:rPr>
                <w:rFonts w:ascii="Arial" w:cs="Arial" w:eastAsia="Arial" w:hAnsi="Arial"/>
                <w:sz w:val="18"/>
                <w:szCs w:val="18"/>
                <w:color w:val="auto"/>
              </w:rPr>
              <w:t>income (loss) applicable to common stock</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Dividends on preferred stocks assumed to be converted, if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dilutive</w:t>
            </w:r>
          </w:p>
        </w:tc>
        <w:tc>
          <w:tcPr>
            <w:tcW w:w="5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Numerator for diluted net income (loss) per common share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11,641</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60" w:type="dxa"/>
            <w:vAlign w:val="bottom"/>
          </w:tcPr>
          <w:p>
            <w:pPr>
              <w:ind w:left="440"/>
              <w:spacing w:after="0"/>
              <w:rPr>
                <w:sz w:val="20"/>
                <w:szCs w:val="20"/>
                <w:color w:val="auto"/>
              </w:rPr>
            </w:pPr>
            <w:r>
              <w:rPr>
                <w:rFonts w:ascii="Arial" w:cs="Arial" w:eastAsia="Arial" w:hAnsi="Arial"/>
                <w:sz w:val="18"/>
                <w:szCs w:val="18"/>
                <w:color w:val="auto"/>
              </w:rPr>
              <w:t>Denominator for basic net income (loss) per common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640"/>
              <w:spacing w:after="0"/>
              <w:rPr>
                <w:sz w:val="20"/>
                <w:szCs w:val="20"/>
                <w:color w:val="auto"/>
              </w:rPr>
            </w:pPr>
            <w:r>
              <w:rPr>
                <w:rFonts w:ascii="Arial" w:cs="Arial" w:eastAsia="Arial" w:hAnsi="Arial"/>
                <w:sz w:val="18"/>
                <w:szCs w:val="18"/>
                <w:color w:val="auto"/>
              </w:rPr>
              <w:t>weighted-average shares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22,532,522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22,423,616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dilutive securities: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916,666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720"/>
              <w:spacing w:after="0"/>
              <w:rPr>
                <w:sz w:val="20"/>
                <w:szCs w:val="20"/>
                <w:color w:val="auto"/>
              </w:rPr>
            </w:pPr>
            <w:r>
              <w:rPr>
                <w:rFonts w:ascii="Arial" w:cs="Arial" w:eastAsia="Arial" w:hAnsi="Arial"/>
                <w:sz w:val="18"/>
                <w:szCs w:val="18"/>
                <w:color w:val="auto"/>
              </w:rPr>
              <w:t>Dilutive potential common shares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1,107,185</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Denominator for diluted net income (loss) per common share—</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adjusted weighted-average shares and assumed conversions</w:t>
            </w:r>
          </w:p>
        </w:tc>
        <w:tc>
          <w:tcPr>
            <w:tcW w:w="5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23,639,707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22,423,616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Basic net income (loss) per common share</w:t>
            </w: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30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 (continued)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8"/>
          </w:tcPr>
          <w:p>
            <w:pPr>
              <w:ind w:left="3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w w:val="89"/>
              </w:rPr>
              <w:t>March 31,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20" w:type="dxa"/>
            <w:vAlign w:val="bottom"/>
            <w:gridSpan w:val="3"/>
          </w:tcPr>
          <w:p>
            <w:pPr>
              <w:jc w:val="right"/>
              <w:ind w:right="126"/>
              <w:spacing w:after="0" w:line="159" w:lineRule="exact"/>
              <w:rPr>
                <w:sz w:val="20"/>
                <w:szCs w:val="20"/>
                <w:color w:val="auto"/>
              </w:rPr>
            </w:pPr>
            <w:r>
              <w:rPr>
                <w:rFonts w:ascii="Arial" w:cs="Arial" w:eastAsia="Arial" w:hAnsi="Arial"/>
                <w:sz w:val="14"/>
                <w:szCs w:val="14"/>
                <w:color w:val="auto"/>
              </w:rPr>
              <w:t>2014</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136"/>
              <w:spacing w:after="0" w:line="159"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916,666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9"/>
                <w:szCs w:val="19"/>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6"/>
              </w:rPr>
              <w:t>280,000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713,247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86"/>
              </w:rPr>
              <w:t>280,000</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1,629,913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Accounts Receivable, net</w:t>
            </w: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940" w:type="dxa"/>
            <w:vAlign w:val="bottom"/>
            <w:gridSpan w:val="3"/>
          </w:tcPr>
          <w:p>
            <w:pPr>
              <w:spacing w:after="0"/>
              <w:rPr>
                <w:sz w:val="20"/>
                <w:szCs w:val="20"/>
                <w:color w:val="auto"/>
              </w:rPr>
            </w:pPr>
            <w:r>
              <w:rPr>
                <w:rFonts w:ascii="Arial" w:cs="Arial" w:eastAsia="Arial" w:hAnsi="Arial"/>
                <w:sz w:val="18"/>
                <w:szCs w:val="18"/>
                <w:color w:val="auto"/>
              </w:rPr>
              <w:t>Our accounts receivables, net, consists of the following:</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20" w:type="dxa"/>
            <w:vAlign w:val="bottom"/>
            <w:gridSpan w:val="3"/>
          </w:tcPr>
          <w:p>
            <w:pPr>
              <w:jc w:val="right"/>
              <w:ind w:right="266"/>
              <w:spacing w:after="0"/>
              <w:rPr>
                <w:sz w:val="20"/>
                <w:szCs w:val="20"/>
                <w:color w:val="auto"/>
              </w:rPr>
            </w:pPr>
            <w:r>
              <w:rPr>
                <w:rFonts w:ascii="Arial" w:cs="Arial" w:eastAsia="Arial" w:hAnsi="Arial"/>
                <w:sz w:val="14"/>
                <w:szCs w:val="14"/>
                <w:color w:val="auto"/>
                <w:w w:val="89"/>
              </w:rPr>
              <w:t>March 31,</w:t>
            </w:r>
          </w:p>
        </w:tc>
        <w:tc>
          <w:tcPr>
            <w:tcW w:w="1200" w:type="dxa"/>
            <w:vAlign w:val="bottom"/>
            <w:gridSpan w:val="6"/>
          </w:tcPr>
          <w:p>
            <w:pPr>
              <w:ind w:left="3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79"/>
              <w:spacing w:after="0" w:line="159"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$89,755</w:t>
            </w: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77,899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91,169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(559)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90,610</w:t>
            </w:r>
          </w:p>
        </w:tc>
        <w:tc>
          <w:tcPr>
            <w:tcW w:w="340" w:type="dxa"/>
            <w:vAlign w:val="bottom"/>
          </w:tcPr>
          <w:p>
            <w:pPr>
              <w:spacing w:after="0"/>
              <w:rPr>
                <w:sz w:val="19"/>
                <w:szCs w:val="19"/>
                <w:color w:val="auto"/>
              </w:rPr>
            </w:pP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One of our subsidiaries, El Dorado Chemical Company (“EDC”), is a party to an agreement with Bank of America, N.A. (the “Bank”) to sell our accounts receivables generated from product sales to a certain customer. We agreed to enter into this agreement as a courtesy to this customer. The term of this agreement matures in August 2014,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March 31, 2014, EDC has been paid by the Bank for the accounts receivables sold to the Bank. We account for these transfers as sales under ASC 860 – Transfers and Servicing.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2014 and December 31, 2013, inventory reserves for certain slow-moving inventory items (Climate Control products) were $1,393,000 and</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$1,389,000, respectively. In addition, because cost exceeded the net realizable value, inventory reserves for certain nitrogen-based inventories provided by our Chemical Business were $84,000 and $1,623,000 at March 31, 2014 and December 31, 2013, respectively.</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noncurrent accrued and other liabilities consist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March 31,</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6"/>
              <w:spacing w:after="0" w:line="159" w:lineRule="exact"/>
              <w:rPr>
                <w:sz w:val="20"/>
                <w:szCs w:val="20"/>
                <w:color w:val="auto"/>
              </w:rPr>
            </w:pPr>
            <w:r>
              <w:rPr>
                <w:rFonts w:ascii="Arial" w:cs="Arial" w:eastAsia="Arial" w:hAnsi="Arial"/>
                <w:sz w:val="14"/>
                <w:szCs w:val="14"/>
                <w:color w:val="auto"/>
                <w:w w:val="96"/>
              </w:rPr>
              <w:t>2014</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 on extended warranty contracts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7,518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Accrued interest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6,378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21,892</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55,755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66,193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17,437</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38,318</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6880" w:type="dxa"/>
            <w:vAlign w:val="bottom"/>
          </w:tcPr>
          <w:p>
            <w:pPr>
              <w:spacing w:after="0"/>
              <w:rPr>
                <w:sz w:val="14"/>
                <w:szCs w:val="14"/>
                <w:color w:val="auto"/>
              </w:rPr>
            </w:pPr>
          </w:p>
        </w:tc>
        <w:tc>
          <w:tcPr>
            <w:tcW w:w="560" w:type="dxa"/>
            <w:vAlign w:val="bottom"/>
            <w:vMerge w:val="restart"/>
          </w:tcPr>
          <w:p>
            <w:pPr>
              <w:jc w:val="right"/>
              <w:ind w:right="81"/>
              <w:spacing w:after="0"/>
              <w:rPr>
                <w:sz w:val="20"/>
                <w:szCs w:val="20"/>
                <w:color w:val="auto"/>
              </w:rPr>
            </w:pPr>
            <w:r>
              <w:rPr>
                <w:rFonts w:ascii="Arial" w:cs="Arial" w:eastAsia="Arial" w:hAnsi="Arial"/>
                <w:sz w:val="14"/>
                <w:szCs w:val="14"/>
                <w:color w:val="auto"/>
              </w:rPr>
              <w:t>2014</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March 31,</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8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680" w:type="dxa"/>
            <w:vAlign w:val="bottom"/>
            <w:gridSpan w:val="4"/>
          </w:tcPr>
          <w:p>
            <w:pPr>
              <w:jc w:val="center"/>
              <w:ind w:right="20"/>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$ 7,297</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2,227</w:t>
            </w:r>
          </w:p>
        </w:tc>
        <w:tc>
          <w:tcPr>
            <w:tcW w:w="5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(1,946)</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$ 7,578</w:t>
            </w:r>
          </w:p>
        </w:tc>
        <w:tc>
          <w:tcPr>
            <w:tcW w:w="5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March 31, 2014 and December 31, 2013, our accrued liability for AROs was $306,000 and $304,000, respectively.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right"/>
              <w:ind w:right="495"/>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425,000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Other, with a current weighted-average interest rate of 3.96%, most of which is secured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by machinery and equipment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461,884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462,967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452,136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453,705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8"/>
        <w:spacing w:after="0" w:line="255" w:lineRule="auto"/>
        <w:tabs>
          <w:tab w:leader="none" w:pos="287"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 December 31, 2013, LSB and certain of its wholly-owned subsidiaries (the “Borrowers”) entered into an amendment to the existing senior secured revolving credit facility (the “Amended Working Capital Revolver”). Pursuant to the terms of the Amended Working Capital Revolver Loan, the Borrowers may borrow on a revolving basis up to $100.0 million, based on specific percentages of eligible accounts receivable and inventories. In addition, the Amended Working Capital Revolver Loan and the Senior Secured Notes are cross collateralized as discussed in (B) below. The Amended Working Capital Revolver Loan will mature on April 13, 2018.</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March 31, 2014, the interest rate was 3.75% based on LIBOR. Interest is paid monthly, if applicable.</w:t>
      </w:r>
    </w:p>
    <w:p>
      <w:pPr>
        <w:spacing w:after="0" w:line="10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As of March 31, 2014, the amount available for borrowing under the Amended Working Capital Revolver Loan was approximately $79.7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Amended Working Capital Revolver Loan requires the Borrowers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ability, without consent of the lender and with certain exceptions, to:</w:t>
      </w:r>
    </w:p>
    <w:p>
      <w:pPr>
        <w:spacing w:after="0" w:line="3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17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other restricted payments, including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declare dividends and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Amended Working Capital Revolver Loan allows the Borrowers and subsidiaries under the Senior Secured Notes to guarantee those notes.</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and pay dividends by LSB with respect to amounts in excess of $0.5 million during each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of treasury stock by LSB with respect to amounts in excess of $0.5 million during each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hedging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joint ventures and certain subsidiaries of LSB in an aggregate amount not exceeding $35.0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$2.5 million, cross-acceleration to indebtedness in excess of $2.5 million, bankruptcy and insolvency events, certain unsatisfied judgments, certain liens, and certain assertions of, or actual invalidity of, certain loan documents.</w:t>
      </w:r>
    </w:p>
    <w:p>
      <w:pPr>
        <w:spacing w:after="0" w:line="143" w:lineRule="exact"/>
        <w:rPr>
          <w:sz w:val="20"/>
          <w:szCs w:val="20"/>
          <w:color w:val="auto"/>
        </w:rPr>
      </w:pPr>
    </w:p>
    <w:p>
      <w:pPr>
        <w:ind w:right="80" w:firstLine="8"/>
        <w:spacing w:after="0" w:line="294" w:lineRule="auto"/>
        <w:tabs>
          <w:tab w:leader="none" w:pos="278"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On August 7, 2013, LSB sold $425 million aggregate principal amount of the 7.75% Senior Secured Notes due 2019 (the “Senior Secured Notes”) in a 144A transaction pursuant to the exemptions from the registration requirements of the Securities Act of 1933, as amended (the “Act”). The Senior Secured Notes are eligible for resale by the investors under Rule144A under the Act. LSB received net proceeds of approximately $351 million, after the payoff of a secured term loan (discussed below), commissions and fees. In connection with the closing, LSB entered into an indenture (the “Indenture”) with UMB Bank, as trustee, governing the Senior Secured Notes and as collateral agent, and will receive customary compensation from us for such services.</w:t>
      </w:r>
    </w:p>
    <w:p>
      <w:pPr>
        <w:spacing w:after="0" w:line="1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on February 1st and August 1st.</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above, and will be senior in right of payment to all of LSB and the guarantors’ future subordinated indebtedness. LSB does not have independent assets or operations.</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release or discharge of any guarantee or indebtedness that resulted in the creation of the guarantee of the Senior Secured Notes by such guarantor;</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of its capital stock or of all or substantially all of the assets, of such guarantor; or</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Senior Secured Notes will be secured on a first-priority basis by the Notes’ Priority Collateral owned by LSB and the guarantors (other than the two unsecured guarantors) providing security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 At March 31, 2014, the carrying value of the assets secured on a first-priority basis was approximately $427 million and the carrying value of the assets secured on a second-priority basis was approximately $138 million.</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4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discussed above, approximately $67.2 million of the proceeds from Senior Secured Notes was used to pay all outstanding borrowings, including a prepayment premium, under a secured term loan facility.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Senior Secured Notes, LSB entered into a Registration Rights Agreement (the “Registration Rights Agreement”). Pursuant to the Registration Rights Agreement, we have agreed to use our reasonable best efforts to file with the SEC a registration statement (“Registration Statement”) on an appropriate form with respect to a registered offer to exchange the notes for new notes with terms substantially identical in all material respects to the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 If the exchange offer is not completed on or prior to the expiration of 365 days from August 7, 2013 (the date of closing) and under certain other conditions, the annual interest rate on the notes will be increased by (i) 0.25% (or approximately $3,000 per day) for the first 90 day period immediately following such default and (ii) an additional 0.25% with respect to each subsequent 90 day period, in each case until and including the date such default ends, up to a maximum increase of 1.00% (or approximately $12,000 per day).</w:t>
      </w:r>
    </w:p>
    <w:p>
      <w:pPr>
        <w:spacing w:after="0" w:line="120" w:lineRule="exact"/>
        <w:rPr>
          <w:sz w:val="20"/>
          <w:szCs w:val="20"/>
          <w:color w:val="auto"/>
        </w:rPr>
      </w:pPr>
    </w:p>
    <w:p>
      <w:pPr>
        <w:ind w:right="180" w:firstLine="8"/>
        <w:spacing w:after="0" w:line="255" w:lineRule="auto"/>
        <w:tabs>
          <w:tab w:leader="none" w:pos="28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February 1, 2013, Zena Energy L.L.C. (“Zena”), a subsidiary within our Chemical Business, entered into a loan (the “Secured Promissory Note”) with a lender in the original principal amount of $35 million. The Secured Promissory Note follows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Secured Promissory Note matures on February 1, 2016.</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Principal and interest are payable monthly based on a five-year amortization at a defined LIBOR rate plus 300 basis points with a final balloon payment of $15.3 million due at maturity. The interest rate at March 31, 2014 was 3.24%. The loan is secured by the Working Interests and related properties and proceeds.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Capital Project Commitments—</w:t>
      </w:r>
      <w:r>
        <w:rPr>
          <w:rFonts w:ascii="Arial" w:cs="Arial" w:eastAsia="Arial" w:hAnsi="Arial"/>
          <w:sz w:val="18"/>
          <w:szCs w:val="18"/>
          <w:color w:val="auto"/>
        </w:rPr>
        <w:t>EDC is party to an agreement with Weatherly Inc. for the licensing, engineering, and procurement of major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for a new 65% strength nitric acid plant (“Nitric Acid Plant”) to be constructed at the our chemical production facility located in El Dorado, Arkansas (the “El Dorado Facility”). EDC is also party to various agreements with SAIC Constructors, LLC to engineer, procure and construct the Nitric Acid Plant, a nitric acid concentrator and certain support facilities at the El Dorado Facility. The estimated cost for this project ranges from $115 million to $125 million, of which $60 million has been incurred and capitalized at March 31, 2014.</w:t>
      </w:r>
    </w:p>
    <w:p>
      <w:pPr>
        <w:spacing w:after="0" w:line="14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 subsidiary of EDC is also party to various agreements with SAIC Constructors, LLC to engineer, procure and construct an ammonia plant and certain support facilities. The estimated cost for this project ranges from $250 million to $300 million, of which $53 million has been incurred and capitalized at March 31,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Termination of Sales Commitment</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Ammonium nitrate supply agreement—Pursuant to a long-term cost-plus supply agreement, EDC supplies Orica International Pte Ltd (“Orica”) with an annual minimum of 240,000 tons of industrial grade ammonium nitrate (“AN”) produced at our El Dorado Facility. The agreement includes a provision for Orica to pay for product not taken. The agreement also includes a required notice of termination of one year, with the termination date to be no sooner than April 9, 2015. On March 31, 2014, EDC sent to Orica the required one-year notice that EDC will not renew the agreement on or after April 9,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Following is a summary of certain legal matters involving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relating to the handling, manufacture, use, emission, discharge or disposal of hazardous or toxic materials at or from our facilities or the use or disposal of certain of its chemical products. Historically, significant expenditures have been incurred by</w:t>
      </w:r>
    </w:p>
    <w:p>
      <w:pPr>
        <w:ind w:right="60"/>
        <w:spacing w:after="0" w:line="290" w:lineRule="auto"/>
        <w:rPr>
          <w:sz w:val="20"/>
          <w:szCs w:val="20"/>
          <w:color w:val="auto"/>
        </w:rPr>
      </w:pPr>
      <w:r>
        <w:rPr>
          <w:rFonts w:ascii="Arial" w:cs="Arial" w:eastAsia="Arial" w:hAnsi="Arial"/>
          <w:sz w:val="16"/>
          <w:szCs w:val="16"/>
          <w:color w:val="auto"/>
        </w:rPr>
        <w:t>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 As of March 31, 2014, our accrued liabilities for environmental matters totaled $1,278,000 relating primarily to matters discussed below. It is reasonably possible that a change in the estimate of our liability could occur in the near term. Also see discussion in Note 7 – Asset Retirement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meeting the permit requirements as to the dissolved minerals will continue to be an issue since the El Dorado Facility is currently disposing its wastewater by a pipeline constructed by the City of El Dorado, Arkansas. EDC and certain other companies in the El Dorado, Arkansas area contributed to the cost of construction of the pipeline, and agreed to pay their share of the annual operating cost of the pipeline, and in return received the right to use the pipeline to dispose of their wastewater. The initial term of the operating agreement is through December 2053.</w:t>
      </w:r>
    </w:p>
    <w:p>
      <w:pPr>
        <w:spacing w:after="0" w:line="12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December 31, 2010.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March 31, 2014.</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March 31, 2014, in connection with this matter.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a national enforcement initiative, the EPA had sent information requests to most, if not all, of the operators of nitric acid plants in the United States, including our El Dorado Facility, our chemical production facility located in Cherokee, Alabama (the “Cherokee Facility”) and a nitric acid plant (the “Baytown Facility”) operated by our subsidiary, El Dorado Nitrogen, L.P. (“EDN”), under Section 114 of the Clean Air Act as to construction and modification activities at each of these facilities over a period of years.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2013, we negotiated a global agreement in principle with the EPA/DOJ as to the Clean Air Act issue discussed above. During the first quarter of 2014, all parties executed the Consent Decree to settle this matter, but such settlement is subject to obtaining court approval of the executed Consent Decree. The agreement provides, among other things, the following:</w:t>
      </w:r>
    </w:p>
    <w:p>
      <w:pPr>
        <w:spacing w:after="0" w:line="59" w:lineRule="exact"/>
        <w:rPr>
          <w:sz w:val="20"/>
          <w:szCs w:val="20"/>
          <w:color w:val="auto"/>
        </w:rPr>
      </w:pPr>
    </w:p>
    <w:p>
      <w:pPr>
        <w:ind w:left="900" w:right="10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our Chemical Business’ owned and operated nitric acid plants are to achieve certain emission rates within a certain time period for each plant. Of the nine nitric acid production facilities currently owned or operated by our Chemical Business, all but EDN requires or required additional pollution control technology to achieve these emission rates. The pollution control technology has already been installed at three of our nitric acid plants and five of our nitric acid plants still require additional pollution control technology equipment to be installed. The cost of the necessary pollution control equipment and the installment of such equipment is estimated to range from $2.0 million to $3.0 million for each of the remaining five nitric acid plants, the cost of which will be capitalized when incurred;</w:t>
      </w:r>
    </w:p>
    <w:p>
      <w:pPr>
        <w:spacing w:after="0" w:line="39"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 (which includes the $100,000 civil penalty to the ODEQ discussed below), which amount is included in our accrued liabilities for environmental matters discussed above.</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submitted information and a report to the ODEQ as to the reports filed by the Pryor Facility relating to the air emissions in question. In February 2013, investigators with the ODEQ obtained documents from the Pryor Facility in connection with this investigation pursuant to a search warrant and interviewed several employees at the facility. PCC has cooperated with the ODEQ in connection with this investigation. As of March 31, 2014, we are not aware of any recommendations made or to be made by the ODEQ with respect to formal legal action to be taken or recommended as a result of this ongoing investigation.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letter dated April 19, 2013 (the “letter”), ODEQ, based on its inspection of our Pryor Facility conducted in December 2012, identified fourteen issues of alleged non-compliance and concern from the evaluation relating to federal and state air quality regulations, some of which were the subject of the ongoing investigation by ODEQ described above. PCC engaged in discussions with ODEQ and, during the first quarter of 2014, a settlement was reached to resolve the allegations identified in the letter. Three of the violations were resolved through the global settlement with the EPA/DOJ discussed above, and ODEQ agreed to resolve the remaining eleven violations by PCC paying a civil penalty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11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addition, counsel for the EPA, advised PCC of a pending enforcement investigation by the EPA relating to an ammonia release during February 2014, at the Pryor Facility. The EPA indicated that the investigation is in its beginning stages, but that the EPA will likely allege noncompliance with certain sections of the Clean Air Act, which relates to the release of hazardous air pollutants. As of March 31, 2014, the EPA advised that no formal enforcement document is pending against PCC on this issue. At March 31, 2014, we have accrued an estimated amount for penalties, which is included in our accrued liabilities for environmental matters discussed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 which is included in our accrued liabilities for environmental matters discussed above. The estimated amount is not discounted to its present value.</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4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nature and extent of a portion of the requirements are also not currently defined, and the associated costs (or range of costs) are not currently reasonably estimable. Therefore, no liability has been established at March 31, 2014, in connection with the KDHE’s Natural Resources Trustee matter.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Although EDC does not believe that its product was in storage at West Fertilizer at the time of the explosion, there have been certain responses to interrogatories during discovery in connection with the pending lawsuits that some of the AN products at West Fertilizer at the time of the explosion may have possibly been produced by EDC. As a result, during the first quarter of 2014, EDC and LSB were named as defendants, together with other AN manufactures and brokers that arranged the transport and delivery of AN to West Fertilizer, in the case styled </w:t>
      </w:r>
      <w:r>
        <w:rPr>
          <w:rFonts w:ascii="Arial" w:cs="Arial" w:eastAsia="Arial" w:hAnsi="Arial"/>
          <w:sz w:val="16"/>
          <w:szCs w:val="16"/>
          <w:u w:val="single" w:color="auto"/>
          <w:color w:val="auto"/>
        </w:rPr>
        <w:t>City of West,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inspection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of this matter. Our product liability insurance policies have aggregate limits of general liability totaling $100 million, with a self-insured retention of $250,000. As of March 31, 2014, no liability has been established in connection with this matter, but we have incurred professional fees being applied against our self-insured retention amount.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March 31, 2014, our accrued general liability insurance claims were $250,000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have two classes of contracts that are accounted for on a fair value basis, which 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Material Science LLC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March 31, 2014, the valuations of contracts classified as Level 2 related to certain futures/forward natural gas contracts and interest rate swap contracts. For these contracts, we utilize valuation software and market data from third-party providers. For the natural gas contracts, these contracts are valued using the prices pursuant to the terms of the contracts and using market information for futures/forward natural gas prices. At March 31, 2014, the valuation inputs included the contractual weighted-average cost of $3.95 per MMBtu and the estimated weighted-average market value of $4.29 per MMBtu. For interest rate swap contracts, these contracts are valued using a discounted cash flow model that calculates the present value of future cash flows pursuant to the terms of the contracts and using market information for forward interest-rate yield curves. At March 31, 2014, the valuation inputs included the contractual weighted-average pay rate of 3.23% and the estimated market weighted-average receive rate of 0.53%. No valuation input adjustments were considered necessary relating to nonperformance risk for the contracts discussed above.</w:t>
      </w:r>
    </w:p>
    <w:p>
      <w:pPr>
        <w:spacing w:after="0" w:line="1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March 31, 2014 and December 31, 2013, the valuations ($2.50 and $1.00 per carbon credit, respectively) of the carbon credits and the contractual obligations associated with these carbon credits are classified as Level 3 and are based on a March 2014 sales transaction and on the range of ask/bid prices obtained from a broker adjusted downward due to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March 31, 2014 and December 31, 2013, we did not have any futures/forward copper contracts. At March 31, 2014, our futures/forward natural gas contracts were for 2,140,000 MMBtu of natural gas through October 2014 at a weighted-average cost of $3.95 per MMBtu. At December 31, 2013, our futures/forward natural gas contracts were for 1,530,000 MMBtu of natural gas through October 2014 at a weighted-average cost of $3.98 per MMBtu. The cash flows relating to these contracts are included in cash flows from continuing operating activities.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three months ended March 31, 2014 and 2013, no cash flows occurred relating to the purchase or sale of interest rate contracts. The cash flows associated with the interest rate swap payments are included in cash flows from continuing operating activities.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March 31, 2014 and December 31, 2013, we had approximately 669,000 and 1,284,000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color w:val="auto"/>
                <w:w w:val="86"/>
              </w:rPr>
              <w:t>Fair Value Measurements at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220"/>
              <w:spacing w:after="0" w:line="159" w:lineRule="exact"/>
              <w:rPr>
                <w:sz w:val="20"/>
                <w:szCs w:val="20"/>
                <w:color w:val="auto"/>
              </w:rPr>
            </w:pPr>
            <w:r>
              <w:rPr>
                <w:rFonts w:ascii="Arial" w:cs="Arial" w:eastAsia="Arial" w:hAnsi="Arial"/>
                <w:sz w:val="14"/>
                <w:szCs w:val="14"/>
                <w:color w:val="auto"/>
                <w:w w:val="89"/>
              </w:rPr>
              <w:t>March 31, 2014 Using</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4"/>
                <w:szCs w:val="14"/>
                <w:color w:val="auto"/>
                <w:w w:val="83"/>
              </w:rPr>
              <w:t>Quoted Prices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4"/>
              </w:rPr>
              <w:t>in Active</w:t>
            </w:r>
          </w:p>
        </w:tc>
        <w:tc>
          <w:tcPr>
            <w:tcW w:w="4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7"/>
              </w:rPr>
              <w:t>Total Fair</w:t>
            </w: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Markets for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9"/>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Value At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1"/>
              </w:rPr>
              <w:t>Identical</w:t>
            </w:r>
          </w:p>
        </w:tc>
        <w:tc>
          <w:tcPr>
            <w:tcW w:w="4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Observable</w:t>
            </w:r>
          </w:p>
        </w:tc>
        <w:tc>
          <w:tcPr>
            <w:tcW w:w="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w w:val="86"/>
              </w:rPr>
              <w:t>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85"/>
              </w:rPr>
              <w:t>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5"/>
              <w:spacing w:after="0" w:line="159" w:lineRule="exact"/>
              <w:rPr>
                <w:sz w:val="20"/>
                <w:szCs w:val="20"/>
                <w:color w:val="auto"/>
              </w:rPr>
            </w:pPr>
            <w:r>
              <w:rPr>
                <w:rFonts w:ascii="Arial" w:cs="Arial" w:eastAsia="Arial" w:hAnsi="Arial"/>
                <w:sz w:val="14"/>
                <w:szCs w:val="14"/>
                <w:color w:val="auto"/>
                <w:w w:val="89"/>
              </w:rPr>
              <w:t>2014</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2"/>
              <w:spacing w:after="0" w:line="159" w:lineRule="exact"/>
              <w:rPr>
                <w:sz w:val="20"/>
                <w:szCs w:val="20"/>
                <w:color w:val="auto"/>
              </w:rPr>
            </w:pPr>
            <w:r>
              <w:rPr>
                <w:rFonts w:ascii="Arial" w:cs="Arial" w:eastAsia="Arial" w:hAnsi="Arial"/>
                <w:sz w:val="14"/>
                <w:szCs w:val="14"/>
                <w:color w:val="auto"/>
                <w:w w:val="91"/>
              </w:rPr>
              <w:t>(Level 1)</w:t>
            </w:r>
          </w:p>
        </w:tc>
        <w:tc>
          <w:tcPr>
            <w:tcW w:w="440" w:type="dxa"/>
            <w:vAlign w:val="bottom"/>
          </w:tcPr>
          <w:p>
            <w:pPr>
              <w:spacing w:after="0"/>
              <w:rPr>
                <w:sz w:val="13"/>
                <w:szCs w:val="13"/>
                <w:color w:val="auto"/>
              </w:rPr>
            </w:pPr>
          </w:p>
        </w:tc>
        <w:tc>
          <w:tcPr>
            <w:tcW w:w="940" w:type="dxa"/>
            <w:vAlign w:val="bottom"/>
            <w:gridSpan w:val="3"/>
          </w:tcPr>
          <w:p>
            <w:pPr>
              <w:jc w:val="center"/>
              <w:ind w:right="320"/>
              <w:spacing w:after="0" w:line="159" w:lineRule="exact"/>
              <w:rPr>
                <w:sz w:val="20"/>
                <w:szCs w:val="20"/>
                <w:color w:val="auto"/>
              </w:rPr>
            </w:pPr>
            <w:r>
              <w:rPr>
                <w:rFonts w:ascii="Arial" w:cs="Arial" w:eastAsia="Arial" w:hAnsi="Arial"/>
                <w:sz w:val="14"/>
                <w:szCs w:val="14"/>
                <w:color w:val="auto"/>
                <w:w w:val="91"/>
              </w:rPr>
              <w:t>(Level 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1"/>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w w:val="97"/>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Assets—Supplies, prepaid items and other: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2,403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Liabilities—Current and noncurrent accrued and other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Contractual obligations—carbon credits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2,773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None of our assets or liabilities measured at fair value on a recurring basis transferred between Level 1 and Level 2 classifications for the periods presented below except for certain futures/forward natural gas contracts (an asset with an estimated fair value of $31,000 at December 31, 2013) that were transferred from Level 1 to Level 2 since a portion of these contracts are expected to be settled on dates that quoted prices are not available. As a result, we are utilizing observable market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data other than quoted prices to value these contracts. The classification transfer of the contracts was deemed to occur on January 1, 2014. In addition, the following is a reconciliation of the beginning and ending balances for assets and liabilities measured at fair value on a recurring basis using significant unobservable inputs (Level 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4"/>
                <w:szCs w:val="14"/>
                <w:color w:val="auto"/>
                <w:w w:val="85"/>
              </w:rPr>
              <w:t>Assets</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378"/>
              <w:spacing w:after="0"/>
              <w:rPr>
                <w:sz w:val="20"/>
                <w:szCs w:val="20"/>
                <w:color w:val="auto"/>
              </w:rPr>
            </w:pPr>
            <w:r>
              <w:rPr>
                <w:rFonts w:ascii="Arial" w:cs="Arial" w:eastAsia="Arial" w:hAnsi="Arial"/>
                <w:sz w:val="14"/>
                <w:szCs w:val="14"/>
                <w:color w:val="auto"/>
                <w:w w:val="93"/>
              </w:rPr>
              <w:t>Liabilities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4"/>
          </w:tcPr>
          <w:p>
            <w:pPr>
              <w:jc w:val="center"/>
              <w:ind w:right="34"/>
              <w:spacing w:after="0" w:line="131" w:lineRule="exact"/>
              <w:rPr>
                <w:sz w:val="20"/>
                <w:szCs w:val="20"/>
                <w:color w:val="auto"/>
              </w:rPr>
            </w:pPr>
            <w:r>
              <w:rPr>
                <w:rFonts w:ascii="Arial" w:cs="Arial" w:eastAsia="Arial" w:hAnsi="Arial"/>
                <w:sz w:val="14"/>
                <w:szCs w:val="14"/>
                <w:color w:val="auto"/>
                <w:w w:val="87"/>
              </w:rPr>
              <w:t>Three Months Ended</w:t>
            </w:r>
          </w:p>
        </w:tc>
        <w:tc>
          <w:tcPr>
            <w:tcW w:w="480" w:type="dxa"/>
            <w:vAlign w:val="bottom"/>
          </w:tcPr>
          <w:p>
            <w:pPr>
              <w:spacing w:after="0"/>
              <w:rPr>
                <w:sz w:val="11"/>
                <w:szCs w:val="11"/>
                <w:color w:val="auto"/>
              </w:rPr>
            </w:pPr>
          </w:p>
        </w:tc>
        <w:tc>
          <w:tcPr>
            <w:tcW w:w="1500" w:type="dxa"/>
            <w:vAlign w:val="bottom"/>
            <w:gridSpan w:val="4"/>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left="238"/>
              <w:spacing w:after="0" w:line="149" w:lineRule="exact"/>
              <w:rPr>
                <w:sz w:val="20"/>
                <w:szCs w:val="20"/>
                <w:color w:val="auto"/>
              </w:rPr>
            </w:pPr>
            <w:r>
              <w:rPr>
                <w:rFonts w:ascii="Arial" w:cs="Arial" w:eastAsia="Arial" w:hAnsi="Arial"/>
                <w:sz w:val="14"/>
                <w:szCs w:val="14"/>
                <w:color w:val="auto"/>
                <w:w w:val="89"/>
              </w:rPr>
              <w:t>March 31,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left="378"/>
              <w:spacing w:after="0" w:line="149" w:lineRule="exact"/>
              <w:rPr>
                <w:sz w:val="20"/>
                <w:szCs w:val="20"/>
                <w:color w:val="auto"/>
              </w:rPr>
            </w:pPr>
            <w:r>
              <w:rPr>
                <w:rFonts w:ascii="Arial" w:cs="Arial" w:eastAsia="Arial" w:hAnsi="Arial"/>
                <w:sz w:val="14"/>
                <w:szCs w:val="14"/>
                <w:color w:val="auto"/>
                <w:w w:val="86"/>
              </w:rPr>
              <w:t>March 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96"/>
              </w:rPr>
              <w:t>2014</w:t>
            </w: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8"/>
              <w:spacing w:after="0" w:line="159"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w w:val="7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ind w:left="1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Total realized and unrealized gain (loss) included in operating results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233</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(1,536)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(312)</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7"/>
              </w:rPr>
              <w:t>Total gains (losses) for the period included in operating results attributed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unrealized gains or losses on assets and liabilities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1,004</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221</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classifications within the statement of operations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color w:val="auto"/>
                <w:w w:val="87"/>
              </w:rPr>
              <w:t>Three Months Ended</w:t>
            </w: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left="367"/>
              <w:spacing w:after="0" w:line="149" w:lineRule="exact"/>
              <w:rPr>
                <w:sz w:val="20"/>
                <w:szCs w:val="20"/>
                <w:color w:val="auto"/>
              </w:rPr>
            </w:pPr>
            <w:r>
              <w:rPr>
                <w:rFonts w:ascii="Arial" w:cs="Arial" w:eastAsia="Arial" w:hAnsi="Arial"/>
                <w:sz w:val="14"/>
                <w:szCs w:val="14"/>
                <w:color w:val="auto"/>
                <w:w w:val="89"/>
              </w:rPr>
              <w:t>March 31,</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7000" w:type="dxa"/>
            <w:vAlign w:val="bottom"/>
          </w:tcPr>
          <w:p>
            <w:pPr>
              <w:spacing w:after="0"/>
              <w:rPr>
                <w:sz w:val="13"/>
                <w:szCs w:val="13"/>
                <w:color w:val="auto"/>
              </w:rPr>
            </w:pPr>
          </w:p>
        </w:tc>
        <w:tc>
          <w:tcPr>
            <w:tcW w:w="560" w:type="dxa"/>
            <w:vAlign w:val="bottom"/>
            <w:gridSpan w:val="2"/>
          </w:tcPr>
          <w:p>
            <w:pPr>
              <w:jc w:val="right"/>
              <w:ind w:right="67"/>
              <w:spacing w:after="0" w:line="159" w:lineRule="exact"/>
              <w:rPr>
                <w:sz w:val="20"/>
                <w:szCs w:val="20"/>
                <w:color w:val="auto"/>
              </w:rPr>
            </w:pPr>
            <w:r>
              <w:rPr>
                <w:rFonts w:ascii="Arial" w:cs="Arial" w:eastAsia="Arial" w:hAnsi="Arial"/>
                <w:sz w:val="14"/>
                <w:szCs w:val="14"/>
                <w:color w:val="auto"/>
              </w:rPr>
              <w:t>2014</w:t>
            </w:r>
          </w:p>
        </w:tc>
        <w:tc>
          <w:tcPr>
            <w:tcW w:w="540" w:type="dxa"/>
            <w:vAlign w:val="bottom"/>
          </w:tcPr>
          <w:p>
            <w:pPr>
              <w:spacing w:after="0"/>
              <w:rPr>
                <w:sz w:val="13"/>
                <w:szCs w:val="13"/>
                <w:color w:val="auto"/>
              </w:rPr>
            </w:pPr>
          </w:p>
        </w:tc>
        <w:tc>
          <w:tcPr>
            <w:tcW w:w="4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Cost of sales—Undesignated commodities contracts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$ 2,216</w:t>
            </w:r>
          </w:p>
        </w:tc>
        <w:tc>
          <w:tcPr>
            <w:tcW w:w="5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$(162)</w:t>
            </w: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income—Carbon credits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Other expenses—Contractual obligations relating to carbon credits</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(1,634)</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expense—Undesignated interest rate contract</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70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$ 2,487</w:t>
            </w:r>
          </w:p>
        </w:tc>
        <w:tc>
          <w:tcPr>
            <w:tcW w:w="54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(161)</w:t>
            </w: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March 31, 2014 and December 31, 2013, we did not have any financial instruments with fair values significantly different from their carrying amounts, except for the Senior Secured Notes. The estimated fair value of the Senior Secured Notes exceeded the carrying value by approximately $35 million and $20 million, respectively. The valuations are classified as Level 2 and based on a range of ask/bid prices. For March 31, 2014, the range was (107.8 to 108.8) and for December 31, 2013, the range was of (104.5 to 104.9). These notes currently trade in a limited and low volume market since these notes have not yet been registered.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7 – Asset Retirement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38"/>
              <w:spacing w:after="0"/>
              <w:rPr>
                <w:sz w:val="20"/>
                <w:szCs w:val="20"/>
                <w:color w:val="auto"/>
              </w:rPr>
            </w:pPr>
            <w:r>
              <w:rPr>
                <w:rFonts w:ascii="Arial" w:cs="Arial" w:eastAsia="Arial" w:hAnsi="Arial"/>
                <w:sz w:val="14"/>
                <w:szCs w:val="14"/>
                <w:color w:val="auto"/>
                <w:w w:val="83"/>
              </w:rPr>
              <w:t>2014</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March 31,</w:t>
            </w:r>
          </w:p>
        </w:tc>
        <w:tc>
          <w:tcPr>
            <w:tcW w:w="460" w:type="dxa"/>
            <w:vAlign w:val="bottom"/>
            <w:vMerge w:val="restart"/>
          </w:tcPr>
          <w:p>
            <w:pPr>
              <w:jc w:val="right"/>
              <w:ind w:right="55"/>
              <w:spacing w:after="0"/>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5"/>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40"/>
              <w:spacing w:after="0"/>
              <w:rPr>
                <w:sz w:val="20"/>
                <w:szCs w:val="20"/>
                <w:color w:val="auto"/>
              </w:rPr>
            </w:pPr>
            <w:r>
              <w:rPr>
                <w:rFonts w:ascii="Arial" w:cs="Arial" w:eastAsia="Arial" w:hAnsi="Arial"/>
                <w:sz w:val="18"/>
                <w:szCs w:val="18"/>
                <w:color w:val="auto"/>
              </w:rPr>
              <w:t>Total Current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5,393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40"/>
              <w:spacing w:after="0"/>
              <w:rPr>
                <w:sz w:val="20"/>
                <w:szCs w:val="20"/>
                <w:color w:val="auto"/>
              </w:rPr>
            </w:pPr>
            <w:r>
              <w:rPr>
                <w:rFonts w:ascii="Arial" w:cs="Arial" w:eastAsia="Arial" w:hAnsi="Arial"/>
                <w:sz w:val="18"/>
                <w:szCs w:val="18"/>
                <w:color w:val="auto"/>
              </w:rPr>
              <w:t>Total Deferred</w:t>
            </w: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5,999</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(benefit) for income taxes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7,654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three months ended March 31, 2014 and 2013, the current provision (benefit) for federal income taxes shown above includes regular federal income tax after the consideration of permanent and temporary differences between income (loss) for GAAP and tax purposes, including the benefit related to the retroactive tax relief for certain tax provisions that expired in 2012 as discussed below. For the three months ended March 31, 2014 and 2013, the current provision (benefit) for state income taxes shown above includes regular state income tax and provisions for uncertain state income tax positions.</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was reflected in the first quarter of 2013 and impacted the estimated effective tax rate for 2013.</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tax provision for the three months ended March 31, 2014 was $7.7 million (40% of pre-tax income,) and a tax benefit of $0.7 million (38% of pre-tax loss, excluding the impact of the 2012 retroactive tax benefits) for the three months ended March 31, 2013.</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2010-2012 years remain open for all purposes of examination by the U.S. Internal Revenue Service (“IRS”) and other major tax jurisdictions. We are under examination by the IRS for the tax years 2008-2010. As of March 31, 2014, the IRS has proposed certain adjustments, which we are protesting. We anticipate that the adjustments, if any, will not result in a material change to our financial position, results of operations and cash flows.</w:t>
      </w:r>
    </w:p>
    <w:p>
      <w:pPr>
        <w:spacing w:after="0" w:line="188" w:lineRule="exact"/>
        <w:rPr>
          <w:sz w:val="20"/>
          <w:szCs w:val="20"/>
          <w:color w:val="auto"/>
        </w:rPr>
      </w:pPr>
    </w:p>
    <w:p>
      <w:pPr>
        <w:ind w:right="5520"/>
        <w:spacing w:after="0" w:line="347" w:lineRule="auto"/>
        <w:rPr>
          <w:sz w:val="20"/>
          <w:szCs w:val="20"/>
          <w:color w:val="auto"/>
        </w:rPr>
      </w:pPr>
      <w:r>
        <w:rPr>
          <w:rFonts w:ascii="Arial" w:cs="Arial" w:eastAsia="Arial" w:hAnsi="Arial"/>
          <w:sz w:val="18"/>
          <w:szCs w:val="18"/>
          <w:b w:val="1"/>
          <w:bCs w:val="1"/>
          <w:u w:val="single" w:color="auto"/>
          <w:color w:val="auto"/>
        </w:rPr>
        <w:t xml:space="preserve">Note 12: Property and Business Interruption Insurance Claims and Recoveries </w:t>
      </w:r>
      <w:r>
        <w:rPr>
          <w:rFonts w:ascii="Arial" w:cs="Arial" w:eastAsia="Arial" w:hAnsi="Arial"/>
          <w:sz w:val="18"/>
          <w:szCs w:val="18"/>
          <w:b w:val="1"/>
          <w:bCs w:val="1"/>
          <w:color w:val="auto"/>
        </w:rPr>
        <w:t>Cherokee Facility</w:t>
      </w:r>
    </w:p>
    <w:p>
      <w:pPr>
        <w:spacing w:after="0" w:line="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Property and Business Interruption Insurance Claims and Recoveries (continued)</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certain repairs and clean-up costs incurred (“recoverable costs”).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2013, our insurance carriers approved payments relating to our business interruption claim totaling $15 million. We received correspondence associated with the approval, which stated that our insurance carriers were still investigating the circumstances surrounding this event (including the cause of this event, scope of our losses and support for our claim) under a reservation of rights.</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$10.1 million as a reduction to cost of sales during the first quarter of 2013. The insurance recovery in excess of recoverable costs of $4.9 million was not recognized at March 31, 2013 since a portion of this amount related to recoverable costs, which we were unable to conclude that it was at least probable (for financial reporting purposes) that these costs would be approved and a portion of this amount related to lost profits, which was considered a gain contingency.</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2014, we settled the claim with our insurance carriers for the aggregate amount of approximately $43.5 million, including the $15.0 million paid to us as discussed above and the remaining $28.5 million was paid to us in January 2014. As it relates to the $28.5 million paid in January 2014, for financial reporting purposes, we allocated $7.0 million to our property insurance claim and $21.5 million to our business interruption claim primarily based on negotiations with our insurance carriers concerning our claims.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$7.0 million allocated to the property insurance claim was partially applied against our insurance claim receivable, consisting of recoverable costs, totaling $1.9 million at December 31, 2013. The insurance recovery in excess of the recoverable costs of $5.1 million was recognized as property insurance recoveries in excess of losses incurred in the first quarter of 2014.</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insurance recovery of $21.5 million allocated to the business interruption claim was recognized as a reduction to cost of sales in the first quarter of 2014. In addition, the insurance recovery in excess of recoverable costs of $1.4 million (that was deferred and included in deferred gain on insurance recoveries at December 31, 2013) was recognized as a reduction to cost of sales in the first quarter of 2014.</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Other Expense, Income and Non-Operating Other Expense (Income), net</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left="216"/>
              <w:spacing w:after="0" w:line="149" w:lineRule="exact"/>
              <w:rPr>
                <w:sz w:val="20"/>
                <w:szCs w:val="20"/>
                <w:color w:val="auto"/>
              </w:rPr>
            </w:pPr>
            <w:r>
              <w:rPr>
                <w:rFonts w:ascii="Arial" w:cs="Arial" w:eastAsia="Arial" w:hAnsi="Arial"/>
                <w:sz w:val="14"/>
                <w:szCs w:val="14"/>
                <w:color w:val="auto"/>
                <w:w w:val="89"/>
              </w:rPr>
              <w:t>March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89"/>
              </w:rPr>
              <w:t>2014</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83"/>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w w:val="93"/>
              </w:rPr>
              <w:t>Realized and unrealized losses on contractual obligations associated with carbon credits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1,634</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on sales and disposals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Dismantle and demolition expense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penalties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Impairment on long-lived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expense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840"/>
              <w:spacing w:after="0"/>
              <w:rPr>
                <w:sz w:val="20"/>
                <w:szCs w:val="20"/>
                <w:color w:val="auto"/>
              </w:rPr>
            </w:pPr>
            <w:r>
              <w:rPr>
                <w:rFonts w:ascii="Arial" w:cs="Arial" w:eastAsia="Arial" w:hAnsi="Arial"/>
                <w:sz w:val="18"/>
                <w:szCs w:val="18"/>
                <w:color w:val="auto"/>
              </w:rPr>
              <w:t>Total other expense</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2,583</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Realized and unrealized gains on carbon credits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1,925</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 of litigation and potential litigation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Miscellaneous income (2)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other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2,074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expense,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Miscellaneous expense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840"/>
              <w:spacing w:after="0"/>
              <w:rPr>
                <w:sz w:val="20"/>
                <w:szCs w:val="20"/>
                <w:color w:val="auto"/>
              </w:rPr>
            </w:pPr>
            <w:r>
              <w:rPr>
                <w:rFonts w:ascii="Arial" w:cs="Arial" w:eastAsia="Arial" w:hAnsi="Arial"/>
                <w:sz w:val="18"/>
                <w:szCs w:val="18"/>
                <w:color w:val="auto"/>
              </w:rPr>
              <w:t>Total non-operating other expense (income),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(77)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 and equipment at our chemical facilities.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represent numerous unrelated transactions, none of which are individually significant requiring separate disclosure.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relates primarily to a settlement reached associated with a class action insurance brokerage antitrust litigation.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left="396"/>
              <w:spacing w:after="0" w:line="149" w:lineRule="exact"/>
              <w:rPr>
                <w:sz w:val="20"/>
                <w:szCs w:val="20"/>
                <w:color w:val="auto"/>
              </w:rPr>
            </w:pPr>
            <w:r>
              <w:rPr>
                <w:rFonts w:ascii="Arial" w:cs="Arial" w:eastAsia="Arial" w:hAnsi="Arial"/>
                <w:sz w:val="14"/>
                <w:szCs w:val="14"/>
                <w:color w:val="auto"/>
                <w:w w:val="86"/>
              </w:rPr>
              <w:t>March 31,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13"/>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115,221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178,525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Gross profit: (2)</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 (1)</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Climate Control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48,722</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(3)</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28,813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corporate expenses (4)</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(5)</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Non-operating expense (income),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Corporate and other business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in earnings of affiliate—Climate Control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quarter of 2014, our Chemical Business experienced downtime at the Pryor Facility resulting in lost production and adverse effect on operating results. During the first quarter of 2013, our Chemical Business experienced downtime at the Cherokee, El Dorado and Pryor Facilities resulting in lost production and adverse effect on operating results. We also recognized insurance recoveries in both periods as discussed in Note 12 – Property and Business Interruption Insurance Claims and Recoveries.</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460" w:right="1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chief operating decision makers use operating income (loss) by business segment for purposes of making decisions that include resource allocations and performance evaluations. Operating income (loss) by business segment represents gross profit by business segment less selling, general and administrative expense (“SG&amp;A”) incurred by each business segment plus other income and other expense earned/incurred by each business segment before general corporate expenses.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 (continued)</w:t>
      </w:r>
    </w:p>
    <w:p>
      <w:pPr>
        <w:spacing w:after="0" w:line="164" w:lineRule="exact"/>
        <w:rPr>
          <w:sz w:val="20"/>
          <w:szCs w:val="20"/>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consist of the following:</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40" w:type="dxa"/>
            <w:vAlign w:val="bottom"/>
            <w:gridSpan w:val="6"/>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160" w:type="dxa"/>
            <w:vAlign w:val="bottom"/>
            <w:gridSpan w:val="4"/>
          </w:tcPr>
          <w:p>
            <w:pPr>
              <w:jc w:val="center"/>
              <w:ind w:left="380"/>
              <w:spacing w:after="0" w:line="149" w:lineRule="exact"/>
              <w:rPr>
                <w:sz w:val="20"/>
                <w:szCs w:val="20"/>
                <w:color w:val="auto"/>
              </w:rPr>
            </w:pPr>
            <w:r>
              <w:rPr>
                <w:rFonts w:ascii="Arial" w:cs="Arial" w:eastAsia="Arial" w:hAnsi="Arial"/>
                <w:sz w:val="14"/>
                <w:szCs w:val="14"/>
                <w:color w:val="auto"/>
                <w:w w:val="86"/>
              </w:rPr>
              <w:t>March 31,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940" w:type="dxa"/>
            <w:vAlign w:val="bottom"/>
          </w:tcPr>
          <w:p>
            <w:pPr>
              <w:spacing w:after="0"/>
              <w:rPr>
                <w:sz w:val="13"/>
                <w:szCs w:val="13"/>
                <w:color w:val="auto"/>
              </w:rPr>
            </w:pPr>
          </w:p>
        </w:tc>
        <w:tc>
          <w:tcPr>
            <w:tcW w:w="5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62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Fees and expenses relating to certain activist shareholders’ proposals (A)</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$(4,163)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(1,687)</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(1,423)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 selling, general and adminsitrative</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(3,726)</w:t>
            </w: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Total general corporate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(7,671)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(3,136)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three months ended March 31, 2014, we incurred fees and expenses in evaluating and analyzing proposals received from certain activist shareholders and dealing, negotiating and settling with those shareholders in order to avoid a proxy contest.</w:t>
      </w:r>
    </w:p>
    <w:p>
      <w:pPr>
        <w:spacing w:after="0" w:line="172" w:lineRule="exact"/>
        <w:rPr>
          <w:sz w:val="20"/>
          <w:szCs w:val="20"/>
          <w:color w:val="auto"/>
        </w:rPr>
      </w:pPr>
    </w:p>
    <w:p>
      <w:pPr>
        <w:ind w:right="360" w:firstLine="8"/>
        <w:spacing w:after="0" w:line="456"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March 31, 2014 and 2013, interest expense is net of capitalized interest of $2.3 million and $0.4 million, respectively. Information about our total assets by business segment is as follows:</w:t>
      </w:r>
    </w:p>
    <w:tbl>
      <w:tblPr>
        <w:tblLayout w:type="fixed"/>
        <w:tblInd w:w="138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60"/>
              <w:spacing w:after="0" w:line="157" w:lineRule="exact"/>
              <w:rPr>
                <w:sz w:val="20"/>
                <w:szCs w:val="20"/>
                <w:color w:val="auto"/>
              </w:rPr>
            </w:pPr>
            <w:r>
              <w:rPr>
                <w:rFonts w:ascii="Arial" w:cs="Arial" w:eastAsia="Arial" w:hAnsi="Arial"/>
                <w:sz w:val="14"/>
                <w:szCs w:val="14"/>
                <w:color w:val="auto"/>
                <w:w w:val="89"/>
              </w:rPr>
              <w:t>March 31,</w:t>
            </w:r>
          </w:p>
        </w:tc>
        <w:tc>
          <w:tcPr>
            <w:tcW w:w="420" w:type="dxa"/>
            <w:vAlign w:val="bottom"/>
          </w:tcPr>
          <w:p>
            <w:pPr>
              <w:spacing w:after="0"/>
              <w:rPr>
                <w:sz w:val="13"/>
                <w:szCs w:val="13"/>
                <w:color w:val="auto"/>
              </w:rPr>
            </w:pPr>
          </w:p>
        </w:tc>
        <w:tc>
          <w:tcPr>
            <w:tcW w:w="900" w:type="dxa"/>
            <w:vAlign w:val="bottom"/>
            <w:gridSpan w:val="3"/>
          </w:tcPr>
          <w:p>
            <w:pPr>
              <w:ind w:left="20"/>
              <w:spacing w:after="0" w:line="157" w:lineRule="exact"/>
              <w:rPr>
                <w:sz w:val="20"/>
                <w:szCs w:val="20"/>
                <w:color w:val="auto"/>
              </w:rPr>
            </w:pPr>
            <w:r>
              <w:rPr>
                <w:rFonts w:ascii="Arial" w:cs="Arial" w:eastAsia="Arial" w:hAnsi="Arial"/>
                <w:sz w:val="14"/>
                <w:szCs w:val="14"/>
                <w:color w:val="auto"/>
                <w:w w:val="97"/>
              </w:rPr>
              <w:t>December 31,</w:t>
            </w:r>
          </w:p>
        </w:tc>
      </w:tr>
      <w:tr>
        <w:trPr>
          <w:trHeight w:val="159"/>
        </w:trPr>
        <w:tc>
          <w:tcPr>
            <w:tcW w:w="39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3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885,319</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842,725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Climate Control</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159,960</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Corporate assets</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73,580</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1,090,305</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1,083,097</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2013 and February 2014, we paid or declared dividends totaling $300,000, respectively, on our Series B Preferred and our Series D Preferred. The Series B Preferred and Series D Preferred are non-redeemable preferred stocks issued in 1986 and 2001, respectively, of which all outstanding shares are owned by Jack E. Golsen (“Golsen”), our Chairman of the Board and Chief Executive Officer, members of his immediate family (spouse and children), including Barry H. Golsen, our Vice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Related Party Transactions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Chairman, President and Chief Operating Officer, Steven J. Golsen, our Chief Operating Officer of our Climate Control Business, entities owned by them and trusts for which they possess voting or dispositive power as trustee (together, the “Golsen Group”).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Supplemental Cash Flow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color w:val="auto"/>
                <w:w w:val="87"/>
              </w:rPr>
              <w:t>Three Months Ended</w:t>
            </w:r>
          </w:p>
        </w:tc>
      </w:tr>
      <w:tr>
        <w:trPr>
          <w:trHeight w:val="149"/>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6"/>
              </w:rPr>
              <w:t>March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440" w:type="dxa"/>
            <w:vAlign w:val="bottom"/>
          </w:tcPr>
          <w:p>
            <w:pPr>
              <w:spacing w:after="0"/>
              <w:rPr>
                <w:sz w:val="13"/>
                <w:szCs w:val="13"/>
                <w:color w:val="auto"/>
              </w:rPr>
            </w:pPr>
          </w:p>
        </w:tc>
        <w:tc>
          <w:tcPr>
            <w:tcW w:w="1320" w:type="dxa"/>
            <w:vAlign w:val="bottom"/>
            <w:gridSpan w:val="2"/>
          </w:tcPr>
          <w:p>
            <w:pPr>
              <w:jc w:val="right"/>
              <w:ind w:right="372"/>
              <w:spacing w:after="0" w:line="159" w:lineRule="exact"/>
              <w:rPr>
                <w:sz w:val="20"/>
                <w:szCs w:val="20"/>
                <w:color w:val="auto"/>
              </w:rPr>
            </w:pPr>
            <w:r>
              <w:rPr>
                <w:rFonts w:ascii="Arial" w:cs="Arial" w:eastAsia="Arial" w:hAnsi="Arial"/>
                <w:sz w:val="14"/>
                <w:szCs w:val="14"/>
                <w:color w:val="auto"/>
              </w:rPr>
              <w:t>2014</w:t>
            </w:r>
          </w:p>
        </w:tc>
        <w:tc>
          <w:tcPr>
            <w:tcW w:w="320" w:type="dxa"/>
            <w:vAlign w:val="bottom"/>
          </w:tcPr>
          <w:p>
            <w:pPr>
              <w:spacing w:after="0"/>
              <w:rPr>
                <w:sz w:val="13"/>
                <w:szCs w:val="13"/>
                <w:color w:val="auto"/>
              </w:rPr>
            </w:pPr>
          </w:p>
        </w:tc>
        <w:tc>
          <w:tcPr>
            <w:tcW w:w="500" w:type="dxa"/>
            <w:vAlign w:val="bottom"/>
          </w:tcPr>
          <w:p>
            <w:pPr>
              <w:jc w:val="right"/>
              <w:ind w:right="79"/>
              <w:spacing w:after="0" w:line="15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r>
      <w:tr>
        <w:trPr>
          <w:trHeight w:val="142"/>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(refunds) for income taxes, net</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(6,895)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Accounts payable and long-term debt associated with additions of property, plant and</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$13,061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20,510</w:t>
            </w:r>
          </w:p>
        </w:tc>
        <w:tc>
          <w:tcPr>
            <w:tcW w:w="100" w:type="dxa"/>
            <w:vAlign w:val="bottom"/>
            <w:shd w:val="clear" w:color="auto" w:fill="CCEEFF"/>
          </w:tcPr>
          <w:p>
            <w:pPr>
              <w:spacing w:after="0"/>
              <w:rPr>
                <w:sz w:val="19"/>
                <w:szCs w:val="19"/>
                <w:color w:val="auto"/>
              </w:rPr>
            </w:pPr>
          </w:p>
        </w:tc>
      </w:tr>
      <w:tr>
        <w:trPr>
          <w:trHeight w:val="376"/>
        </w:trPr>
        <w:tc>
          <w:tcPr>
            <w:tcW w:w="6440" w:type="dxa"/>
            <w:vAlign w:val="bottom"/>
          </w:tcPr>
          <w:p>
            <w:pPr>
              <w:ind w:left="424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March 31, 2014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51" w:lineRule="exact"/>
        <w:rPr>
          <w:sz w:val="20"/>
          <w:szCs w:val="20"/>
          <w:color w:val="auto"/>
        </w:rPr>
      </w:pPr>
    </w:p>
    <w:p>
      <w:pPr>
        <w:ind w:left="90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UAN, sulfuric acids, nitric acids in various concentrations, nitrogen solutions, DEF and various other products. For the first quarter of 2014, approximately 65% of our consolidated net sales relates to the Chemical Business compared to 51% for the first quarter of 2013.</w:t>
      </w:r>
    </w:p>
    <w:p>
      <w:pPr>
        <w:spacing w:after="0" w:line="34"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quarter of 2014, approximately 34% of our consolidated net sales relates to the Climate Control Business compared to 47% for the first quarter of 2013.</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3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Chemical Business</w:t>
      </w:r>
      <w:r>
        <w:rPr>
          <w:rFonts w:ascii="Arial" w:cs="Arial" w:eastAsia="Arial" w:hAnsi="Arial"/>
          <w:sz w:val="16"/>
          <w:szCs w:val="16"/>
          <w:color w:val="auto"/>
        </w:rPr>
        <w:t>—Our Chemical Business’ primary markets are agricultural, industrial and mining. We use natural gas to produce anhydrous ammonia in two</w:t>
      </w:r>
      <w:r>
        <w:rPr>
          <w:rFonts w:ascii="Arial" w:cs="Arial" w:eastAsia="Arial" w:hAnsi="Arial"/>
          <w:sz w:val="16"/>
          <w:szCs w:val="16"/>
          <w:b w:val="1"/>
          <w:bCs w:val="1"/>
          <w:color w:val="auto"/>
        </w:rPr>
        <w:t xml:space="preserve"> </w:t>
      </w:r>
      <w:r>
        <w:rPr>
          <w:rFonts w:ascii="Arial" w:cs="Arial" w:eastAsia="Arial" w:hAnsi="Arial"/>
          <w:sz w:val="16"/>
          <w:szCs w:val="16"/>
          <w:color w:val="auto"/>
        </w:rPr>
        <w:t>of our four facilities, in which ammonia is used to produce nitrogen fertilizer and industrial products, and sold in its original form. We also produce agricultural grade and industrial grade AN from purchased ammonia, which current cost is significantly higher than producing it from natural gas, resulting in a cost disadvantage compared to nitrogen fertilizers and industrial AN producers that manufacture from natural gas. As previously reported, we are proceeding with the design, fabrication, engineering and construction of an ammonia plant at the El Dorado Facility, in part, to eliminate this current cost disadvantage.</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normal circumstances, our agricultural sales volumes and prices depend upon the supply of and the demand for fertilizer, which in turn depends on the market fundamentals for crops including corn, wheat, cotton and forage. Nitrogen fertilizer prices were significantly lower in the first quarter of 2014 compared to the 2013 first quarter. Currently, nitrogen fertilizer prices are much higher than during the first quarter but are still lower than the same time last year. The lower prices are generally attributable to the significant increase in the 2013-2014 corn harvest and lower forward corn prices as compared to a year ago. According to the USDA’s World Agricultural Supply and Demand Estimates, the U.S. yield per harvested acre of corn increased significantly from approximately 123 bushels per acre to 158 bushels per acre and the year end corn stocks were approximately double a year ago, resulting in a significant increase in the stock-to-use ratio. Notwithstanding the current conditions, the fundamentals continue to be positive for nitrogen fertilizer products we produce and sell and gross margins are still historically strong, although lower than 2013. However, the fertilizer outlook could change if there are unanticipated changes in domestic fertilizer production capacity, acres planted of crops requiring fertilizer, unfavorable weather conditions or continued low selling prices and increases in imported urea from China.</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industrial acids sales volume is dependent upon general economic conditions primarily in the housing, automotive, and paper industries. According to the American Chemical Council, the U.S. economic indicators continue to be mostly positive. Our sales prices vary with the market price of our feedstock cost of ammonia or sulfur as applicable in our pricing arrangements with customers. Our mining sales volume is being impacted by lower customer demand for industrial grade 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which we believe is primarily due to natural gas being a more attractive alternative feedstock than coal for utility companies. As reported by the U.S. Energy Information Administration, during 2013, coal production was down overall by 1.5%, although coal inventories declined by 43 million tons during the period. With such inventory decreases, the coal industry is now expected to see production growth of 3% to 4% in 2014 as inventories stabilize and short-term natural gas prices increase, however during the first quarter of 2014, coal production was slightly below the same period in 2013.</w:t>
      </w:r>
    </w:p>
    <w:p>
      <w:pPr>
        <w:spacing w:after="0" w:line="10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Climate Control Business</w:t>
      </w:r>
      <w:r>
        <w:rPr>
          <w:rFonts w:ascii="Arial" w:cs="Arial" w:eastAsia="Arial" w:hAnsi="Arial"/>
          <w:sz w:val="16"/>
          <w:szCs w:val="16"/>
          <w:color w:val="auto"/>
        </w:rPr>
        <w:t>—From a market sector perspective, our Climate Control Business serves the commercial/institutional and residential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sectors. Information available from the McGraw-Hill Construction Market forecast indicates that construction activity in the commercial/institutional and single-family residential sectors are expected to increase in aggregate during 2014, although still significantly below pre-recession levels.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First Quarter of 2014</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Our consolidated net sales for the first quarter of 2014 were $178.5 million, an increase of $27.8 million compared to the same period of 2013. The sales increase included an increase of $37.7 million in our Chemical Business partially offset by a decrease of $9.9 million in our Climate Control Business.</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consolidated operating income was $25.9 million for the first quarter of 2014 compared to operating loss of $0.2 million for the same period of 2013. The increase in operating results of $26.1 includes an increase of $32.6 million in our Chemical Business partially offset by a decrease of $2.1 million in the Climate Control Business and an increase in our general corporate expenses of approximately $4.5 million over the same period of 2013 primarily due to fees and expenses incurred in evaluating and analyzing proposals received from certain activist shareholders and dealing, negotiating and settling with those shareholders in order to avoid a proxy contest.</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effective income tax rate for the first quarters of 2014 and 2013 was 40% and 38% (excluding the benefit associated with the retroactive tax relief on certain 2012 tax provisions that expired in 2012), respectively.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Chemical Business sales for the first quarter of 2014 were $115.2 million, an increase of $37.7 million compared to the same period of 2013, which includes a $27.0 million increase in agricultural products sales, an $8.6 million increase in industrial acids and other products sales, partially offset by a $0.2 million decrease in mining products sales.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change in sales (volume and dollars) for the first quarter of 2014 compared to the first quarter of 2013 is as follows (excluding natural gas):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color w:val="auto"/>
              </w:rPr>
              <w:t>Percentage Change of</w:t>
            </w:r>
          </w:p>
        </w:tc>
      </w:tr>
      <w:tr>
        <w:trPr>
          <w:trHeight w:val="159"/>
        </w:trPr>
        <w:tc>
          <w:tcPr>
            <w:tcW w:w="6700" w:type="dxa"/>
            <w:vAlign w:val="bottom"/>
          </w:tcPr>
          <w:p>
            <w:pPr>
              <w:spacing w:after="0"/>
              <w:rPr>
                <w:sz w:val="13"/>
                <w:szCs w:val="13"/>
                <w:color w:val="auto"/>
              </w:rPr>
            </w:pPr>
          </w:p>
        </w:tc>
        <w:tc>
          <w:tcPr>
            <w:tcW w:w="1200" w:type="dxa"/>
            <w:vAlign w:val="bottom"/>
            <w:gridSpan w:val="2"/>
          </w:tcPr>
          <w:p>
            <w:pPr>
              <w:jc w:val="right"/>
              <w:ind w:right="900"/>
              <w:spacing w:after="0" w:line="159" w:lineRule="exact"/>
              <w:rPr>
                <w:sz w:val="20"/>
                <w:szCs w:val="20"/>
                <w:color w:val="auto"/>
              </w:rPr>
            </w:pPr>
            <w:r>
              <w:rPr>
                <w:rFonts w:ascii="Arial" w:cs="Arial" w:eastAsia="Arial" w:hAnsi="Arial"/>
                <w:sz w:val="14"/>
                <w:szCs w:val="14"/>
                <w:color w:val="auto"/>
                <w:w w:val="89"/>
              </w:rPr>
              <w:t>Tons</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137%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Mining</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47%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r>
    </w:tbl>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increase in agricultural sales was primarily due to higher volumes as the result of improved production at our Cherokee Facility during the first quarter of 2014, improved ammonia production at our Pryor Facility during March 2014 (these facilities were out of production for the first quarter of 2013 and the Pryor Facility had minimal production during the first two months of 2014), and improved market conditions for agricultural grade AN produced at our El Dorado Facility, partially offset by lower sales prices.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industrial acids and other sales was primarily due to higher volumes as a result of increased production at the Baytown Facility (this facility performed a planned maintenance, repairs and minor renewal activity (“Turnaround”) during the first quarter of 2013) and improved production at our Cherokee Facility as discussed above partially offset by lower sales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decrease in mining sales was primarily due to lower customer demand as the result of the current low cost of natural gas as an alternative fuel for utility companies and lower sales prices partially offset by improved production at the Cherokee Facility as discussed above.</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Management considers these working interests as a partial economic hedge against a potential rise in natural gas prices in the future. During the first quarter of 2014, the average prices for those commodities compared to the same period in 2013 were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83"/>
              </w:rPr>
              <w:t>2014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5.08</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$ 447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4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Chemical Business operating income for the first quarter of 2014 was $28.8 million compared to an operating loss of $3.8 million for the same period of 2013. The increase in operating results was primarily due to insurance recoveries of $28.0 million recognized in the first quarter of 2014 (compared to $10.8 million in the first quarter of 2013) and higher volumes due primarily due to improved production at our Cherokee Facility in the first quarter of 2014, partially offset by the approximately 40% increase in natural gas costs per MMBtu while selling prices for nitrogen fertilizers decreased 20%-30%, both as compared to the first quarter of 2013, and the impact from the sale of purchased UAN to honor certain forward sales commitments. As a result of these market price relationships, our profit margins (excluding the impact from insurance recoveries) were lower in the first quarter of 2014 compared to the same period of 2013. Natural gas prices were impacted by the severe weather conditions during the 2013-2014 winter, but prices could decline if the supply of natural gas increases. Nitrogen fertilizer prices were negatively affected by a late start to the fertilizer application season, but prices should continue to strengthen during the spring season. Currently, natural gas prices remain relatively high, but the selling prices for nitrogen fertilizers have improved. See additional discussions below under “Property and Business Interruption Insurance Claims and Recoveries – First Quarter of 2014”.</w:t>
      </w:r>
    </w:p>
    <w:p>
      <w:pPr>
        <w:spacing w:after="0" w:line="12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shows the estimated range of the effect on operating income resulting from insurance recoveries relating to the Cherokee Facility partially offset by the lost production due to downtime issues at the Pryor Facility.</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200"/>
              <w:spacing w:after="0"/>
              <w:rPr>
                <w:sz w:val="20"/>
                <w:szCs w:val="20"/>
                <w:color w:val="auto"/>
              </w:rPr>
            </w:pPr>
            <w:r>
              <w:rPr>
                <w:rFonts w:ascii="Arial" w:cs="Arial" w:eastAsia="Arial" w:hAnsi="Arial"/>
                <w:sz w:val="14"/>
                <w:szCs w:val="14"/>
                <w:color w:val="auto"/>
                <w:w w:val="88"/>
              </w:rPr>
              <w:t>First Quarter of 2014</w:t>
            </w:r>
          </w:p>
        </w:tc>
      </w:tr>
      <w:tr>
        <w:trPr>
          <w:trHeight w:val="149"/>
        </w:trPr>
        <w:tc>
          <w:tcPr>
            <w:tcW w:w="5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ind w:right="220"/>
              <w:spacing w:after="0" w:line="149" w:lineRule="exact"/>
              <w:rPr>
                <w:sz w:val="20"/>
                <w:szCs w:val="20"/>
                <w:color w:val="auto"/>
              </w:rPr>
            </w:pPr>
            <w:r>
              <w:rPr>
                <w:rFonts w:ascii="Arial" w:cs="Arial" w:eastAsia="Arial" w:hAnsi="Arial"/>
                <w:sz w:val="14"/>
                <w:szCs w:val="14"/>
                <w:color w:val="auto"/>
                <w:w w:val="85"/>
              </w:rPr>
              <w:t>(Estimated Range)</w:t>
            </w:r>
          </w:p>
        </w:tc>
      </w:tr>
      <w:tr>
        <w:trPr>
          <w:trHeight w:val="166"/>
        </w:trPr>
        <w:tc>
          <w:tcPr>
            <w:tcW w:w="5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4"/>
              <w:spacing w:after="0" w:line="159" w:lineRule="exact"/>
              <w:rPr>
                <w:sz w:val="20"/>
                <w:szCs w:val="20"/>
                <w:color w:val="auto"/>
              </w:rPr>
            </w:pPr>
            <w:r>
              <w:rPr>
                <w:rFonts w:ascii="Arial" w:cs="Arial" w:eastAsia="Arial" w:hAnsi="Arial"/>
                <w:sz w:val="14"/>
                <w:szCs w:val="14"/>
                <w:color w:val="auto"/>
                <w:w w:val="93"/>
              </w:rPr>
              <w:t>Low</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w w:val="90"/>
              </w:rPr>
              <w:t>High</w:t>
            </w:r>
          </w:p>
        </w:tc>
        <w:tc>
          <w:tcPr>
            <w:tcW w:w="120" w:type="dxa"/>
            <w:vAlign w:val="bottom"/>
          </w:tcPr>
          <w:p>
            <w:pPr>
              <w:spacing w:after="0"/>
              <w:rPr>
                <w:sz w:val="14"/>
                <w:szCs w:val="14"/>
                <w:color w:val="auto"/>
              </w:rPr>
            </w:pPr>
          </w:p>
        </w:tc>
      </w:tr>
      <w:tr>
        <w:trPr>
          <w:trHeight w:val="162"/>
        </w:trPr>
        <w:tc>
          <w:tcPr>
            <w:tcW w:w="5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224"/>
              <w:spacing w:after="0"/>
              <w:rPr>
                <w:sz w:val="20"/>
                <w:szCs w:val="20"/>
                <w:color w:val="auto"/>
              </w:rPr>
            </w:pPr>
            <w:r>
              <w:rPr>
                <w:rFonts w:ascii="Arial" w:cs="Arial" w:eastAsia="Arial" w:hAnsi="Arial"/>
                <w:sz w:val="14"/>
                <w:szCs w:val="14"/>
                <w:color w:val="auto"/>
                <w:w w:val="97"/>
              </w:rPr>
              <w:t>(In Millions)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Insurance recoveries relating to the Cherokee Facility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Estimated adverse effect at the Pryor Facility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7"/>
        </w:trPr>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estimated effect, net of estimated adverse effect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estimated adverse effect shown above includes lost overhead absorption and gross profit margins, based on current market conditions, and additional expenses incurred.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as previously reported, the El Dorado Facility’s current production capacity of nitric acid is approximately 80% of historical levels until the construction of a new 65% strength nitric acid plant and concentrator is completed. We estimate that the negative effect on operating income at the El Dorado Facility is approximately $1 million per month until the new nitric acid plant and concentrator are constructed and begin production, which we believe will occur in early to mid-2015.</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Climate Control sales for the first quarter of 2014 were $60.3 million, or $9.9 million lower than the same period in 2013. The decrease was driven by a $5.7 million decrease in geothermal and water source heat pump sales (due primarily to lower product order levels in the fourth quarter of 2013 yielding a lower beginning backlog in 2014 and a lower level of incoming orders), a $5.1 million decrease in other HVAC products, primarily relating to custom air handler sales (primarily as the result of a lower beginning backlog entering into the first quarter of 2014 and customer scheduled delivery dates) and engineering and construction services (related to the impact from delays in finalizing project contracts), partially offset by a $0.9 million increase in hydronic fan coil sales (due primarily to an increase in the number of units sold, unit pricing and product mix as well as the impact from customers’ delivery date requirements). From a market sector perspective, the sales decrease included an $8.3 million decline in commercial/institutional product sales and a $1.6 million decline in residential product sales.</w:t>
      </w:r>
    </w:p>
    <w:p>
      <w:pPr>
        <w:spacing w:after="0" w:line="1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continue to follow economic indicators and monitor its potential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first quarter of 2014, approximately 84% of our Climate Control Business’ sales were to the commercial/institutional and multi-family construction markets, and the remaining 16% were sales of geothermal heat pumps (“GHPs”) to the single-family residential market.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color w:val="auto"/>
              </w:rPr>
              <w:t>2014</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2013</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top w:val="single" w:sz="8" w:color="auto"/>
              <w:bottom w:val="single" w:sz="8" w:color="auto"/>
            </w:tcBorders>
          </w:tcPr>
          <w:p>
            <w:pPr>
              <w:jc w:val="center"/>
              <w:ind w:left="56"/>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84"/>
              </w:rPr>
              <w:t>$63.2</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$67.5</w:t>
            </w:r>
          </w:p>
        </w:tc>
        <w:tc>
          <w:tcPr>
            <w:tcW w:w="56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84"/>
              </w:rPr>
              <w:t>$60.3</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$70.3</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$ 44.7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$65.4</w:t>
            </w:r>
          </w:p>
        </w:tc>
        <w:tc>
          <w:tcPr>
            <w:tcW w:w="56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$77.3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$64.6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$58.8</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April 2014, our new orders received were approximately $33 million and our backlog was approximately $59 million at April 30, 2014, which amounts include two orders totaling approximately $8 million expected to ship from twelve to twenty-four months.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GHPs use a form of renewable energy and we believe, can reduce energy usage, under certain conditions, up to 80% compared to some conventional HVAC systems. Tax legislation (effective through December 31, 2016) continues to provide incentives for customers purchasing products using forms of renewable energy.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expect the Climate Control Business to experience limited sales growth in the short-term compared to 2013 considering the notice of termination of the Carrier heat pump contracts discussed below. In addition,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As previously reported, in November 2013, Carrier Corporation (“Carrier”) advised one of our subsidiaries, Climate Master, Inc. (“CM”), that the heat pump contracts will not be renewed between CM, as the manufacturer, and Carrier, as the purchaser, effective May 11, 2014. During the first quarter of 2014 and for 2013, net sales pursuant to these heat pump contracts represented less than 5% of LSB’s consolidated net sales.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Notification of Termination of Cost-Plus Supply Agreement</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a long-term cost-plus supply agreement, EDC supplies Orica International Pte Ltd (“Orica”) with an annual minimum of 240,000 tons of industrial grade ammonium nitrate (“AN”) produced at our El Dorado Facility. The agreement includes a provision for Orica to pay for that portion of the annual minimum of the product not taken. The agreement also includes an exclusivity arrangement that provides that EDC will not sell industrial grade AN to the commercial explosives market during the term of the agreement and that Orica will market EDC’s industrial grade AN to the commercial explosives market during the term of the agreement. The agreement provides that it may be terminated by one of the parties giving the other a one-year written notice that the agreement will not be renewed. On March 31, 2014, EDC sent to Orica the required one-year notice that EDC will not renew the agreement on or after April 9, 2015. EDC’s intention is to commence sales of industrial grade AN to the commercial explosives market after April 9, 2015. During the first quarter of 2014 and for 2013, net sales to Orica represented approximately 5% and 6% of LSB’ consolidated net sales, respectively, which sales included approximately $3.8 million and $12.5 million, respectively, for fixed overhead costs and gross profit for tons not taken by Orica, pursuant to the terms of the agreement.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our Pryor Facility – First Quarter of 2014</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previously reported, the Pryor Facility continued to experience frequent operational issues during the first quarter of 2014 that required extensive equipment repairs and maintenance and related costs. The Pryor Facility’s ammonia plant returned to production during the last several days of February 2014 at a reduced rate of production and during March 2014, the plant was gradually brought up to the targeted rate (650 tons per day) by the end of the month. This lost production adversely affected our sales, operating income and cash flows for the first quarter of 2014. For the month of April 2014, the Pryor Facility’s ammonia production rate averaged approximately 635 tons per day. The Pryor Facility’s urea plant was out of production for the entire first quarter of 2014, initially due to the lack of carbon dioxide generated from ammonia production and later for minor repairs. During the first week of May 2014, the Pryor Facility resumed production of urea and UAN.</w:t>
      </w:r>
    </w:p>
    <w:p>
      <w:pPr>
        <w:spacing w:after="0" w:line="222" w:lineRule="exact"/>
        <w:rPr>
          <w:sz w:val="20"/>
          <w:szCs w:val="20"/>
          <w:color w:val="auto"/>
        </w:rPr>
      </w:pPr>
    </w:p>
    <w:p>
      <w:pPr>
        <w:ind w:right="3960" w:firstLine="456"/>
        <w:spacing w:after="0" w:line="347" w:lineRule="auto"/>
        <w:rPr>
          <w:sz w:val="20"/>
          <w:szCs w:val="20"/>
          <w:color w:val="auto"/>
        </w:rPr>
      </w:pPr>
      <w:r>
        <w:rPr>
          <w:rFonts w:ascii="Arial" w:cs="Arial" w:eastAsia="Arial" w:hAnsi="Arial"/>
          <w:sz w:val="18"/>
          <w:szCs w:val="18"/>
          <w:b w:val="1"/>
          <w:bCs w:val="1"/>
          <w:color w:val="auto"/>
        </w:rPr>
        <w:t>Property and Business Interruption Insurance Claims and Recoveries – First Quarter of 2014 Cherokee Facility</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provided, for the policy period covering this claim, for repair or replacement cost coverage relating to property damage with a $2.5 million deductible and provided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4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certain repairs and clean-up costs incurred (“recoverable costs”).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2014, we settled the claim with our insurance carriers for the aggregate amount of approximately $43.5 million, including the $15.0 million paid to us in the first quarter of 2013 and the remaining $28.5 million paid to us in January 2014. As it relates to the $28.5 million paid in January 2014, we allocated $7.0 million to our property insurance claim and $21.5 million to our business interruption claim primarily based on negotiations with our insurance carriers concerning our claims.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$7.0 million allocated to the property insurance claim was partially applied against our insurance claim receivable, consisting of recoverable costs, totaling $1.9 million at December 31, 2013. The insurance recovery in excess of the recoverable costs of $5.1 million was recognized as property insurance recoveries in excess of losses incurred in the first quarter of 2014.</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insurance recovery of $21.5 million allocated to the business interruption claim was recognized as a reduction to cost of sales in the first quarter of 2014. In addition, the insurance recovery in excess of recoverable costs of $1.4 million (that was deferred and included in deferred gain on insurance recoveries at December 31, 2013) was recognized as a reduction to cost of sales in the first quarter of 2014.</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Due to the increase in the total value of property, plant and equipment (“PP&amp;E”) and the recent insurance claims relating to our Chemical Business, our insurance premiums have increased (a portion of which was financed through short-term financing agreements) and are expected to increase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cash and cash equivalents, noncurrent restricted cash and cash equivalents and investments, long-term debt and stockholders’ equity:</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480" w:type="dxa"/>
            <w:vAlign w:val="bottom"/>
            <w:gridSpan w:val="3"/>
          </w:tcPr>
          <w:p>
            <w:pPr>
              <w:ind w:left="920"/>
              <w:spacing w:after="0"/>
              <w:rPr>
                <w:sz w:val="20"/>
                <w:szCs w:val="20"/>
                <w:color w:val="auto"/>
              </w:rPr>
            </w:pPr>
            <w:r>
              <w:rPr>
                <w:rFonts w:ascii="Arial" w:cs="Arial" w:eastAsia="Arial" w:hAnsi="Arial"/>
                <w:sz w:val="14"/>
                <w:szCs w:val="14"/>
                <w:color w:val="auto"/>
                <w:w w:val="86"/>
              </w:rPr>
              <w:t>March 31,</w:t>
            </w:r>
          </w:p>
        </w:tc>
        <w:tc>
          <w:tcPr>
            <w:tcW w:w="1520" w:type="dxa"/>
            <w:vAlign w:val="bottom"/>
            <w:gridSpan w:val="4"/>
          </w:tcPr>
          <w:p>
            <w:pPr>
              <w:ind w:left="6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4"/>
              <w:spacing w:after="0" w:line="159" w:lineRule="exact"/>
              <w:rPr>
                <w:sz w:val="20"/>
                <w:szCs w:val="20"/>
                <w:color w:val="auto"/>
              </w:rPr>
            </w:pPr>
            <w:r>
              <w:rPr>
                <w:rFonts w:ascii="Arial" w:cs="Arial" w:eastAsia="Arial" w:hAnsi="Arial"/>
                <w:sz w:val="14"/>
                <w:szCs w:val="14"/>
                <w:color w:val="auto"/>
                <w:w w:val="89"/>
              </w:rPr>
              <w:t>2014</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162.8</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 (1)</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246.1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408.9</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Notes</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425.0</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Secured Promissory Note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461.9</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423.9</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March 31, 2014, this balance consisted of cash and cash equivalents that are designated by us for specific purposes relating to capital projects. All of this balance was held by financial institutions within the U.S.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31, 2014, our cash, cash equivalents and noncurrent restricted cash and cash equivalents totaled $408.9 million. In addition as discussed below, our $100 million revolving credit facility is currently undrawn and available to fund operations, if needed, subject to the amount of our eligible collateral and outstanding letters of credit.</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For the remainder of 2014 and 2015, we have extensive planned capital expenditures. Our primary cash needs for this period of time will be to fund these capital expenditures, as well as, our operations, our general obligations, and our interest payment requirements. We expect to fund these cash needs from the noncurrent restricted cash (provided from the proceeds from the Senior Secured Notes), working capital, internally generated cash flows, and third-party financing. See additional discussions below under “Capital Expenditures”. Our internally generated cash flows and liquidity have been, and could be, affected by possible declines in sales volumes resulting from the uncertainty relative to the current economic conditions and production inefficiency of our facilities.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party to an indenture (the “Indenture”) governing the Senior Secured Notes. The Indenture contains covenants that, among other things, limit LSB’s ability, with certain exceptions and as defined in the Indenture, to certain transactions.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we and certain of our subsidiaries (the “Borrowers”) are party to an amended and restated revolving credit facility (the “Amended Working Capital Revolver Loan”). Pursuant to the terms of the Amended Working Capital Revolver Loan, the principal amount the Borrowers may borrow is up to $100.0 million, based on specific percentages of eligible accounts receivable and inventories. At March 31, 2014, there were no outstanding borrowings under the Amended Working Capital Revolver Loan and the net credit available for borrowings was approximately $79.7 million, based on our eligible collateral, less outstanding letters of credit as of that date.</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Due to the overall increase in our outstanding long-term debt, our interest payment obligations have increased and will continue during future periods, of which a portion has and will be capitalized relating to major capital projects.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recognize and pay federal income taxes at regular corporate tax rates. With few exceptions, the 2010-2012 years remain open for all purposes of examination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the U.S. Internal Revenue Service (“IRS”) and other major tax jurisdictions. We are under examination by the IRS for the tax years 2008-2010.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2014, the IRS has proposed certain adjustments, which we are protesting. We anticipate that the adjustments, if any, will not result in a material change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our financial position. We had approximately $2.4 million accrued for various uncertain tax liabilities at March 31, 2014.</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Quarter of 2014</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Capital expenditures during the first quarter of 2014 were $45.6 million, including $43.4 million for the benefit of our Chemical Business. The Chemical Business capital expenditures included $28.5 million for expansion projects at our El Dorado Facility, approximately $5.1 million associated with maintaining compliance with environmental laws, regulations and guidelines, approximately $4.2 million for various major renewal and improvement projects, and $2.6 million for the development of natural gas leaseholds. The capital expenditures were funded primarily from noncurrent restricted investments. Due to the increase in the amount of capital expenditures incurred and committed, our depreciation, depletion and amortization expenses have increased and are expected to continue to increase during the remainder of 2014 and future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Expenditures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vMerge w:val="restart"/>
          </w:tcPr>
          <w:p>
            <w:pPr>
              <w:jc w:val="center"/>
              <w:ind w:left="12"/>
              <w:spacing w:after="0"/>
              <w:rPr>
                <w:sz w:val="20"/>
                <w:szCs w:val="20"/>
                <w:color w:val="auto"/>
              </w:rPr>
            </w:pPr>
            <w:r>
              <w:rPr>
                <w:rFonts w:ascii="Arial" w:cs="Arial" w:eastAsia="Arial" w:hAnsi="Arial"/>
                <w:sz w:val="14"/>
                <w:szCs w:val="14"/>
                <w:color w:val="auto"/>
                <w:w w:val="87"/>
              </w:rPr>
              <w:t>Remainder</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color w:val="auto"/>
                <w:w w:val="86"/>
              </w:rPr>
              <w:t>Planned Capital Expenditures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12"/>
              <w:spacing w:after="0" w:line="159" w:lineRule="exact"/>
              <w:rPr>
                <w:sz w:val="20"/>
                <w:szCs w:val="20"/>
                <w:color w:val="auto"/>
              </w:rPr>
            </w:pPr>
            <w:r>
              <w:rPr>
                <w:rFonts w:ascii="Arial" w:cs="Arial" w:eastAsia="Arial" w:hAnsi="Arial"/>
                <w:sz w:val="14"/>
                <w:szCs w:val="14"/>
                <w:color w:val="auto"/>
                <w:w w:val="85"/>
              </w:rPr>
              <w:t>of 2014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left="192"/>
              <w:spacing w:after="0" w:line="159" w:lineRule="exact"/>
              <w:rPr>
                <w:sz w:val="20"/>
                <w:szCs w:val="20"/>
                <w:color w:val="auto"/>
              </w:rPr>
            </w:pPr>
            <w:r>
              <w:rPr>
                <w:rFonts w:ascii="Arial" w:cs="Arial" w:eastAsia="Arial" w:hAnsi="Arial"/>
                <w:sz w:val="14"/>
                <w:szCs w:val="14"/>
                <w:color w:val="auto"/>
                <w:w w:val="89"/>
              </w:rPr>
              <w:t>2015</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Total</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7"/>
              </w:rPr>
              <w:t>(In Millions)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El Dorado Facility Expansion Projects</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w:t>
            </w:r>
          </w:p>
        </w:tc>
        <w:tc>
          <w:tcPr>
            <w:tcW w:w="28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$ 117</w:t>
            </w:r>
          </w:p>
        </w:tc>
        <w:tc>
          <w:tcPr>
            <w:tcW w:w="26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$152</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$317</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Development of Natural Gas Leaseholds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Environmental Projects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Major Renewal and Improvement Projects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Other (1)</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Climate Control</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277</w:t>
            </w:r>
          </w:p>
        </w:tc>
        <w:tc>
          <w:tcPr>
            <w:tcW w:w="2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242</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461</w:t>
            </w:r>
          </w:p>
        </w:tc>
        <w:tc>
          <w:tcPr>
            <w:tcW w:w="3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3860" w:hanging="5612"/>
        <w:spacing w:after="0" w:line="440" w:lineRule="auto"/>
        <w:tabs>
          <w:tab w:leader="none" w:pos="4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 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March 31, 2014, we had planned capital expenditures as indicated in the table above for the remainder of 2014 and for 2015. The planned capital expenditures include capital expenditures that management anticipates spending for expansion and development projects, environmental requirements, and major renewal and improvement projects. These capital expenditures are subject to economic conditions, which are continually reviewed by management, and may increase or decrease as new information is obtained or circumstances change. We plan to fund the planned capital expenditures from working capital, noncurrent restricted cash and cash equivalents, internally generated cash flows, third-party financing, and if necessary, availability under the Amended Working Capital Revolver Loan.</w:t>
      </w:r>
    </w:p>
    <w:p>
      <w:pPr>
        <w:spacing w:after="0" w:line="144"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The planned capital expenditures for Corporate and Other are primarily for the replacement of our enterprise resource planning, financial and operations management software. This project began in 2013 and is expected to be fully implemented in 2016 at a total cost of $20 million to $25 million. Included in planned capital expenditures is capitalized interest of approximately $15 million for the remainder of 2014 and $16 million for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El Dorado Facility has certain expansion projects, which include an ammonia production plant; a new 65% strength nitric acid plant and concentrator; and other support infrastructure, all of which were considered in our initial evaluation and calculations of return on investment. The expected costs of these projects are outlined below, which planned amounts are included in the table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w w:val="86"/>
              </w:rPr>
              <w:t>Capitalized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color w:val="auto"/>
                <w:w w:val="87"/>
              </w:rPr>
              <w:t>Remainder</w:t>
            </w:r>
          </w:p>
        </w:tc>
        <w:tc>
          <w:tcPr>
            <w:tcW w:w="1820" w:type="dxa"/>
            <w:vAlign w:val="bottom"/>
            <w:gridSpan w:val="9"/>
          </w:tcPr>
          <w:p>
            <w:pPr>
              <w:ind w:left="180"/>
              <w:spacing w:after="0"/>
              <w:rPr>
                <w:sz w:val="20"/>
                <w:szCs w:val="20"/>
                <w:color w:val="auto"/>
              </w:rPr>
            </w:pPr>
            <w:r>
              <w:rPr>
                <w:rFonts w:ascii="Arial" w:cs="Arial" w:eastAsia="Arial" w:hAnsi="Arial"/>
                <w:sz w:val="14"/>
                <w:szCs w:val="14"/>
                <w:color w:val="auto"/>
                <w:w w:val="87"/>
              </w:rPr>
              <w:t>Planned Capital Expenditures</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4"/>
              </w:rPr>
              <w:t>To Date</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of 2014</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center"/>
              <w:ind w:left="152"/>
              <w:spacing w:after="0" w:line="159" w:lineRule="exact"/>
              <w:rPr>
                <w:sz w:val="20"/>
                <w:szCs w:val="20"/>
                <w:color w:val="auto"/>
              </w:rPr>
            </w:pPr>
            <w:r>
              <w:rPr>
                <w:rFonts w:ascii="Arial" w:cs="Arial" w:eastAsia="Arial" w:hAnsi="Arial"/>
                <w:sz w:val="14"/>
                <w:szCs w:val="14"/>
                <w:color w:val="auto"/>
                <w:w w:val="89"/>
              </w:rPr>
              <w:t>2015</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Total</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7"/>
              </w:rPr>
              <w:t>(In Millions)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117</w:t>
            </w:r>
          </w:p>
        </w:tc>
        <w:tc>
          <w:tcPr>
            <w:tcW w:w="220" w:type="dxa"/>
            <w:vAlign w:val="bottom"/>
          </w:tcPr>
          <w:p>
            <w:pPr>
              <w:spacing w:after="0"/>
              <w:rPr>
                <w:sz w:val="19"/>
                <w:szCs w:val="1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152</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El Dorado Facility produces nitric acid and agricultural and industrial grade AN from purchased ammonia, which is currently at a cost disadvantage compared to products produced from natural gas. The El Dorado Facility historically purchased 600-700 tons of ammonia per day when operating at full capacity. We are constructing a 1,150 ton per day anhydrous ammonia production plant at the El Dorado Facility, which we believe should eliminate this cost disadvantage, increase capacity, and improve efficiency of the El Dorado Facility. The construction of this project is expected to be complete by late 2015.</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which are scheduled to begin production in early to mid-2015 and are designed to be more efficient and provide increased nitric acid production capacity.</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a result of the increased production capacity at the El Dorado Facility, it is necessary to expand and improve certain support infrastructure, including utility capacity, control room facilities, natural gas pipeline, raw material storage and handling, and ammonia distribution. Also, other cost reduction and cost recovery equipment, including a cogeneration plant, are being added to improve efficiency and lower the cost of production.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previously reported, in connection with a national enforcement initiative, the EPA had sent information requests to most, if not all, of the operators of nitric acid plants in the United States, including our El Dorado and Cherokee Facilities and the Baytown Facility operated by EDN, under Section 114 of the Clean Air Act as to construction and modification activities at each of these facilities over a period of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2013, we negotiated a global agreement in principle with the EPA/DOJ as to the Clean Air Act issue discussed above. During the first quarter of 2014, all parties executed the Consent Decree to settle this matter, but such settlement is subject to obtaining court approval of the executed Consent Decree. The agreement provides, among other things, the following:</w:t>
      </w:r>
    </w:p>
    <w:p>
      <w:pPr>
        <w:spacing w:after="0" w:line="59" w:lineRule="exact"/>
        <w:rPr>
          <w:sz w:val="20"/>
          <w:szCs w:val="20"/>
          <w:color w:val="auto"/>
        </w:rPr>
      </w:pPr>
    </w:p>
    <w:p>
      <w:pPr>
        <w:ind w:left="900" w:right="100" w:hanging="325"/>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our Chemical Business’ owned and operated nitric acid plants are to achieve certain emission rates within a certain time period for each plant. Of the nine nitric acid production facilities currently owned or operated by our Chemical Business, all but EDN requires or required additional pollution control technology to achieve these emission rates. The pollution control technology has already been installed at three of our nitric acid plants and five of our nitric acid plants still require additional pollution control technology equipment to be installed. The cost of the necessary pollution control equipment and the installment of such equipment is estimated to range from $2.0 million to $3.0 million for each of the remaining five nitric acid plants, the cost of which will be capitalized when incurred;</w:t>
      </w:r>
    </w:p>
    <w:p>
      <w:pPr>
        <w:spacing w:after="0" w:line="39"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civil penalty will be paid by our Chemical Business in the amount of $725,000.</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2014</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Chemical Business recognizes as cost of sales the costs for Turnarounds as they are incurred. Based on our current plan for Turnarounds for the remainder of 2014, we estimate that we will incur approximately $3.5 million to $4.5 million of these Turnaround costs. However, it is possible that the actual costs could be significantly different from our estimates. These costs do not include the costs relating to lost absorption or reduced margins due to the associated plants being shut down. These costs also do not include maintenance and repair costs related to the current repairs and maintenance to bring the Pryor Facility back into production. We plan to fund these expenditures from our available working capital.</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$1.1 million in the first quarter of 2014 in connection with environmental projects. For the remainder of 2014, we expect to incur expenses ranging from $3.5 million to $4.0 million in connection with additional environmental projects. However, it is possible that the actual costs could be significantly different than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terms of the Amended Working Capital Loan Agreement and the Senior Secured Notes.</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2014</w:t>
      </w:r>
      <w:r>
        <w:rPr>
          <w:rFonts w:ascii="Arial" w:cs="Arial" w:eastAsia="Arial" w:hAnsi="Arial"/>
          <w:sz w:val="16"/>
          <w:szCs w:val="16"/>
          <w:b w:val="1"/>
          <w:bCs w:val="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2014, dividends totaling $300,000 were declared and paid on our outstanding preferred stock using funds from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8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Long—Term Debt Covenants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Amended Working Capital Revolver Loan requires, among other things, that we meet certain financial covenant, including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As of March 31, 2014, as defined in the agreement, the fixed charge coverage ratio was 6.2 to 1. Currently, our forecast is that we will be able to meet all financial covenant requirements for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2014 compared to three months ended March 31,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(loss) in our Chemical segment for the three months ended March 31,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4"/>
              <w:spacing w:after="0" w:line="159" w:lineRule="exact"/>
              <w:rPr>
                <w:sz w:val="20"/>
                <w:szCs w:val="20"/>
                <w:color w:val="auto"/>
              </w:rPr>
            </w:pPr>
            <w:r>
              <w:rPr>
                <w:rFonts w:ascii="Arial" w:cs="Arial" w:eastAsia="Arial" w:hAnsi="Arial"/>
                <w:sz w:val="14"/>
                <w:szCs w:val="14"/>
                <w:color w:val="auto"/>
                <w:w w:val="96"/>
              </w:rPr>
              <w:t>2013</w:t>
            </w:r>
          </w:p>
        </w:tc>
        <w:tc>
          <w:tcPr>
            <w:tcW w:w="600" w:type="dxa"/>
            <w:vAlign w:val="bottom"/>
          </w:tcPr>
          <w:p>
            <w:pPr>
              <w:spacing w:after="0"/>
              <w:rPr>
                <w:sz w:val="13"/>
                <w:szCs w:val="13"/>
                <w:color w:val="auto"/>
              </w:rPr>
            </w:pPr>
          </w:p>
        </w:tc>
        <w:tc>
          <w:tcPr>
            <w:tcW w:w="120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w w:val="97"/>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w w:val="90"/>
              </w:rPr>
              <w:t>(Dollars In Thousands)</w:t>
            </w: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59,523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32,512</w:t>
            </w:r>
          </w:p>
        </w:tc>
        <w:tc>
          <w:tcPr>
            <w:tcW w:w="6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$27,011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28,578</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14,433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14,610</w:t>
            </w:r>
          </w:p>
        </w:tc>
        <w:tc>
          <w:tcPr>
            <w:tcW w:w="6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880"/>
              <w:spacing w:after="0"/>
              <w:rPr>
                <w:sz w:val="20"/>
                <w:szCs w:val="20"/>
                <w:color w:val="auto"/>
              </w:rPr>
            </w:pPr>
            <w:r>
              <w:rPr>
                <w:rFonts w:ascii="Arial" w:cs="Arial" w:eastAsia="Arial" w:hAnsi="Arial"/>
                <w:sz w:val="18"/>
                <w:szCs w:val="18"/>
                <w:color w:val="auto"/>
              </w:rPr>
              <w:t>Total Chemical</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115,221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77,490</w:t>
            </w:r>
          </w:p>
        </w:tc>
        <w:tc>
          <w:tcPr>
            <w:tcW w:w="6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37,731</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28,426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21.6%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(loss)—Chemical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28,813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(3,806)</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32,619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sales increase for the first quarter of 2014 as a result of the following:</w:t>
      </w:r>
    </w:p>
    <w:p>
      <w:pPr>
        <w:spacing w:after="0" w:line="90" w:lineRule="exact"/>
        <w:rPr>
          <w:sz w:val="20"/>
          <w:szCs w:val="20"/>
          <w:color w:val="auto"/>
        </w:rPr>
      </w:pPr>
    </w:p>
    <w:p>
      <w:pPr>
        <w:ind w:left="900" w:right="8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Agricultural products sales increased mainly due to higher volumes as a result of improved production at our Cherokee Facility during the first quarter of 2014, improved ammonia production at our Pryor Facility during March 2014 (these facilities experience significant downtime during the first quarter of 2013 and the Pryor Facility had minimal production during the first two months of 2014), and improved market conditions for agricultural grade AN produced at our El Dorado Facility, partially offset by lower sales prices.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increased primarily as a result of higher volumes which were driven by increased production at the Baytown Facility (this facility performed a Turnaround during the first quarter of 2013) and improved production at our Cherokee Facility as discussed above partially offset by the reduction in the average Tampa ammonia price by approximately $200 per metric ton in the first quarter of 2014 compared to the same period in 2013, which decline impacted our contractual sales prices to certain of our industrial acids customers.</w:t>
      </w:r>
    </w:p>
    <w:p>
      <w:pPr>
        <w:spacing w:after="0" w:line="31" w:lineRule="exact"/>
        <w:rPr>
          <w:rFonts w:ascii="Arial" w:cs="Arial" w:eastAsia="Arial" w:hAnsi="Arial"/>
          <w:sz w:val="16"/>
          <w:szCs w:val="16"/>
          <w:color w:val="auto"/>
        </w:rPr>
      </w:pPr>
    </w:p>
    <w:p>
      <w:pPr>
        <w:ind w:left="900" w:right="200" w:hanging="325"/>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Mining products sales decreased primarily due to lower customer demand as a result of the current low cost of natural gas as an alternative fuel for utility companies and lower sales prices (due to the decrease in the Tampa ammonia price discussed above), which impacted our contractual sales prices to certain of our mining customers, partially offset by improved production at the Cherokee Facility as discussed above.</w:t>
      </w:r>
    </w:p>
    <w:p>
      <w:pPr>
        <w:spacing w:after="0" w:line="25"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sales relates to working interests in certain natural gas properties acquired in October 2012 and August 2013 by a subsidiary within our Chemical Business. Management considers these working interests as an economic hedge against a portion of a potential rise in natural gas prices in the future for a portion of our future natural gas production requirements.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Chemical Business’ gross profit was $28.4 million, including a $22.9 million business interruption insurance recovery recognized during the first quarter of 2014. For the first quarter of 2013, our Chemical Business’ gross profit included $10.8 million business interruption insurance recovery. Excluding the insurance recoveries, the increase in gross profit of $13.9 million was primarily attributable to the Cherokee Facility being operational for the first quarter of 2014 compared to the same period in 2013 when the facility was not operating while damage caused by a pipe rupture was being repaired. The gross profit improvement was not proportionate to the increased production at the Cherokee Facility due to the significant decline in the margin per ton of nitrogen fertilizers. Natural gas feedstock cost increased approximately 40%, while selling prices decreased 20-30%, negatively affecting gross profit margins on our nitrogen fertilizer sales. Also in the first quarter of 2014, gross profit was lower by $1.1 million on purchased UAN that was sold at a loss to honor forward sales commitments in excess of available production. This purchase was necessitated by lower than projected urea production at the Cherokee Facility as the result of a normal production interruption to maintain the urea plant.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(Loss)—Chemical</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Our Chemical Business’ operating income was $28.8 million, including a $5.1 million property insurance recovery recognized (classified as property insurance recoveries in excess of losses incurred) during the first quarter of 2014, in addition to the increase in gross profit as discussed above.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March 31,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59"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6"/>
              </w:rPr>
              <w:t>2013</w:t>
            </w:r>
          </w:p>
        </w:tc>
        <w:tc>
          <w:tcPr>
            <w:tcW w:w="60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7"/>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color w:val="auto"/>
                <w:w w:val="87"/>
              </w:rPr>
              <w:t>(Dollars In Thousands)</w:t>
            </w: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38,482</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44,176</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$(5,694)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15,279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14,347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11,747</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(5,159)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60,349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70,270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19,264</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21,982</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(2,718)</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4,332</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6,384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(2,052)</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Sales—Climate Control</w:t>
      </w:r>
    </w:p>
    <w:p>
      <w:pPr>
        <w:spacing w:after="0" w:line="96" w:lineRule="exact"/>
        <w:rPr>
          <w:rFonts w:ascii="Arial" w:cs="Arial" w:eastAsia="Arial" w:hAnsi="Arial"/>
          <w:sz w:val="18"/>
          <w:szCs w:val="18"/>
          <w:color w:val="auto"/>
        </w:rPr>
      </w:pPr>
    </w:p>
    <w:p>
      <w:pPr>
        <w:ind w:left="900" w:right="240" w:hanging="325"/>
        <w:spacing w:after="0" w:line="294"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Net sales of our geothermal and water source heat pump products decreased in the first quarter of 2014 as a result of a 14% decline in sales of our commercial/institutional products primarily due to lower product order levels in the fourth quarter of 2013 yielding a lower beginning backlog in 2014 (including a 2% decline relating to Carrier). Residential product sales also declined 14% as a result of a lower level of backlog and lower incoming orders (with approximately half of the decline in orders related to Carrier). During the first quarter of 2014, we continued to maintain a market share leadership position based on market data supplied by the Air-Conditioning, Heating and Refrigeration Institute (“AHRI”).</w:t>
      </w:r>
    </w:p>
    <w:p>
      <w:pPr>
        <w:spacing w:after="0" w:line="34" w:lineRule="exact"/>
        <w:rPr>
          <w:rFonts w:ascii="Arial" w:cs="Arial" w:eastAsia="Arial" w:hAnsi="Arial"/>
          <w:sz w:val="16"/>
          <w:szCs w:val="16"/>
          <w:color w:val="auto"/>
        </w:rPr>
      </w:pPr>
    </w:p>
    <w:p>
      <w:pPr>
        <w:ind w:left="900" w:right="20" w:hanging="325"/>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 sales of our hydronic fan coils increased primarily as a result of an increase in the number of units sold, unit pricing and product mix as well as the impact from customers’ delivery date requirements. During the first quarter of 2014, we continued to maintain a market share leadership position based on market data supplied by the AHRI.</w:t>
      </w:r>
    </w:p>
    <w:p>
      <w:pPr>
        <w:spacing w:after="0" w:line="59" w:lineRule="exact"/>
        <w:rPr>
          <w:rFonts w:ascii="Arial" w:cs="Arial" w:eastAsia="Arial" w:hAnsi="Arial"/>
          <w:sz w:val="18"/>
          <w:szCs w:val="18"/>
          <w:color w:val="auto"/>
        </w:rPr>
      </w:pPr>
    </w:p>
    <w:p>
      <w:pPr>
        <w:ind w:left="900" w:right="220" w:hanging="325"/>
        <w:spacing w:after="0" w:line="370" w:lineRule="auto"/>
        <w:tabs>
          <w:tab w:leader="none" w:pos="9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Net sales of our other HVAC products decreased primarily due to a lower beginning backlog entering the quarter and customer scheduled delivery dates for our large custom air handlers and the impact from delays in finalizing project contracts for our engineering and construction services.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Operating income decreased primarily as the result of the lower gross profit discussed above, partially offset by lower operating expenses, primarily variable selling costs related to lower sales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for the first quarter of 2014 was $7.7 million compared to $3.1 million for the same period in 2013. The increase is primarily the result of fees and expenses incurred in evaluating and analyzing proposals received from certain activist shareholders and dealing, negotiating and settling with those shareholders in order to avoid a proxy contest.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expense for the first quarter of 2014 was $6.7 million compared to $0.7 million for the same period in 2013. The increase is due primarily to the issuance of the Senior Secured Notes partially offset by $2.3 million of capitalized interest on capital projects (while under development and construction) during the first quarter of 2014 compared to $0.4 million capitalized during the first quarter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 for income taxes for the first quarter of 2014 was $7.7 million compared to an income tax benefit of $0.7 million for the same period in 2013. The resulting effective tax rate for the first quarters of 2014 and 2013 was 40% and 38% (excluding the benefit associated with the retroactive tax relief on certain 2012 tax provisions that expired in 2012),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 – Three Months Ended March 31, 2014</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provided by continuing operating activities was $20.3 million primarily as the result of net income of $11.6 million plus an adjustment of $8.7 million for depreciation, depletion and amortization of PP&amp;E.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 – Three Months Ended March 31, 2014</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continuing investing activities was $5.1 million that consisted primarily of net proceeds of $44.9 million from restricted noncurrent cash, cash equivalents and investments, proceeds of $5.1 million from property insurance recovery associated with PP&amp;E partially offset by $45.3 million for expenditures for PP&amp;E, of which $44.5 million is for the benefit of our Chemical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 – Three Months Ended March 31, 2014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continuing financing activities was $6.3 million that primarily related to payments on short-term financing and long-term debt.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See our discussion on critical accounting policies and estimates in Item 7 of our 2013 Form 10-K. In addition, the preparation of financial statements requires management to make estimates and assumptions that affect the reported amount of assets, liabilities, revenues and expenses, and disclosures of contingencies and fair values. For the first quarter of 2014, we did not experience a material change in accounting estimates. However, it is reasonably possible that the estimates and assumptions utilized as of March 31, 2014 could change in the near-term.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2014, we have agreed to indemnify the sureties for payments, up to $10.1 million, made by them in respect of such bonds. All of these insurance bonds are expected to expire or be renewed in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color w:val="auto"/>
        </w:rPr>
        <w:t>In the operation of our businesses, we enter into contracts, leases and borrowing arrangements. As discussed in our 2013 Form 10-K, we had certain contractual obligations as of December 31, 2013, with various maturity dates, showing payments due for the next five years and thereafter related to the following:</w:t>
      </w: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ammonia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nitric acid plant and concentrator,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March 31, 2014, we had embedded losses of $0.4 million associated with sales commitments with firm sales prices relating to our Chemical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Certain subsidiaries within the Chemical Business entered into contracts to purchase natural gas for anticipated production needs. At March 31, 2014, all of the outstanding natural gas contracts were considered derivatives and were accounted for on a mark-to-market basis. At March 31, 2014, these natural gas contracts were for approximately 2.1 million MMBtu of natural gas through October 2014 at a weighted-average cost of $3.95 per MMBtu ($8.5 million) and a weighted-average market value of $4.29 per MMBtu ($9.2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2014, we had no outstanding futures/forward copper contracts.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March 31, 2014, we have an interest rate swap, which sets a fixed three-month LIBOR of 3.23% on a declining balance (from $23.8 million to $18.8 million) for the period beginning April 2012 through March 2016. This contract is a free-standing derivative and is accounted for on a mark-to-market basis. At March 31, 2014, the fair value of these contracts (unrealized loss) was $1.1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March 31, 2014, we did not have any financial instruments with fair values significantly different from their carrying amounts, except for the Senior Secured Notes. The estimated fair value of the Senior Secured Notes exceeded the carrying value by approximately $35 million. The valuation is classified as Level 2 and is based on the range of ask/bid prices (107.8 to 108.8) as of March 31, 2014 for these notes but are currently traded in a limited and low volume market since these notes have not yet been registered.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March 31, 2014 that have materially affected, or are reasonably likely to materially affect, our internal control over financial reporting.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3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modest growth of the U.S. economy;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construction outlook for the commercial/institutional sector and single-family sector;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prices of our chemical products vary with the market price of certain feedstock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outlook for the types of nitrogen fertilizer products we produce and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growth in the coal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 in nitric acid production and its impact on operating income at the El Dorado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new chemical plants and when these plants will become operational;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demand for our industrial, mining and agricultural products for the remainder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outlook for our chemical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of natural gas and nitrogen fertilizer;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new ammonia plan eliminating the current cost disadvantage;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sales growth in the short-term of the Climate Control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sales in the medium-term and long-term will be primarily driven by growth in new construction, as well as the introduction of new products</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GHPs use a form of renewable energy and, under certain conditions, can reduce energy usage up to 80% compared to some conventional HVAC systems;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plan to rely upon working capital, internally generated cash flows, noncurrent restricted cash and cash equivalents, and third-party financing, which may include our revolving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 Dorado Facility’s use of the wastewater pipeline will ensure EDC’s ability to comply with future permit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relating to settlement with the EPA relating to issues involving the Clean Air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Turnarounds during the remainder of 2014 for our chemical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expenses in connection with environmental projects for the remainder of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needs and how we expect to fund our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depletion and amortization expected to increase during the remainder of 2014 and future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benefits relating to construction of new plants at the El Dorado Facility;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5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ectPr>
          <w:pgSz w:w="11900" w:h="16838" w:orient="portrait"/>
          <w:cols w:equalWidth="0" w:num="1">
            <w:col w:w="11340"/>
          </w:cols>
          <w:pgMar w:left="240" w:top="459" w:right="319" w:bottom="1440" w:gutter="0" w:footer="0" w:header="0"/>
        </w:sectPr>
      </w:pP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40"/>
          </w:cols>
          <w:pgMar w:left="240" w:top="459" w:right="3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coming due in the near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material changes in the cost of certain precious metals, anhydrous ammonia, natural gas, copper, steel and purchased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duties for Ukraine and Russian AN products resulting in an increase in foreign AN products into the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factors described in “Risk Factors” and “Special Note Regarding Forward-Looking Statements” contained in our 2013 Form 10-K.</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2013 Form 10-K, except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Environmental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environmental matters relating to the following air issues in our Chemical Business:</w:t>
      </w:r>
    </w:p>
    <w:p>
      <w:pPr>
        <w:spacing w:after="0" w:line="90" w:lineRule="exact"/>
        <w:rPr>
          <w:sz w:val="20"/>
          <w:szCs w:val="20"/>
          <w:color w:val="auto"/>
        </w:rPr>
      </w:pPr>
    </w:p>
    <w:p>
      <w:pPr>
        <w:ind w:left="900" w:right="24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Global settlement of Clean Air Act issues with EPA/DOJ, relating to our Chemical Business’ nitric acid plants, with the consent decree relating to such settlement being executed by our Chemical Business and DOJ during the first quarter of 2014, with such settlement being subject to court approval;</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EPA advised PCC of a pending enforcement investigation relating to an alleged ammonia release during February 2014.</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West Fertilizer</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Although EDC does not believe that its product was in storage at West Fertilizer at the time of the explosion, there have been certain responses to interrogatories during discovery in connection with the pending lawsuits that some of the AN products at West Fertilizer at the time of the explosion may have possibly been produced by EDC. As a result, during the first quarter of 2014, EDC and LSB were named as defendants, together with other AN manufactures and brokers that arranged the transport and delivery of AN to West Fertilizer, in the case styled </w:t>
      </w:r>
      <w:r>
        <w:rPr>
          <w:rFonts w:ascii="Arial" w:cs="Arial" w:eastAsia="Arial" w:hAnsi="Arial"/>
          <w:sz w:val="16"/>
          <w:szCs w:val="16"/>
          <w:u w:val="single" w:color="auto"/>
          <w:color w:val="auto"/>
        </w:rPr>
        <w:t>City of West,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inspection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of this matter. Our product liability insurance policies have aggregate limits of general liability totaling $100 million, with a self-insured retention of $250,000.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are no material changes from the risk factors as previous disclosed in Item 1A to Part I of our 2013 Form 10-K, except that the risk factor styled “Our business could be negatively affected as a result of a proxy contest” is eliminated as the result of LSB entering into agreements with certain activist shareholders as previously reported.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Engineering, Procurement and Construction Agreement, dated December 31, 2013, between El Dorado Chemical Company and SAIC</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Constructors, LLC which the Company hereby incorporates by reference from Exhibit 99.1 to the Company’s Form 8-K, filed January 7, 2014.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Agreement, dated November 12, 2013, between United Steel, Paper and Forestry, Rubber, Manufacturing, Energy, Allied Industrial and Service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Workers International Union, AFL-CIO, CLC, on behalf of Local No. 00417 and Cherokee Nitrogen Company, which the Company hereby</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incorporates by reference from Exhibit 99.1 to the Company’s Form 8-K, filed February 13, 2014.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40"/>
              <w:spacing w:after="0"/>
              <w:rPr>
                <w:sz w:val="20"/>
                <w:szCs w:val="20"/>
                <w:color w:val="auto"/>
              </w:rPr>
            </w:pPr>
            <w:r>
              <w:rPr>
                <w:rFonts w:ascii="Arial" w:cs="Arial" w:eastAsia="Arial" w:hAnsi="Arial"/>
                <w:sz w:val="18"/>
                <w:szCs w:val="18"/>
                <w:color w:val="auto"/>
                <w:w w:val="87"/>
              </w:rPr>
              <w:t>Second Amended and Restated Loan and Security Agreement, dated effective December 31, 2013, by and among LSB Industries, Inc., each of its</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subsidiaries that are signatories thereto, the lenders signatories thereto, and Wells Fargo Capital Finance, LLC, which the Company hereby</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incorporates by reference from Exhibit 4.9 to the Company’s Form 10-K for the fiscal year ended December 31, 2013, filed February 27, 2014.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Agreement by and among the Company and Starboard Value LP, and certain of its affiliates, dated April 3, 2014, which the Company hereby</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incorporates by reference from Exhibit 99.1 to the Company’s Form 8-K, filed April 4, 2014.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Agreement by and among the Company and Engine Capital, L.P., Red Alder, LLC, and certain of their respective affiliates, dated April 3, 2014,</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which the Company hereby incorporates by reference from Exhibit 99.2 to the Company’s Form 8-K, filed April 4, 2014.</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7th day of May 2014.</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Executive Vice President of Finance and Chief Financial</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Accounting Officer)</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 and 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2014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2014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upperLetter"/>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upperLetter"/>
      <w:start w:val="3"/>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4"/>
    </w:lvl>
  </w:abstractNum>
  <w:abstractNum w:abstractNumId="13">
    <w:nsid w:val="8EDBDAB"/>
    <w:multiLevelType w:val="hybridMultilevel"/>
    <w:lvl w:ilvl="0">
      <w:lvlJc w:val="left"/>
      <w:lvlText w:val="(%1)"/>
      <w:numFmt w:val="upperLetter"/>
      <w:start w:val="1"/>
    </w:lvl>
  </w:abstractNum>
  <w:abstractNum w:abstractNumId="14">
    <w:nsid w:val="79838CB2"/>
    <w:multiLevelType w:val="hybridMultilevel"/>
    <w:lvl w:ilvl="0">
      <w:lvlJc w:val="left"/>
      <w:lvlText w:val="(%1)"/>
      <w:numFmt w:val="decimal"/>
      <w:start w:val="5"/>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lvl w:ilvl="1">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2019-12-05T12:05:37Z</dcterms:created>
  <dcterms:modified xsi:type="dcterms:W3CDTF">2019-12-05T12:05:37Z</dcterms:modified>
</cp:coreProperties>
</file>