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p>
      <w:pPr>
        <w:ind w:left="520" w:right="2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04"/>
        </w:trPr>
        <w:tc>
          <w:tcPr>
            <w:tcW w:w="3300" w:type="dxa"/>
            <w:vAlign w:val="bottom"/>
            <w:gridSpan w:val="3"/>
          </w:tcPr>
          <w:p>
            <w:pPr>
              <w:ind w:left="82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-205105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7140" w:type="dxa"/>
            <w:vAlign w:val="bottom"/>
          </w:tcPr>
          <w:p>
            <w:pPr>
              <w:jc w:val="center"/>
              <w:ind w:right="2560"/>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140" w:type="dxa"/>
            <w:vAlign w:val="bottom"/>
          </w:tcPr>
          <w:p>
            <w:pPr>
              <w:jc w:val="center"/>
              <w:ind w:right="256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140" w:type="dxa"/>
            <w:vAlign w:val="bottom"/>
          </w:tcPr>
          <w:p>
            <w:pPr>
              <w:jc w:val="center"/>
              <w:ind w:right="2560"/>
              <w:spacing w:after="0"/>
              <w:rPr>
                <w:sz w:val="20"/>
                <w:szCs w:val="20"/>
                <w:color w:val="auto"/>
              </w:rPr>
            </w:pPr>
            <w:r>
              <w:rPr>
                <w:rFonts w:ascii="Arial" w:cs="Arial" w:eastAsia="Arial" w:hAnsi="Arial"/>
                <w:sz w:val="14"/>
                <w:szCs w:val="14"/>
                <w:b w:val="1"/>
                <w:bCs w:val="1"/>
                <w:color w:val="auto"/>
                <w:w w:val="93"/>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259"/>
        </w:trPr>
        <w:tc>
          <w:tcPr>
            <w:tcW w:w="7140" w:type="dxa"/>
            <w:vAlign w:val="bottom"/>
          </w:tcPr>
          <w:p>
            <w:pPr>
              <w:jc w:val="center"/>
              <w:ind w:right="2560"/>
              <w:spacing w:after="0"/>
              <w:rPr>
                <w:sz w:val="20"/>
                <w:szCs w:val="20"/>
                <w:color w:val="auto"/>
              </w:rPr>
            </w:pPr>
            <w:r>
              <w:rPr>
                <w:rFonts w:ascii="Arial" w:cs="Arial" w:eastAsia="Arial" w:hAnsi="Arial"/>
                <w:sz w:val="18"/>
                <w:szCs w:val="18"/>
                <w:b w:val="1"/>
                <w:bCs w:val="1"/>
                <w:color w:val="auto"/>
                <w:w w:val="90"/>
              </w:rPr>
              <w:t>16 South Pennsylvania Avenue, Oklahoma City, Oklahoma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73107</w:t>
            </w:r>
          </w:p>
        </w:tc>
      </w:tr>
      <w:tr>
        <w:trPr>
          <w:trHeight w:val="186"/>
        </w:trPr>
        <w:tc>
          <w:tcPr>
            <w:tcW w:w="7140" w:type="dxa"/>
            <w:vAlign w:val="bottom"/>
          </w:tcPr>
          <w:p>
            <w:pPr>
              <w:jc w:val="center"/>
              <w:ind w:right="2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7140" w:type="dxa"/>
            <w:vAlign w:val="bottom"/>
          </w:tcPr>
          <w:p>
            <w:pPr>
              <w:jc w:val="right"/>
              <w:ind w:right="1320"/>
              <w:spacing w:after="0"/>
              <w:rPr>
                <w:sz w:val="20"/>
                <w:szCs w:val="20"/>
                <w:color w:val="auto"/>
              </w:rPr>
            </w:pPr>
            <w:r>
              <w:rPr>
                <w:rFonts w:ascii="Arial" w:cs="Arial" w:eastAsia="Arial" w:hAnsi="Arial"/>
                <w:sz w:val="18"/>
                <w:szCs w:val="18"/>
                <w:b w:val="1"/>
                <w:bCs w:val="1"/>
                <w:color w:val="auto"/>
              </w:rPr>
              <w:t>(405) 235-4546</w:t>
            </w:r>
          </w:p>
        </w:tc>
        <w:tc>
          <w:tcPr>
            <w:tcW w:w="1480" w:type="dxa"/>
            <w:vAlign w:val="bottom"/>
          </w:tcPr>
          <w:p>
            <w:pPr>
              <w:spacing w:after="0"/>
              <w:rPr>
                <w:sz w:val="22"/>
                <w:szCs w:val="22"/>
                <w:color w:val="auto"/>
              </w:rPr>
            </w:pPr>
          </w:p>
        </w:tc>
      </w:tr>
      <w:tr>
        <w:trPr>
          <w:trHeight w:val="186"/>
        </w:trPr>
        <w:tc>
          <w:tcPr>
            <w:tcW w:w="7140" w:type="dxa"/>
            <w:vAlign w:val="bottom"/>
          </w:tcPr>
          <w:p>
            <w:pPr>
              <w:jc w:val="center"/>
              <w:ind w:left="3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1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60" w:type="dxa"/>
            <w:vAlign w:val="bottom"/>
          </w:tcPr>
          <w:p>
            <w:pPr>
              <w:ind w:left="11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0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8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28,613,563 shares as of July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20"/>
                <w:szCs w:val="20"/>
                <w:color w:val="auto"/>
              </w:rPr>
            </w:pP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53"/>
        </w:trPr>
        <w:tc>
          <w:tcPr>
            <w:tcW w:w="9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4"/>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846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546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Mining Safety Disclosures</w:t>
              </w:r>
            </w:hyperlink>
          </w:p>
        </w:tc>
        <w:tc>
          <w:tcPr>
            <w:tcW w:w="400" w:type="dxa"/>
            <w:vAlign w:val="bottom"/>
            <w:tcBorders>
              <w:top w:val="single" w:sz="8" w:color="0000EE"/>
            </w:tcBorders>
          </w:tcPr>
          <w:p>
            <w:pPr>
              <w:spacing w:after="0"/>
              <w:rPr>
                <w:sz w:val="24"/>
                <w:szCs w:val="24"/>
                <w:color w:val="auto"/>
              </w:rPr>
            </w:pPr>
          </w:p>
        </w:tc>
        <w:tc>
          <w:tcPr>
            <w:tcW w:w="7480" w:type="dxa"/>
            <w:vAlign w:val="bottom"/>
            <w:gridSpan w:val="4"/>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848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Exhibits</w:t>
              </w:r>
            </w:hyperlink>
          </w:p>
        </w:tc>
        <w:tc>
          <w:tcPr>
            <w:tcW w:w="920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885"/>
        </w:trPr>
        <w:tc>
          <w:tcPr>
            <w:tcW w:w="940" w:type="dxa"/>
            <w:vAlign w:val="bottom"/>
          </w:tcPr>
          <w:p>
            <w:pPr>
              <w:spacing w:after="0"/>
              <w:rPr>
                <w:sz w:val="24"/>
                <w:szCs w:val="24"/>
                <w:color w:val="auto"/>
              </w:rPr>
            </w:pPr>
          </w:p>
        </w:tc>
        <w:tc>
          <w:tcPr>
            <w:tcW w:w="6440" w:type="dxa"/>
            <w:vAlign w:val="bottom"/>
            <w:gridSpan w:val="11"/>
          </w:tcPr>
          <w:p>
            <w:pPr>
              <w:ind w:left="4720"/>
              <w:spacing w:after="0"/>
              <w:rPr>
                <w:sz w:val="20"/>
                <w:szCs w:val="20"/>
                <w:color w:val="auto"/>
              </w:rPr>
            </w:pPr>
            <w:r>
              <w:rPr>
                <w:rFonts w:ascii="Arial" w:cs="Arial" w:eastAsia="Arial" w:hAnsi="Arial"/>
                <w:sz w:val="18"/>
                <w:szCs w:val="18"/>
                <w:color w:val="auto"/>
              </w:rPr>
              <w:t>2</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at June 30, 2018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June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60" w:type="dxa"/>
            <w:vAlign w:val="bottom"/>
            <w:gridSpan w:val="5"/>
          </w:tcPr>
          <w:p>
            <w:pPr>
              <w:ind w:left="92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Current assets:</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47,216</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39,208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59,570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13,327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Raw materials</w:t>
            </w:r>
          </w:p>
        </w:tc>
        <w:tc>
          <w:tcPr>
            <w:tcW w:w="38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Total inventories</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14,879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Supplies, prepaid items and other:</w:t>
            </w: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Prepaid insurance</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Precious metals</w:t>
            </w: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Supplies</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28,939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and refundable income taxes</w:t>
            </w: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38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supplies, prepaid items and other</w:t>
            </w:r>
          </w:p>
        </w:tc>
        <w:tc>
          <w:tcPr>
            <w:tcW w:w="38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42,568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143,871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163,740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986,737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1,014,038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Intangible and other assets, net</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9,728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1,140,336</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1,189,182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(Continued on following page)</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0" w:type="dxa"/>
            <w:vAlign w:val="bottom"/>
          </w:tcPr>
          <w:p>
            <w:pPr>
              <w:jc w:val="right"/>
              <w:ind w:right="201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2018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June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60" w:type="dxa"/>
            <w:vAlign w:val="bottom"/>
            <w:gridSpan w:val="5"/>
          </w:tcPr>
          <w:p>
            <w:pPr>
              <w:ind w:left="94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51,278</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Short-term financing</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9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88,044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403,464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and other liabilities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of $198,197,000 ($185,231,000 at December 31, 2017)</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187,421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outstanding; aggregate liquidation preference of $100</w:t>
            </w: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Series B 12% cumulative, convertible preferred stock, $100 par value;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20,000 shares issued and outstanding</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1,000,000 shares issued and outstanding</w:t>
            </w: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Common stock, $.10 par value; 75,000,000 shares authorized,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31,280,685 shares issued</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in excess of par value</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196,792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Retained earnings</w:t>
            </w:r>
          </w:p>
        </w:tc>
        <w:tc>
          <w:tcPr>
            <w:tcW w:w="9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207,750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410,670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Less treasury stock, at cost:</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Common stock, 2,667,122 shares (2,662,027 shares at December 31, 2017)</w:t>
            </w:r>
          </w:p>
        </w:tc>
        <w:tc>
          <w:tcPr>
            <w:tcW w:w="9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392,522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1,140,336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1,189,182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4"/>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gridSpan w:val="7"/>
          </w:tcPr>
          <w:p>
            <w:pPr>
              <w:jc w:val="right"/>
              <w:ind w:right="60"/>
              <w:spacing w:after="0"/>
              <w:rPr>
                <w:sz w:val="20"/>
                <w:szCs w:val="20"/>
                <w:color w:val="auto"/>
              </w:rPr>
            </w:pPr>
            <w:r>
              <w:rPr>
                <w:rFonts w:ascii="Arial" w:cs="Arial" w:eastAsia="Arial" w:hAnsi="Arial"/>
                <w:sz w:val="16"/>
                <w:szCs w:val="16"/>
                <w:color w:val="auto"/>
                <w:w w:val="91"/>
              </w:rPr>
              <w:t>(In Thousands, Except Per Share Amounts)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9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103,199</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122,853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203,649</w:t>
            </w:r>
          </w:p>
        </w:tc>
        <w:tc>
          <w:tcPr>
            <w:tcW w:w="2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246,197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100,126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190,483</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223,242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net</w:t>
            </w:r>
          </w:p>
        </w:tc>
        <w:tc>
          <w:tcPr>
            <w:tcW w:w="1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(1,240)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Loss before provision (benefit) for income taxes</w:t>
            </w:r>
          </w:p>
        </w:tc>
        <w:tc>
          <w:tcPr>
            <w:tcW w:w="1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(9,794)</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(29,695)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(2,761)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(33,097)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Dividends on convertible preferred stocks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Dividends on Series E redeemable preferred stock</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Series E redeemable preferred stock</w:t>
            </w:r>
          </w:p>
        </w:tc>
        <w:tc>
          <w:tcPr>
            <w:tcW w:w="1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(48,614)</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net loss per common share:</w:t>
            </w:r>
          </w:p>
        </w:tc>
        <w:tc>
          <w:tcPr>
            <w:tcW w:w="19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w:t>
            </w: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980" w:type="dxa"/>
            <w:vAlign w:val="bottom"/>
            <w:gridSpan w:val="4"/>
          </w:tcPr>
          <w:p>
            <w:pPr>
              <w:jc w:val="center"/>
              <w:spacing w:after="0"/>
              <w:rPr>
                <w:sz w:val="20"/>
                <w:szCs w:val="20"/>
                <w:color w:val="auto"/>
              </w:rPr>
            </w:pPr>
            <w:r>
              <w:rPr>
                <w:rFonts w:ascii="Arial" w:cs="Arial" w:eastAsia="Arial" w:hAnsi="Arial"/>
                <w:sz w:val="18"/>
                <w:szCs w:val="18"/>
                <w:color w:val="auto"/>
                <w:w w:val="87"/>
              </w:rPr>
              <w:t>See accompanying notes.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Treasury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ind w:right="15"/>
              <w:spacing w:after="0"/>
              <w:rPr>
                <w:sz w:val="20"/>
                <w:szCs w:val="20"/>
                <w:color w:val="auto"/>
              </w:rPr>
            </w:pPr>
            <w:r>
              <w:rPr>
                <w:rFonts w:ascii="Arial" w:cs="Arial" w:eastAsia="Arial" w:hAnsi="Arial"/>
                <w:sz w:val="16"/>
                <w:szCs w:val="16"/>
                <w:color w:val="auto"/>
                <w:w w:val="97"/>
              </w:rPr>
              <w:t>Non-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Common</w:t>
            </w:r>
          </w:p>
        </w:tc>
        <w:tc>
          <w:tcPr>
            <w:tcW w:w="88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Stock-</w:t>
            </w:r>
          </w:p>
        </w:tc>
        <w:tc>
          <w:tcPr>
            <w:tcW w:w="880" w:type="dxa"/>
            <w:vAlign w:val="bottom"/>
            <w:gridSpan w:val="3"/>
          </w:tcPr>
          <w:p>
            <w:pPr>
              <w:jc w:val="center"/>
              <w:spacing w:after="0"/>
              <w:rPr>
                <w:sz w:val="20"/>
                <w:szCs w:val="20"/>
                <w:color w:val="auto"/>
              </w:rPr>
            </w:pPr>
            <w:r>
              <w:rPr>
                <w:rFonts w:ascii="Arial" w:cs="Arial" w:eastAsia="Arial" w:hAnsi="Arial"/>
                <w:sz w:val="16"/>
                <w:szCs w:val="16"/>
                <w:color w:val="auto"/>
                <w:w w:val="88"/>
              </w:rPr>
              <w:t>Redeemable</w:t>
            </w:r>
          </w:p>
        </w:tc>
        <w:tc>
          <w:tcPr>
            <w:tcW w:w="22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Common</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Capital in</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Treasury</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Stock</w:t>
            </w:r>
          </w:p>
        </w:tc>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Common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Preferred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74"/>
              <w:spacing w:after="0"/>
              <w:rPr>
                <w:sz w:val="20"/>
                <w:szCs w:val="20"/>
                <w:color w:val="auto"/>
              </w:rPr>
            </w:pPr>
            <w:r>
              <w:rPr>
                <w:rFonts w:ascii="Arial" w:cs="Arial" w:eastAsia="Arial" w:hAnsi="Arial"/>
                <w:sz w:val="16"/>
                <w:szCs w:val="16"/>
                <w:color w:val="auto"/>
                <w:w w:val="89"/>
              </w:rPr>
              <w:t>Stock</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Excess of</w:t>
            </w:r>
          </w:p>
        </w:tc>
        <w:tc>
          <w:tcPr>
            <w:tcW w:w="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w w:val="96"/>
              </w:rPr>
              <w:t>Retained</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Stock-</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39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Shares</w:t>
            </w:r>
          </w:p>
        </w:tc>
        <w:tc>
          <w:tcPr>
            <w:tcW w:w="880" w:type="dxa"/>
            <w:vAlign w:val="bottom"/>
            <w:gridSpan w:val="2"/>
          </w:tcPr>
          <w:p>
            <w:pPr>
              <w:jc w:val="center"/>
              <w:ind w:right="60"/>
              <w:spacing w:after="0"/>
              <w:rPr>
                <w:sz w:val="20"/>
                <w:szCs w:val="20"/>
                <w:color w:val="auto"/>
              </w:rPr>
            </w:pPr>
            <w:r>
              <w:rPr>
                <w:rFonts w:ascii="Arial" w:cs="Arial" w:eastAsia="Arial" w:hAnsi="Arial"/>
                <w:sz w:val="16"/>
                <w:szCs w:val="16"/>
                <w:color w:val="auto"/>
                <w:w w:val="82"/>
              </w:rPr>
              <w:t>Shares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right="15"/>
              <w:spacing w:after="0"/>
              <w:rPr>
                <w:sz w:val="20"/>
                <w:szCs w:val="20"/>
                <w:color w:val="auto"/>
              </w:rPr>
            </w:pPr>
            <w:r>
              <w:rPr>
                <w:rFonts w:ascii="Arial" w:cs="Arial" w:eastAsia="Arial" w:hAnsi="Arial"/>
                <w:sz w:val="16"/>
                <w:szCs w:val="16"/>
                <w:color w:val="auto"/>
                <w:w w:val="94"/>
              </w:rPr>
              <w:t>Stock</w:t>
            </w:r>
          </w:p>
        </w:tc>
        <w:tc>
          <w:tcPr>
            <w:tcW w:w="2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1"/>
              </w:rPr>
              <w:t>Par Value</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Par Value</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Earnings</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Common</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Total</w:t>
            </w:r>
          </w:p>
        </w:tc>
      </w:tr>
      <w:tr>
        <w:trPr>
          <w:trHeight w:val="207"/>
        </w:trPr>
        <w:tc>
          <w:tcPr>
            <w:tcW w:w="39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4"/>
          </w:tcPr>
          <w:p>
            <w:pPr>
              <w:ind w:left="160"/>
              <w:spacing w:after="0"/>
              <w:rPr>
                <w:sz w:val="20"/>
                <w:szCs w:val="20"/>
                <w:color w:val="auto"/>
              </w:rPr>
            </w:pPr>
            <w:r>
              <w:rPr>
                <w:rFonts w:ascii="Arial" w:cs="Arial" w:eastAsia="Arial" w:hAnsi="Arial"/>
                <w:sz w:val="16"/>
                <w:szCs w:val="16"/>
                <w:color w:val="auto"/>
              </w:rPr>
              <w:t>(In Thousands)</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3,128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$ 193,956</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$ 256,214</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2"/>
              </w:rPr>
              <w:t>$ (18,102)</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$ 438,196</w:t>
            </w:r>
          </w:p>
        </w:tc>
        <w:tc>
          <w:tcPr>
            <w:tcW w:w="80" w:type="dxa"/>
            <w:vAlign w:val="bottom"/>
            <w:shd w:val="clear" w:color="auto" w:fill="CFF0FC"/>
          </w:tcPr>
          <w:p>
            <w:pPr>
              <w:spacing w:after="0"/>
              <w:rPr>
                <w:sz w:val="20"/>
                <w:szCs w:val="20"/>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(33,097)</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(33,097)</w:t>
            </w:r>
          </w:p>
        </w:tc>
      </w:tr>
      <w:tr>
        <w:trPr>
          <w:trHeight w:val="215"/>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(12,966)</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(12,966)</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(2,401)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(2,401)</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8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r>
      <w:tr>
        <w:trPr>
          <w:trHeight w:val="223"/>
        </w:trPr>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3,128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$ 196,792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$ 207,750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 (18,148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$ 392,522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gridSpan w:val="3"/>
          </w:tcPr>
          <w:p>
            <w:pPr>
              <w:jc w:val="center"/>
              <w:spacing w:after="0"/>
              <w:rPr>
                <w:sz w:val="20"/>
                <w:szCs w:val="20"/>
                <w:color w:val="auto"/>
              </w:rPr>
            </w:pPr>
            <w:r>
              <w:rPr>
                <w:rFonts w:ascii="Arial" w:cs="Arial" w:eastAsia="Arial" w:hAnsi="Arial"/>
                <w:sz w:val="16"/>
                <w:szCs w:val="16"/>
                <w:color w:val="auto"/>
                <w:w w:val="92"/>
              </w:rPr>
              <w:t>Six Months Ended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6"/>
                <w:szCs w:val="16"/>
                <w:color w:val="auto"/>
                <w:w w:val="87"/>
              </w:rPr>
              <w:t>June 30,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6"/>
                <w:szCs w:val="16"/>
                <w:color w:val="auto"/>
              </w:rPr>
              <w:t>2018</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55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w w:val="91"/>
              </w:rPr>
              <w:t>(In Thousands)</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continuing operating activities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3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(33,097)</w:t>
            </w: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provided by continuing</w:t>
            </w:r>
          </w:p>
        </w:tc>
        <w:tc>
          <w:tcPr>
            <w:tcW w:w="1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operating activities:</w:t>
            </w:r>
          </w:p>
        </w:tc>
        <w:tc>
          <w:tcPr>
            <w:tcW w:w="1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3,442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(4,004)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 on extinguishment of debt</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Depreciation, depletion and amortization of property, plant and equipment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36,666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intangible and other assets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Loss on sales of a business and other property and equipment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Cash provided (used) by changes in assets and liabilities (net of effects of</w:t>
            </w: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Arial" w:cs="Arial" w:eastAsia="Arial" w:hAnsi="Arial"/>
                <w:sz w:val="16"/>
                <w:szCs w:val="16"/>
                <w:color w:val="auto"/>
              </w:rPr>
              <w:t>discontinued operations):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receivable</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7,343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Prepaid insurance</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Prepaid and accrued income taxes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payable</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Accrued interest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(6,333)</w:t>
            </w: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assets and other liabilities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(1,738)</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(3,485)</w:t>
            </w: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Arial" w:cs="Arial" w:eastAsia="Arial" w:hAnsi="Arial"/>
                <w:sz w:val="16"/>
                <w:szCs w:val="16"/>
                <w:color w:val="auto"/>
              </w:rPr>
              <w:t>Net cash provided by continuing operating activities</w:t>
            </w:r>
          </w:p>
        </w:tc>
        <w:tc>
          <w:tcPr>
            <w:tcW w:w="14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33,344</w:t>
            </w:r>
          </w:p>
        </w:tc>
        <w:tc>
          <w:tcPr>
            <w:tcW w:w="2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Cash flows from continuing investing activities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(15,369)</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(16,362)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Net proceeds from sale of businesses and other property and equipment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property insurance recovery associated with</w:t>
            </w:r>
          </w:p>
        </w:tc>
        <w:tc>
          <w:tcPr>
            <w:tcW w:w="1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property, plant and equipment</w:t>
            </w:r>
          </w:p>
        </w:tc>
        <w:tc>
          <w:tcPr>
            <w:tcW w:w="1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Net proceeds from sale of discontinued operations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2,730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investing activities</w:t>
            </w:r>
          </w:p>
        </w:tc>
        <w:tc>
          <w:tcPr>
            <w:tcW w:w="14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Arial" w:cs="Arial" w:eastAsia="Arial" w:hAnsi="Arial"/>
                <w:sz w:val="16"/>
                <w:szCs w:val="16"/>
                <w:color w:val="auto"/>
              </w:rPr>
              <w:t>Net cash provided (used) by continuing investing activities</w:t>
            </w: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(10,352)</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Cash flows from continuing financing activities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9.625% senior secured notes, net of discount and fees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390,473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Payments on senior secured notes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(375,000)</w:t>
            </w:r>
          </w:p>
        </w:tc>
        <w:tc>
          <w:tcPr>
            <w:tcW w:w="5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on other long-term debt</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(6,055)</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Payments of debt-related costs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(9,805)</w:t>
            </w: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on short-term financing</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(6,105)</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Payments of preferred stock modification costs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(2,677)</w:t>
            </w:r>
          </w:p>
        </w:tc>
        <w:tc>
          <w:tcPr>
            <w:tcW w:w="5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Taxes paid on equity awards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(226)</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6"/>
                <w:szCs w:val="16"/>
                <w:color w:val="auto"/>
              </w:rPr>
              <w:t>Net cash used by continuing financing activities</w:t>
            </w:r>
          </w:p>
        </w:tc>
        <w:tc>
          <w:tcPr>
            <w:tcW w:w="1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6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(9,395)</w:t>
            </w:r>
          </w:p>
        </w:tc>
        <w:tc>
          <w:tcPr>
            <w:tcW w:w="5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(17,332)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Cash flows of discontinued operations: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Net cash used by operating activities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used by financing activities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6"/>
                <w:szCs w:val="16"/>
                <w:color w:val="auto"/>
              </w:rPr>
              <w:t>Net cash used by discontinued operations</w:t>
            </w:r>
          </w:p>
        </w:tc>
        <w:tc>
          <w:tcPr>
            <w:tcW w:w="1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6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14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13,597</w:t>
            </w:r>
          </w:p>
        </w:tc>
        <w:tc>
          <w:tcPr>
            <w:tcW w:w="2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7,196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4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33,619</w:t>
            </w:r>
          </w:p>
        </w:tc>
        <w:tc>
          <w:tcPr>
            <w:tcW w:w="28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23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47,216</w:t>
            </w:r>
          </w:p>
        </w:tc>
        <w:tc>
          <w:tcPr>
            <w:tcW w:w="280" w:type="dxa"/>
            <w:vAlign w:val="bottom"/>
          </w:tcPr>
          <w:p>
            <w:pPr>
              <w:spacing w:after="0"/>
              <w:rPr>
                <w:sz w:val="17"/>
                <w:szCs w:val="17"/>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67,213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2017 (“2017 Form 10-K”), filed with the Securities and Exchange Commission (“SEC”) on February 26, 2018.</w:t>
      </w:r>
    </w:p>
    <w:p>
      <w:pPr>
        <w:spacing w:after="0" w:line="3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Basis of Consolidation – </w:t>
      </w:r>
      <w:r>
        <w:rPr>
          <w:rFonts w:ascii="Arial" w:cs="Arial" w:eastAsia="Arial" w:hAnsi="Arial"/>
          <w:sz w:val="17"/>
          <w:szCs w:val="17"/>
          <w:color w:val="auto"/>
        </w:rPr>
        <w:t>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condensed 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condensed consolidated financial statements and notes thereto have been reclassified to conform to current period presentation.</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Nature of Business – </w:t>
      </w:r>
      <w:r>
        <w:rPr>
          <w:rFonts w:ascii="Arial" w:cs="Arial" w:eastAsia="Arial" w:hAnsi="Arial"/>
          <w:sz w:val="18"/>
          <w:szCs w:val="18"/>
          <w:color w:val="auto"/>
        </w:rPr>
        <w:t>We are engaged in the manufacture and sale of chemical products. The chemical products we primarily manufacture, market and sell</w:t>
      </w:r>
      <w:r>
        <w:rPr>
          <w:rFonts w:ascii="Arial" w:cs="Arial" w:eastAsia="Arial" w:hAnsi="Arial"/>
          <w:sz w:val="18"/>
          <w:szCs w:val="18"/>
          <w:b w:val="1"/>
          <w:bCs w:val="1"/>
          <w:color w:val="auto"/>
        </w:rPr>
        <w:t xml:space="preserve"> </w:t>
      </w:r>
      <w:r>
        <w:rPr>
          <w:rFonts w:ascii="Arial" w:cs="Arial" w:eastAsia="Arial" w:hAnsi="Arial"/>
          <w:sz w:val="18"/>
          <w:szCs w:val="18"/>
          <w:color w:val="auto"/>
        </w:rPr>
        <w:t>are ammonia, fertilizer grade ammonium nitrate (“HDAN”), urea ammonium nitrate (“UAN”), and ammonium nitrate (“AN”) solution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Other products consisted of natural gas sales from our working interests in certain natural gas properties of our former subsidiary Zena Energy L.L.C.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(“Zena”) and sales of industrial machinery and related components, which were sold during the second and fourth quarters of 2017, respectively.</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July 2016, LSB completed the sale of all of the stock of Climate Control Group Inc. (an indirect subsidiary that conducted LSB’s Climate Control Business) pursuant to the terms of a stock purchase agreement. During the first quarter of 2018, we received the remaining proceeds held in a related indemnity escrow account of $2.7 million.</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our opinion, the unaudited condensed consolidated financial statements of the Company as of June 30, 2018 and for the three and six-month periods ended June 30, 2018 and 2017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2017 Form 10-K.</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Use of Estimates – </w:t>
      </w:r>
      <w:r>
        <w:rPr>
          <w:rFonts w:ascii="Arial" w:cs="Arial" w:eastAsia="Arial" w:hAnsi="Arial"/>
          <w:sz w:val="17"/>
          <w:szCs w:val="17"/>
          <w:color w:val="auto"/>
        </w:rPr>
        <w:t>The preparation of condensed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Income Taxes – </w:t>
      </w:r>
      <w:r>
        <w:rPr>
          <w:rFonts w:ascii="Arial" w:cs="Arial" w:eastAsia="Arial" w:hAnsi="Arial"/>
          <w:sz w:val="18"/>
          <w:szCs w:val="18"/>
          <w:color w:val="auto"/>
        </w:rPr>
        <w:t>We recognize deferred tax assets and liabilities for the expected future tax consequences attributable to net operating loss (“NOL”)</w:t>
      </w:r>
      <w:r>
        <w:rPr>
          <w:rFonts w:ascii="Arial" w:cs="Arial" w:eastAsia="Arial" w:hAnsi="Arial"/>
          <w:sz w:val="18"/>
          <w:szCs w:val="18"/>
          <w:b w:val="1"/>
          <w:bCs w:val="1"/>
          <w:color w:val="auto"/>
        </w:rPr>
        <w:t xml:space="preserve"> </w:t>
      </w:r>
      <w:r>
        <w:rPr>
          <w:rFonts w:ascii="Arial" w:cs="Arial" w:eastAsia="Arial" w:hAnsi="Arial"/>
          <w:sz w:val="18"/>
          <w:szCs w:val="18"/>
          <w:color w:val="auto"/>
        </w:rPr>
        <w:t>carryforwards, tax credit carryforwards, and the differences, if any, between the financial statement carrying amounts and the tax basis of our assets and liabilities. We establish valuation allowances if we believe it is more likely than not that some or all of deferred tax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statement of operations in the period date of enactment.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statement of operations. These benefits are principally generated from exercises of non-qualified stock options and restricted stock. We reduce income tax expense for investment tax credits in the period the credit arises and is earned.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See Note 9 – Income Taxes discussing the Tax Cuts and Jobs Act of 2017 and Staff Accounting Bulletin No. 118 ("SAB 118") issued by the SEC.</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Redeemable Preferred Stocks – </w:t>
      </w:r>
      <w:r>
        <w:rPr>
          <w:rFonts w:ascii="Arial" w:cs="Arial" w:eastAsia="Arial" w:hAnsi="Arial"/>
          <w:sz w:val="18"/>
          <w:szCs w:val="18"/>
          <w:color w:val="auto"/>
        </w:rPr>
        <w:t>Our redeemable preferred stocks that are redeemable outside of our control are classified as temporary/mezzanine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amount of accretion was recorded to retained earnings.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However, it is reasonably possible this accretion could change if the expected redemption date changes.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ASU 2014-09 – </w:t>
      </w:r>
      <w:r>
        <w:rPr>
          <w:rFonts w:ascii="Arial" w:cs="Arial" w:eastAsia="Arial" w:hAnsi="Arial"/>
          <w:sz w:val="17"/>
          <w:szCs w:val="17"/>
          <w:color w:val="auto"/>
        </w:rPr>
        <w:t>In May 2014, the Financial Accounting Standards Board (“FASB”) issued Accounting Standard Update (“ASU”) 2014-09,</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Revenue from</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which superseded nearly all existing revenue recognition guidance under GAAP. In addition, the FASB issued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ASUs further amending revenue recognition guidance, which includes ASU 2016-08, 2016-10, 2016-11, 2016-12 and 2016-20. The core principle of these ASUs (together “ASC 606”) is to allow for an entity to recognize revenue when it transfers promised goods or services to customers in an amount that reflects the consideration to which the company expects to be entitled in exchange for those goods or services. In addition, sales and other similar taxes we collect concurrently with revenue-producing activities are excluded from revenue. Also, we have elected to recognize the cost for freight and shipping when control of the product has transferred to the customer as an expense in cost of sales.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2018, we adopted ASC 606 as discussed in Note 2-Adoption of ASC 606.</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ASU 2016-15 – </w:t>
      </w:r>
      <w:r>
        <w:rPr>
          <w:rFonts w:ascii="Arial" w:cs="Arial" w:eastAsia="Arial" w:hAnsi="Arial"/>
          <w:sz w:val="18"/>
          <w:szCs w:val="18"/>
          <w:color w:val="auto"/>
        </w:rPr>
        <w:t>In August 2016, the FASB issued ASU No. 2016-15,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This ASU made eight targeted changes to how cash receipts and cash payments are presented and classified in the statement of cash flows.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2018, we adopted ASU 2016-15 on a retrospective basis. The adoption of this ASU did not affect the presentation or classification of cash flow activities for the six months ended June 30, 2017.</w:t>
      </w:r>
    </w:p>
    <w:p>
      <w:pPr>
        <w:spacing w:after="0" w:line="7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ASU 2016-18 – </w:t>
      </w:r>
      <w:r>
        <w:rPr>
          <w:rFonts w:ascii="Arial" w:cs="Arial" w:eastAsia="Arial" w:hAnsi="Arial"/>
          <w:sz w:val="17"/>
          <w:szCs w:val="17"/>
          <w:color w:val="auto"/>
        </w:rPr>
        <w:t>In November 2016, the FASB issued ASU No. 2016-18,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Statement of Cash Flows (Topic 230): Restricted Cash, a consensus of the FASB</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Emerging Issues Task Force. </w:t>
      </w:r>
      <w:r>
        <w:rPr>
          <w:rFonts w:ascii="Arial" w:cs="Arial" w:eastAsia="Arial" w:hAnsi="Arial"/>
          <w:sz w:val="17"/>
          <w:szCs w:val="17"/>
          <w:color w:val="auto"/>
        </w:rPr>
        <w:t>The amendments in this ASU revise the guidance in Topic 230, Statement of Cash Flows, to require 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to include restricted cash (and restricted cash equivalents) on the statement of cash flows. On January 1, 2018, we adopted ASU 2016-18 on retrospective basis. The adoption of this ASU did not affect the presentation of cash flow activities for the six months ended June 30,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ASU 2018-05 </w:t>
      </w:r>
      <w:r>
        <w:rPr>
          <w:rFonts w:ascii="Arial" w:cs="Arial" w:eastAsia="Arial" w:hAnsi="Arial"/>
          <w:sz w:val="18"/>
          <w:szCs w:val="18"/>
          <w:color w:val="auto"/>
        </w:rPr>
        <w:t>– See Note 9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ASU 2016-02 – </w:t>
      </w:r>
      <w:r>
        <w:rPr>
          <w:rFonts w:ascii="Arial" w:cs="Arial" w:eastAsia="Arial" w:hAnsi="Arial"/>
          <w:sz w:val="17"/>
          <w:szCs w:val="17"/>
          <w:color w:val="auto"/>
        </w:rPr>
        <w:t>In February 2016, the FASB issued ASU No. 2016-02,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color w:val="auto"/>
        </w:rPr>
        <w:t>, which supersedes the lease requirements in Topic 840,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color w:val="auto"/>
        </w:rPr>
        <w:t>. The objective of this ASU is to establish the principles that lessees and lessors shall apply to report information to users of financial statements about</w:t>
      </w:r>
      <w:r>
        <w:rPr>
          <w:rFonts w:ascii="Arial" w:cs="Arial" w:eastAsia="Arial" w:hAnsi="Arial"/>
          <w:sz w:val="17"/>
          <w:szCs w:val="17"/>
          <w:i w:val="1"/>
          <w:iCs w:val="1"/>
          <w:color w:val="auto"/>
        </w:rPr>
        <w:t xml:space="preserve"> </w:t>
      </w:r>
      <w:r>
        <w:rPr>
          <w:rFonts w:ascii="Arial" w:cs="Arial" w:eastAsia="Arial" w:hAnsi="Arial"/>
          <w:sz w:val="17"/>
          <w:szCs w:val="17"/>
          <w:color w:val="auto"/>
        </w:rPr>
        <w:t>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As of June 30, 2018, this ASU must be adopted using a modified retrospective transition; however, the FASB has proposed an additional transition method option and that ASU is currently pending to be issued. Under the modified retrospective transition method, we are required to apply the new guidance at the beginning of the earliest comparative period presented (including recognizing a cumulative-effect adjustment as of January 1, 2017). Under the proposed additional transition method, we have the option to apply the new guidance (including recognizing a cumulative-effect adjustment) on January 1, 2019, the date we plan to adopt this ASU. Consequently, under this proposed optional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method, our reporting for the comparative periods presented in the financial statements issued after the date of adoption would continue to be in accordance with current GAAP, including disclosures. This ASU and ASU 2018-01 also provide for certain practical expedients that we are currently evaluating for possible election.</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currently have a relatively small number of leases (most are currently classified as operating leases under which we are the lessee), we have obtained and continue to obtain information relating to our leases and other right-to-use arrangements for the purpose of evaluating the effect of this guidance on our consolidated financial statements and related disclosures. In addition, we are developing and testing changes to our accounting system as the result of this ASU. We currently expect most of the effect of this guidance on our consolidated financial statements to impact our balance sheet presentation (increase the amount of our assets for the inclusion of right-of-use assets and increase the amount of our liabilities for the inclusion of the associated lease obligations). For 2017, expenses associated with our operating lease agreements, including month-to-month leases, were $9.8 million. As of December 31, 2017, our future minimum payments on operating lease agreements with initial or remaining terms of one year or more totaled $21.2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Adoption of ASC 606</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On January 1, 2018, we adopted ASC 606 using the “modified retrospective” adoption method, meaning the standard is applied only to the most current period presented in the financial statements. Furthermore, we elected to apply the standard only to those contracts which were not completed as of the date of the adoption. Results for reporting periods beginning on the date of adoption are presented under ASC 606, while prior period amounts have not been adjusted and continue to be reported in accordance with our historical accounting methodology pursuant to ASC 605, </w:t>
      </w:r>
      <w:r>
        <w:rPr>
          <w:rFonts w:ascii="Arial" w:cs="Arial" w:eastAsia="Arial" w:hAnsi="Arial"/>
          <w:sz w:val="16"/>
          <w:szCs w:val="16"/>
          <w:i w:val="1"/>
          <w:iCs w:val="1"/>
          <w:color w:val="auto"/>
        </w:rPr>
        <w:t>Revenue Recognition (“ASC 605”)</w:t>
      </w:r>
      <w:r>
        <w:rPr>
          <w:rFonts w:ascii="Arial" w:cs="Arial" w:eastAsia="Arial" w:hAnsi="Arial"/>
          <w:sz w:val="16"/>
          <w:szCs w:val="16"/>
          <w:color w:val="auto"/>
        </w:rPr>
        <w:t>.</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adoption, a cumulative effect adjustment was not required; however, the primary impact of adopting the new standard relates to the reduction in net sales, cost of sales and SG&amp;A resulting from the elimination of certain sales revenue involving products we do not control under ASC 606, including products (we do not control) associated with marketing services we are performing as an agent for our customers. The nature of these arrangements allows for other parties to maintain control of these products throughout the production process.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line items in our condensed consolidated statement of operations for the current reporting periods have been provided to reflect both the adoption of ASC 606 as well as a comparative presentation in accordance with ASC 605 previously in affect:</w:t>
      </w:r>
    </w:p>
    <w:p>
      <w:pPr>
        <w:spacing w:after="0" w:line="184"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Three Months Ended June 30, 2018</w:t>
      </w:r>
    </w:p>
    <w:p>
      <w:pPr>
        <w:spacing w:after="0" w:line="41"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jc w:val="center"/>
              <w:ind w:right="97"/>
              <w:spacing w:after="0"/>
              <w:rPr>
                <w:sz w:val="20"/>
                <w:szCs w:val="20"/>
                <w:color w:val="auto"/>
              </w:rPr>
            </w:pPr>
            <w:r>
              <w:rPr>
                <w:rFonts w:ascii="Arial" w:cs="Arial" w:eastAsia="Arial" w:hAnsi="Arial"/>
                <w:sz w:val="16"/>
                <w:szCs w:val="16"/>
                <w:color w:val="auto"/>
                <w:w w:val="96"/>
              </w:rPr>
              <w:t>As</w:t>
            </w:r>
          </w:p>
        </w:tc>
        <w:tc>
          <w:tcPr>
            <w:tcW w:w="1360" w:type="dxa"/>
            <w:vAlign w:val="bottom"/>
            <w:gridSpan w:val="2"/>
          </w:tcPr>
          <w:p>
            <w:pPr>
              <w:ind w:left="100"/>
              <w:spacing w:after="0"/>
              <w:rPr>
                <w:sz w:val="20"/>
                <w:szCs w:val="20"/>
                <w:color w:val="auto"/>
              </w:rPr>
            </w:pPr>
            <w:r>
              <w:rPr>
                <w:rFonts w:ascii="Arial" w:cs="Arial" w:eastAsia="Arial" w:hAnsi="Arial"/>
                <w:sz w:val="16"/>
                <w:szCs w:val="16"/>
                <w:color w:val="auto"/>
              </w:rPr>
              <w:t>Balance without</w:t>
            </w:r>
          </w:p>
        </w:tc>
        <w:tc>
          <w:tcPr>
            <w:tcW w:w="1260" w:type="dxa"/>
            <w:vAlign w:val="bottom"/>
            <w:gridSpan w:val="3"/>
          </w:tcPr>
          <w:p>
            <w:pPr>
              <w:ind w:left="40"/>
              <w:spacing w:after="0"/>
              <w:rPr>
                <w:sz w:val="20"/>
                <w:szCs w:val="20"/>
                <w:color w:val="auto"/>
              </w:rPr>
            </w:pPr>
            <w:r>
              <w:rPr>
                <w:rFonts w:ascii="Arial" w:cs="Arial" w:eastAsia="Arial" w:hAnsi="Arial"/>
                <w:sz w:val="16"/>
                <w:szCs w:val="16"/>
                <w:color w:val="auto"/>
              </w:rPr>
              <w:t>Effect of Change</w:t>
            </w:r>
          </w:p>
        </w:tc>
      </w:tr>
      <w:tr>
        <w:trPr>
          <w:trHeight w:val="233"/>
        </w:trPr>
        <w:tc>
          <w:tcPr>
            <w:tcW w:w="4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40" w:type="dxa"/>
            <w:vAlign w:val="bottom"/>
          </w:tcPr>
          <w:p>
            <w:pPr>
              <w:jc w:val="center"/>
              <w:ind w:right="77"/>
              <w:spacing w:after="0"/>
              <w:rPr>
                <w:sz w:val="20"/>
                <w:szCs w:val="20"/>
                <w:color w:val="auto"/>
              </w:rPr>
            </w:pPr>
            <w:r>
              <w:rPr>
                <w:rFonts w:ascii="Arial" w:cs="Arial" w:eastAsia="Arial" w:hAnsi="Arial"/>
                <w:sz w:val="16"/>
                <w:szCs w:val="16"/>
                <w:color w:val="auto"/>
                <w:w w:val="91"/>
              </w:rPr>
              <w:t>Reported</w:t>
            </w:r>
          </w:p>
        </w:tc>
        <w:tc>
          <w:tcPr>
            <w:tcW w:w="1360" w:type="dxa"/>
            <w:vAlign w:val="bottom"/>
            <w:gridSpan w:val="2"/>
          </w:tcPr>
          <w:p>
            <w:pPr>
              <w:ind w:left="120"/>
              <w:spacing w:after="0"/>
              <w:rPr>
                <w:sz w:val="20"/>
                <w:szCs w:val="20"/>
                <w:color w:val="auto"/>
              </w:rPr>
            </w:pPr>
            <w:r>
              <w:rPr>
                <w:rFonts w:ascii="Arial" w:cs="Arial" w:eastAsia="Arial" w:hAnsi="Arial"/>
                <w:sz w:val="16"/>
                <w:szCs w:val="16"/>
                <w:color w:val="auto"/>
              </w:rPr>
              <w:t>adoption of 606</w:t>
            </w: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Higher/(Lower)</w:t>
            </w:r>
          </w:p>
        </w:tc>
      </w:tr>
      <w:tr>
        <w:trPr>
          <w:trHeight w:val="220"/>
        </w:trPr>
        <w:tc>
          <w:tcPr>
            <w:tcW w:w="4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(In Thousands)</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80" w:type="dxa"/>
            <w:vAlign w:val="bottom"/>
            <w:gridSpan w:val="2"/>
            <w:shd w:val="clear" w:color="auto" w:fill="CFF0FC"/>
          </w:tcPr>
          <w:p>
            <w:pPr>
              <w:jc w:val="right"/>
              <w:ind w:right="57"/>
              <w:spacing w:after="0"/>
              <w:rPr>
                <w:sz w:val="20"/>
                <w:szCs w:val="20"/>
                <w:color w:val="auto"/>
              </w:rPr>
            </w:pPr>
            <w:r>
              <w:rPr>
                <w:rFonts w:ascii="Arial" w:cs="Arial" w:eastAsia="Arial" w:hAnsi="Arial"/>
                <w:sz w:val="18"/>
                <w:szCs w:val="18"/>
                <w:color w:val="auto"/>
              </w:rPr>
              <w:t>$ 103,199</w:t>
            </w:r>
          </w:p>
        </w:tc>
        <w:tc>
          <w:tcPr>
            <w:tcW w:w="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120,492</w:t>
            </w:r>
          </w:p>
        </w:tc>
        <w:tc>
          <w:tcPr>
            <w:tcW w:w="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(17,293)</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sales</w:t>
            </w:r>
          </w:p>
        </w:tc>
        <w:tc>
          <w:tcPr>
            <w:tcW w:w="2680" w:type="dxa"/>
            <w:vAlign w:val="bottom"/>
            <w:gridSpan w:val="2"/>
          </w:tcPr>
          <w:p>
            <w:pPr>
              <w:jc w:val="right"/>
              <w:ind w:right="57"/>
              <w:spacing w:after="0"/>
              <w:rPr>
                <w:sz w:val="20"/>
                <w:szCs w:val="20"/>
                <w:color w:val="auto"/>
              </w:rPr>
            </w:pPr>
            <w:r>
              <w:rPr>
                <w:rFonts w:ascii="Arial" w:cs="Arial" w:eastAsia="Arial" w:hAnsi="Arial"/>
                <w:sz w:val="18"/>
                <w:szCs w:val="18"/>
                <w:color w:val="auto"/>
              </w:rPr>
              <w:t>100,126</w:t>
            </w:r>
          </w:p>
        </w:tc>
        <w:tc>
          <w:tcPr>
            <w:tcW w:w="26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117,264</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(17,138)</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80" w:type="dxa"/>
            <w:vAlign w:val="bottom"/>
            <w:gridSpan w:val="2"/>
            <w:shd w:val="clear" w:color="auto" w:fill="CFF0FC"/>
          </w:tcPr>
          <w:p>
            <w:pPr>
              <w:jc w:val="right"/>
              <w:ind w:right="57"/>
              <w:spacing w:after="0"/>
              <w:rPr>
                <w:sz w:val="20"/>
                <w:szCs w:val="20"/>
                <w:color w:val="auto"/>
              </w:rPr>
            </w:pPr>
            <w:r>
              <w:rPr>
                <w:rFonts w:ascii="Arial" w:cs="Arial" w:eastAsia="Arial" w:hAnsi="Arial"/>
                <w:sz w:val="18"/>
                <w:szCs w:val="18"/>
                <w:color w:val="auto"/>
              </w:rPr>
              <w:t>3,073</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3,228</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80" w:type="dxa"/>
            <w:vAlign w:val="bottom"/>
            <w:gridSpan w:val="2"/>
          </w:tcPr>
          <w:p>
            <w:pPr>
              <w:jc w:val="right"/>
              <w:ind w:right="57"/>
              <w:spacing w:after="0"/>
              <w:rPr>
                <w:sz w:val="20"/>
                <w:szCs w:val="20"/>
                <w:color w:val="auto"/>
              </w:rPr>
            </w:pPr>
            <w:r>
              <w:rPr>
                <w:rFonts w:ascii="Arial" w:cs="Arial" w:eastAsia="Arial" w:hAnsi="Arial"/>
                <w:sz w:val="18"/>
                <w:szCs w:val="18"/>
                <w:color w:val="auto"/>
              </w:rPr>
              <w:t>8,397</w:t>
            </w:r>
          </w:p>
        </w:tc>
        <w:tc>
          <w:tcPr>
            <w:tcW w:w="26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8,552</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(5,869)</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446"/>
        </w:trPr>
        <w:tc>
          <w:tcPr>
            <w:tcW w:w="4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60" w:type="dxa"/>
            <w:vAlign w:val="bottom"/>
            <w:gridSpan w:val="6"/>
          </w:tcPr>
          <w:p>
            <w:pPr>
              <w:jc w:val="right"/>
              <w:ind w:right="600"/>
              <w:spacing w:after="0"/>
              <w:rPr>
                <w:sz w:val="20"/>
                <w:szCs w:val="20"/>
                <w:color w:val="auto"/>
              </w:rPr>
            </w:pPr>
            <w:r>
              <w:rPr>
                <w:rFonts w:ascii="Arial" w:cs="Arial" w:eastAsia="Arial" w:hAnsi="Arial"/>
                <w:sz w:val="18"/>
                <w:szCs w:val="18"/>
                <w:color w:val="auto"/>
              </w:rPr>
              <w:t>Six Months Ended June 30, 2018</w:t>
            </w:r>
          </w:p>
        </w:tc>
      </w:tr>
      <w:tr>
        <w:trPr>
          <w:trHeight w:val="224"/>
        </w:trPr>
        <w:tc>
          <w:tcPr>
            <w:tcW w:w="4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40" w:type="dxa"/>
            <w:vAlign w:val="bottom"/>
          </w:tcPr>
          <w:p>
            <w:pPr>
              <w:jc w:val="center"/>
              <w:ind w:right="97"/>
              <w:spacing w:after="0"/>
              <w:rPr>
                <w:sz w:val="20"/>
                <w:szCs w:val="20"/>
                <w:color w:val="auto"/>
              </w:rPr>
            </w:pPr>
            <w:r>
              <w:rPr>
                <w:rFonts w:ascii="Arial" w:cs="Arial" w:eastAsia="Arial" w:hAnsi="Arial"/>
                <w:sz w:val="16"/>
                <w:szCs w:val="16"/>
                <w:color w:val="auto"/>
                <w:w w:val="96"/>
              </w:rPr>
              <w:t>As</w:t>
            </w:r>
          </w:p>
        </w:tc>
        <w:tc>
          <w:tcPr>
            <w:tcW w:w="1360" w:type="dxa"/>
            <w:vAlign w:val="bottom"/>
            <w:gridSpan w:val="2"/>
          </w:tcPr>
          <w:p>
            <w:pPr>
              <w:ind w:left="100"/>
              <w:spacing w:after="0"/>
              <w:rPr>
                <w:sz w:val="20"/>
                <w:szCs w:val="20"/>
                <w:color w:val="auto"/>
              </w:rPr>
            </w:pPr>
            <w:r>
              <w:rPr>
                <w:rFonts w:ascii="Arial" w:cs="Arial" w:eastAsia="Arial" w:hAnsi="Arial"/>
                <w:sz w:val="16"/>
                <w:szCs w:val="16"/>
                <w:color w:val="auto"/>
              </w:rPr>
              <w:t>Balance without</w:t>
            </w:r>
          </w:p>
        </w:tc>
        <w:tc>
          <w:tcPr>
            <w:tcW w:w="1260" w:type="dxa"/>
            <w:vAlign w:val="bottom"/>
            <w:gridSpan w:val="3"/>
          </w:tcPr>
          <w:p>
            <w:pPr>
              <w:ind w:left="40"/>
              <w:spacing w:after="0"/>
              <w:rPr>
                <w:sz w:val="20"/>
                <w:szCs w:val="20"/>
                <w:color w:val="auto"/>
              </w:rPr>
            </w:pPr>
            <w:r>
              <w:rPr>
                <w:rFonts w:ascii="Arial" w:cs="Arial" w:eastAsia="Arial" w:hAnsi="Arial"/>
                <w:sz w:val="16"/>
                <w:szCs w:val="16"/>
                <w:color w:val="auto"/>
              </w:rPr>
              <w:t>Effect of Change</w:t>
            </w:r>
          </w:p>
        </w:tc>
      </w:tr>
      <w:tr>
        <w:trPr>
          <w:trHeight w:val="233"/>
        </w:trPr>
        <w:tc>
          <w:tcPr>
            <w:tcW w:w="4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40" w:type="dxa"/>
            <w:vAlign w:val="bottom"/>
          </w:tcPr>
          <w:p>
            <w:pPr>
              <w:jc w:val="center"/>
              <w:ind w:right="77"/>
              <w:spacing w:after="0"/>
              <w:rPr>
                <w:sz w:val="20"/>
                <w:szCs w:val="20"/>
                <w:color w:val="auto"/>
              </w:rPr>
            </w:pPr>
            <w:r>
              <w:rPr>
                <w:rFonts w:ascii="Arial" w:cs="Arial" w:eastAsia="Arial" w:hAnsi="Arial"/>
                <w:sz w:val="16"/>
                <w:szCs w:val="16"/>
                <w:color w:val="auto"/>
                <w:w w:val="91"/>
              </w:rPr>
              <w:t>Reported</w:t>
            </w:r>
          </w:p>
        </w:tc>
        <w:tc>
          <w:tcPr>
            <w:tcW w:w="1360" w:type="dxa"/>
            <w:vAlign w:val="bottom"/>
            <w:gridSpan w:val="2"/>
          </w:tcPr>
          <w:p>
            <w:pPr>
              <w:ind w:left="120"/>
              <w:spacing w:after="0"/>
              <w:rPr>
                <w:sz w:val="20"/>
                <w:szCs w:val="20"/>
                <w:color w:val="auto"/>
              </w:rPr>
            </w:pPr>
            <w:r>
              <w:rPr>
                <w:rFonts w:ascii="Arial" w:cs="Arial" w:eastAsia="Arial" w:hAnsi="Arial"/>
                <w:sz w:val="16"/>
                <w:szCs w:val="16"/>
                <w:color w:val="auto"/>
              </w:rPr>
              <w:t>adoption of 606</w:t>
            </w: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Higher/(Lower)</w:t>
            </w:r>
          </w:p>
        </w:tc>
      </w:tr>
      <w:tr>
        <w:trPr>
          <w:trHeight w:val="220"/>
        </w:trPr>
        <w:tc>
          <w:tcPr>
            <w:tcW w:w="4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(In Thousands)</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80" w:type="dxa"/>
            <w:vAlign w:val="bottom"/>
            <w:gridSpan w:val="2"/>
            <w:shd w:val="clear" w:color="auto" w:fill="CFF0FC"/>
          </w:tcPr>
          <w:p>
            <w:pPr>
              <w:jc w:val="right"/>
              <w:ind w:right="57"/>
              <w:spacing w:after="0"/>
              <w:rPr>
                <w:sz w:val="20"/>
                <w:szCs w:val="20"/>
                <w:color w:val="auto"/>
              </w:rPr>
            </w:pPr>
            <w:r>
              <w:rPr>
                <w:rFonts w:ascii="Arial" w:cs="Arial" w:eastAsia="Arial" w:hAnsi="Arial"/>
                <w:sz w:val="18"/>
                <w:szCs w:val="18"/>
                <w:color w:val="auto"/>
              </w:rPr>
              <w:t>$ 203,649</w:t>
            </w:r>
          </w:p>
        </w:tc>
        <w:tc>
          <w:tcPr>
            <w:tcW w:w="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237,042</w:t>
            </w:r>
          </w:p>
        </w:tc>
        <w:tc>
          <w:tcPr>
            <w:tcW w:w="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(33,393)</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sales</w:t>
            </w:r>
          </w:p>
        </w:tc>
        <w:tc>
          <w:tcPr>
            <w:tcW w:w="2680" w:type="dxa"/>
            <w:vAlign w:val="bottom"/>
            <w:gridSpan w:val="2"/>
          </w:tcPr>
          <w:p>
            <w:pPr>
              <w:jc w:val="right"/>
              <w:ind w:right="57"/>
              <w:spacing w:after="0"/>
              <w:rPr>
                <w:sz w:val="20"/>
                <w:szCs w:val="20"/>
                <w:color w:val="auto"/>
              </w:rPr>
            </w:pPr>
            <w:r>
              <w:rPr>
                <w:rFonts w:ascii="Arial" w:cs="Arial" w:eastAsia="Arial" w:hAnsi="Arial"/>
                <w:sz w:val="18"/>
                <w:szCs w:val="18"/>
                <w:color w:val="auto"/>
              </w:rPr>
              <w:t>190,483</w:t>
            </w:r>
          </w:p>
        </w:tc>
        <w:tc>
          <w:tcPr>
            <w:tcW w:w="26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223,570</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(33,087)</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80" w:type="dxa"/>
            <w:vAlign w:val="bottom"/>
            <w:gridSpan w:val="2"/>
            <w:shd w:val="clear" w:color="auto" w:fill="CFF0FC"/>
          </w:tcPr>
          <w:p>
            <w:pPr>
              <w:jc w:val="right"/>
              <w:ind w:right="57"/>
              <w:spacing w:after="0"/>
              <w:rPr>
                <w:sz w:val="20"/>
                <w:szCs w:val="20"/>
                <w:color w:val="auto"/>
              </w:rPr>
            </w:pPr>
            <w:r>
              <w:rPr>
                <w:rFonts w:ascii="Arial" w:cs="Arial" w:eastAsia="Arial" w:hAnsi="Arial"/>
                <w:sz w:val="18"/>
                <w:szCs w:val="18"/>
                <w:color w:val="auto"/>
              </w:rPr>
              <w:t>13,166</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13,472</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(306)</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80" w:type="dxa"/>
            <w:vAlign w:val="bottom"/>
            <w:gridSpan w:val="2"/>
          </w:tcPr>
          <w:p>
            <w:pPr>
              <w:jc w:val="right"/>
              <w:ind w:right="57"/>
              <w:spacing w:after="0"/>
              <w:rPr>
                <w:sz w:val="20"/>
                <w:szCs w:val="20"/>
                <w:color w:val="auto"/>
              </w:rPr>
            </w:pPr>
            <w:r>
              <w:rPr>
                <w:rFonts w:ascii="Arial" w:cs="Arial" w:eastAsia="Arial" w:hAnsi="Arial"/>
                <w:sz w:val="18"/>
                <w:szCs w:val="18"/>
                <w:color w:val="auto"/>
              </w:rPr>
              <w:t>16,700</w:t>
            </w:r>
          </w:p>
        </w:tc>
        <w:tc>
          <w:tcPr>
            <w:tcW w:w="26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17,006</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(3,985)</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(3,985)</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Except for the change in accounting policies for revenue recognition as a result of adopting ASC 606, there have been no changes to our significant accounting policies as described in the 2017 Form 10-K that had a material impact on our condensed consolidated financial statements and related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Adoption of ASC 606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mentioned in Note 1, we primarily derive our revenues from the sales of various chemical products. The following tables present our net sales disaggregated by revenue source: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4"/>
          </w:tcPr>
          <w:p>
            <w:pPr>
              <w:jc w:val="center"/>
              <w:ind w:left="731"/>
              <w:spacing w:after="0"/>
              <w:rPr>
                <w:sz w:val="20"/>
                <w:szCs w:val="20"/>
                <w:color w:val="auto"/>
              </w:rPr>
            </w:pPr>
            <w:r>
              <w:rPr>
                <w:rFonts w:ascii="Arial" w:cs="Arial" w:eastAsia="Arial" w:hAnsi="Arial"/>
                <w:sz w:val="18"/>
                <w:szCs w:val="18"/>
                <w:color w:val="auto"/>
                <w:w w:val="86"/>
              </w:rPr>
              <w:t>June 30,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r>
              <w:rPr>
                <w:rFonts w:ascii="Arial" w:cs="Arial" w:eastAsia="Arial" w:hAnsi="Arial"/>
                <w:sz w:val="14"/>
                <w:szCs w:val="14"/>
                <w:color w:val="auto"/>
              </w:rPr>
              <w:t>(a)</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6"/>
          </w:tcPr>
          <w:p>
            <w:pPr>
              <w:jc w:val="center"/>
              <w:ind w:right="440"/>
              <w:spacing w:after="0"/>
              <w:rPr>
                <w:sz w:val="20"/>
                <w:szCs w:val="20"/>
                <w:color w:val="auto"/>
              </w:rPr>
            </w:pPr>
            <w:r>
              <w:rPr>
                <w:rFonts w:ascii="Arial" w:cs="Arial" w:eastAsia="Arial" w:hAnsi="Arial"/>
                <w:sz w:val="16"/>
                <w:szCs w:val="16"/>
                <w:color w:val="auto"/>
                <w:w w:val="92"/>
              </w:rPr>
              <w:t>(Dollars In Thousands)</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58,024</w:t>
            </w:r>
          </w:p>
        </w:tc>
        <w:tc>
          <w:tcPr>
            <w:tcW w:w="240" w:type="dxa"/>
            <w:vAlign w:val="bottom"/>
          </w:tcPr>
          <w:p>
            <w:pPr>
              <w:spacing w:after="0"/>
              <w:rPr>
                <w:sz w:val="19"/>
                <w:szCs w:val="19"/>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103,199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center"/>
              <w:ind w:right="4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4"/>
          </w:tcPr>
          <w:p>
            <w:pPr>
              <w:jc w:val="center"/>
              <w:ind w:left="731"/>
              <w:spacing w:after="0"/>
              <w:rPr>
                <w:sz w:val="20"/>
                <w:szCs w:val="20"/>
                <w:color w:val="auto"/>
              </w:rPr>
            </w:pPr>
            <w:r>
              <w:rPr>
                <w:rFonts w:ascii="Arial" w:cs="Arial" w:eastAsia="Arial" w:hAnsi="Arial"/>
                <w:sz w:val="18"/>
                <w:szCs w:val="18"/>
                <w:color w:val="auto"/>
                <w:w w:val="86"/>
              </w:rPr>
              <w:t>June 30,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r>
              <w:rPr>
                <w:rFonts w:ascii="Arial" w:cs="Arial" w:eastAsia="Arial" w:hAnsi="Arial"/>
                <w:sz w:val="14"/>
                <w:szCs w:val="14"/>
                <w:color w:val="auto"/>
              </w:rPr>
              <w:t>(a)</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6"/>
          </w:tcPr>
          <w:p>
            <w:pPr>
              <w:jc w:val="center"/>
              <w:ind w:right="440"/>
              <w:spacing w:after="0"/>
              <w:rPr>
                <w:sz w:val="20"/>
                <w:szCs w:val="20"/>
                <w:color w:val="auto"/>
              </w:rPr>
            </w:pPr>
            <w:r>
              <w:rPr>
                <w:rFonts w:ascii="Arial" w:cs="Arial" w:eastAsia="Arial" w:hAnsi="Arial"/>
                <w:sz w:val="16"/>
                <w:szCs w:val="16"/>
                <w:color w:val="auto"/>
                <w:w w:val="92"/>
              </w:rPr>
              <w:t>(Dollars In Thousands)</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110,293</w:t>
            </w:r>
          </w:p>
        </w:tc>
        <w:tc>
          <w:tcPr>
            <w:tcW w:w="240" w:type="dxa"/>
            <w:vAlign w:val="bottom"/>
          </w:tcPr>
          <w:p>
            <w:pPr>
              <w:spacing w:after="0"/>
              <w:rPr>
                <w:sz w:val="19"/>
                <w:szCs w:val="19"/>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22,444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203,649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380"/>
              <w:spacing w:after="0"/>
              <w:rPr>
                <w:sz w:val="20"/>
                <w:szCs w:val="20"/>
                <w:color w:val="auto"/>
              </w:rPr>
            </w:pPr>
            <w:r>
              <w:rPr>
                <w:rFonts w:ascii="Arial" w:cs="Arial" w:eastAsia="Arial" w:hAnsi="Arial"/>
                <w:sz w:val="18"/>
                <w:szCs w:val="18"/>
                <w:color w:val="auto"/>
                <w:w w:val="93"/>
              </w:rPr>
              <w:t>(</w:t>
            </w:r>
            <w:r>
              <w:rPr>
                <w:rFonts w:ascii="Arial" w:cs="Arial" w:eastAsia="Arial" w:hAnsi="Arial"/>
                <w:sz w:val="16"/>
                <w:szCs w:val="16"/>
                <w:color w:val="auto"/>
                <w:w w:val="93"/>
              </w:rPr>
              <w:t>a)   As noted above, prior period amounts have not been adjusted under the modified retrospective method.</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 Recognition and Performance Obligations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spacing w:after="0"/>
              <w:rPr>
                <w:sz w:val="20"/>
                <w:szCs w:val="20"/>
                <w:color w:val="auto"/>
              </w:rPr>
            </w:pPr>
            <w:r>
              <w:rPr>
                <w:rFonts w:ascii="Arial" w:cs="Arial" w:eastAsia="Arial" w:hAnsi="Arial"/>
                <w:sz w:val="18"/>
                <w:szCs w:val="18"/>
                <w:color w:val="auto"/>
              </w:rPr>
              <w:t>We determine revenue recognition through the following steps: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ind w:left="520"/>
              <w:spacing w:after="0"/>
              <w:rPr>
                <w:sz w:val="20"/>
                <w:szCs w:val="20"/>
                <w:color w:val="auto"/>
              </w:rPr>
            </w:pPr>
            <w:r>
              <w:rPr>
                <w:rFonts w:ascii="Arial" w:cs="Arial" w:eastAsia="Arial" w:hAnsi="Arial"/>
                <w:sz w:val="16"/>
                <w:szCs w:val="16"/>
                <w:color w:val="auto"/>
                <w:w w:val="70"/>
              </w:rPr>
              <w:t>•</w:t>
            </w:r>
          </w:p>
        </w:tc>
        <w:tc>
          <w:tcPr>
            <w:tcW w:w="6960" w:type="dxa"/>
            <w:vAlign w:val="bottom"/>
          </w:tcPr>
          <w:p>
            <w:pPr>
              <w:ind w:left="460"/>
              <w:spacing w:after="0"/>
              <w:rPr>
                <w:sz w:val="20"/>
                <w:szCs w:val="20"/>
                <w:color w:val="auto"/>
              </w:rPr>
            </w:pPr>
            <w:r>
              <w:rPr>
                <w:rFonts w:ascii="Arial" w:cs="Arial" w:eastAsia="Arial" w:hAnsi="Arial"/>
                <w:sz w:val="18"/>
                <w:szCs w:val="18"/>
                <w:color w:val="auto"/>
              </w:rPr>
              <w:t>Identification of the performance obligations in the contract;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ind w:left="520"/>
              <w:spacing w:after="0"/>
              <w:rPr>
                <w:sz w:val="20"/>
                <w:szCs w:val="20"/>
                <w:color w:val="auto"/>
              </w:rPr>
            </w:pPr>
            <w:r>
              <w:rPr>
                <w:rFonts w:ascii="Arial" w:cs="Arial" w:eastAsia="Arial" w:hAnsi="Arial"/>
                <w:sz w:val="16"/>
                <w:szCs w:val="16"/>
                <w:color w:val="auto"/>
                <w:w w:val="70"/>
              </w:rPr>
              <w:t>•</w:t>
            </w:r>
          </w:p>
        </w:tc>
        <w:tc>
          <w:tcPr>
            <w:tcW w:w="6960" w:type="dxa"/>
            <w:vAlign w:val="bottom"/>
          </w:tcPr>
          <w:p>
            <w:pPr>
              <w:ind w:left="460"/>
              <w:spacing w:after="0"/>
              <w:rPr>
                <w:sz w:val="20"/>
                <w:szCs w:val="20"/>
                <w:color w:val="auto"/>
              </w:rPr>
            </w:pPr>
            <w:r>
              <w:rPr>
                <w:rFonts w:ascii="Arial" w:cs="Arial" w:eastAsia="Arial" w:hAnsi="Arial"/>
                <w:sz w:val="18"/>
                <w:szCs w:val="18"/>
                <w:color w:val="auto"/>
              </w:rPr>
              <w:t>Determination of the transaction price;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ind w:left="520"/>
              <w:spacing w:after="0"/>
              <w:rPr>
                <w:sz w:val="20"/>
                <w:szCs w:val="20"/>
                <w:color w:val="auto"/>
              </w:rPr>
            </w:pPr>
            <w:r>
              <w:rPr>
                <w:rFonts w:ascii="Arial" w:cs="Arial" w:eastAsia="Arial" w:hAnsi="Arial"/>
                <w:sz w:val="16"/>
                <w:szCs w:val="16"/>
                <w:color w:val="auto"/>
                <w:w w:val="70"/>
              </w:rPr>
              <w:t>•</w:t>
            </w:r>
          </w:p>
        </w:tc>
        <w:tc>
          <w:tcPr>
            <w:tcW w:w="6960" w:type="dxa"/>
            <w:vAlign w:val="bottom"/>
          </w:tcPr>
          <w:p>
            <w:pPr>
              <w:ind w:left="460"/>
              <w:spacing w:after="0"/>
              <w:rPr>
                <w:sz w:val="20"/>
                <w:szCs w:val="20"/>
                <w:color w:val="auto"/>
              </w:rPr>
            </w:pPr>
            <w:r>
              <w:rPr>
                <w:rFonts w:ascii="Arial" w:cs="Arial" w:eastAsia="Arial" w:hAnsi="Arial"/>
                <w:sz w:val="18"/>
                <w:szCs w:val="18"/>
                <w:color w:val="auto"/>
                <w:w w:val="96"/>
              </w:rPr>
              <w:t>Allocation of the transaction price to the performance obligations in the contract; and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ind w:left="520"/>
              <w:spacing w:after="0"/>
              <w:rPr>
                <w:sz w:val="20"/>
                <w:szCs w:val="20"/>
                <w:color w:val="auto"/>
              </w:rPr>
            </w:pPr>
            <w:r>
              <w:rPr>
                <w:rFonts w:ascii="Arial" w:cs="Arial" w:eastAsia="Arial" w:hAnsi="Arial"/>
                <w:sz w:val="16"/>
                <w:szCs w:val="16"/>
                <w:color w:val="auto"/>
                <w:w w:val="70"/>
              </w:rPr>
              <w:t>•</w:t>
            </w:r>
          </w:p>
        </w:tc>
        <w:tc>
          <w:tcPr>
            <w:tcW w:w="6960" w:type="dxa"/>
            <w:vAlign w:val="bottom"/>
          </w:tcPr>
          <w:p>
            <w:pPr>
              <w:ind w:left="460"/>
              <w:spacing w:after="0"/>
              <w:rPr>
                <w:sz w:val="20"/>
                <w:szCs w:val="20"/>
                <w:color w:val="auto"/>
              </w:rPr>
            </w:pPr>
            <w:r>
              <w:rPr>
                <w:rFonts w:ascii="Arial" w:cs="Arial" w:eastAsia="Arial" w:hAnsi="Arial"/>
                <w:sz w:val="18"/>
                <w:szCs w:val="18"/>
                <w:color w:val="auto"/>
              </w:rPr>
              <w:t>Recognition of revenue when, or as, we satisfy a performance obligation.</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606.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 When the terms of a contract include the transfer of multiple products, each distinct product is identified as a separate performance obligation.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only offer assurance-type warranties for our products to meet specifications defined by our contracts with customers, and do not have any material performance obligations related to warranties, return, or refunds.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Adoption of ASC 606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Constraints and Variable Consideration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within the scope of ASC 606,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published monthly and the contract quantities are typically based on estimated ranges. The quantities become fixed and determinable over a period of time as each sale order is received from the customer.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Future revenues to be earned from the satisfaction of performance obligations will be recognized when control transfers as goods are loaded and weighed or services are performed over the remaining duration of our contracts. Although most of our contracts have an original expected duration of one year or less, for our contracts with a duration greater than one year, the average remaining expected duration was approximately 16 months at June 30,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contract assets consist of receivables from contracts with customers. Our net accounts receivable primarily relate to these contract assets and are presented in our condensed consolidated balance sheets. Customer payments are generally due thirty to sixty days after the invoice date.</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liabilities primarily relate to deferred revenue and customer deposits associated with cash payments received in advance from customers for volume shortfall charges and product shipments. These contract liabilities are presented in Note - 5 Current and Noncurrent Accrued and Other Liabilities. For the three and six months ended June 30, 2018, revenues of $2.3 million and $4.0 million were recognized and included in the balance at the beginning of each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the transitional practical expedient for all contract modifications, such that all modifications prior to our adoption date for uncompleted contracts would be evaluated in the aggregate for any potential impact to our financial statements.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the practical expedient to recognize revenue in the amount we have the right to invoice relating to certain services that are performed for customers and, as a result we do not have to disclose the value of unsatisfied performance obligations.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the practical expedient by which disclosures are not required regarding the value of unsatisfied performance obligations for contracts with an original expected duration of one year or less.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the practical expedient exempting the requirement to adjust the promised amount of consideration for the effects of a significant financing component if we expect the financing time period to be one year or less.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recognized in the current period from performance obligations related to prior periods (for example, due to changes in transaction price) was not material.</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contract cost assets primarily relate to the portion of incentive compensation earned by certain employees that are considered incremental and recoverable costs of obtaining a contract with a customer. Those costs are not material. We have elected the practical expedient to expense as incurred any incremental costs of obtaining a contract if the associated period of benefit is one year or less.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Note 3: Loss Per Common Share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5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6"/>
          </w:tcPr>
          <w:p>
            <w:pPr>
              <w:jc w:val="right"/>
              <w:ind w:right="70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6"/>
          </w:tcPr>
          <w:p>
            <w:pPr>
              <w:jc w:val="right"/>
              <w:ind w:right="9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gridSpan w:val="12"/>
          </w:tcPr>
          <w:p>
            <w:pPr>
              <w:jc w:val="right"/>
              <w:ind w:right="20"/>
              <w:spacing w:after="0"/>
              <w:rPr>
                <w:sz w:val="20"/>
                <w:szCs w:val="20"/>
                <w:color w:val="auto"/>
              </w:rPr>
            </w:pPr>
            <w:r>
              <w:rPr>
                <w:rFonts w:ascii="Arial" w:cs="Arial" w:eastAsia="Arial" w:hAnsi="Arial"/>
                <w:sz w:val="16"/>
                <w:szCs w:val="16"/>
                <w:color w:val="auto"/>
              </w:rPr>
              <w:t>(Dollars In Thousands, Except Per Share Amounts)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(27,506)</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(7,033)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(33,097)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(13,019)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Adjustments for basic net loss per common share:</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620" w:type="dxa"/>
            <w:vAlign w:val="bottom"/>
            <w:gridSpan w:val="2"/>
          </w:tcPr>
          <w:p>
            <w:pPr>
              <w:ind w:left="500"/>
              <w:spacing w:after="0"/>
              <w:rPr>
                <w:sz w:val="20"/>
                <w:szCs w:val="20"/>
                <w:color w:val="auto"/>
              </w:rPr>
            </w:pPr>
            <w:r>
              <w:rPr>
                <w:rFonts w:ascii="Arial" w:cs="Arial" w:eastAsia="Arial" w:hAnsi="Arial"/>
                <w:sz w:val="18"/>
                <w:szCs w:val="18"/>
                <w:color w:val="auto"/>
              </w:rPr>
              <w:t>Dividend requirements on Series E Redeemable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20" w:type="dxa"/>
            <w:vAlign w:val="bottom"/>
            <w:gridSpan w:val="2"/>
          </w:tcPr>
          <w:p>
            <w:pPr>
              <w:ind w:left="620"/>
              <w:spacing w:after="0"/>
              <w:rPr>
                <w:sz w:val="20"/>
                <w:szCs w:val="20"/>
                <w:color w:val="auto"/>
              </w:rPr>
            </w:pPr>
            <w:r>
              <w:rPr>
                <w:rFonts w:ascii="Arial" w:cs="Arial" w:eastAsia="Arial" w:hAnsi="Arial"/>
                <w:sz w:val="18"/>
                <w:szCs w:val="18"/>
                <w:color w:val="auto"/>
              </w:rPr>
              <w:t>Preferred</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(6,628)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(5,789)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(12,966)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(11,325)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Dividend requirements on Series B Preferred</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ind w:left="500"/>
              <w:spacing w:after="0"/>
              <w:rPr>
                <w:sz w:val="20"/>
                <w:szCs w:val="20"/>
                <w:color w:val="auto"/>
              </w:rPr>
            </w:pPr>
            <w:r>
              <w:rPr>
                <w:rFonts w:ascii="Arial" w:cs="Arial" w:eastAsia="Arial" w:hAnsi="Arial"/>
                <w:sz w:val="18"/>
                <w:szCs w:val="18"/>
                <w:color w:val="auto"/>
              </w:rPr>
              <w:t>Dividend requirements on Series D Preferred</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Accretion of Series E Redeemable Preferred</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4620" w:type="dxa"/>
            <w:vAlign w:val="bottom"/>
            <w:gridSpan w:val="2"/>
          </w:tcPr>
          <w:p>
            <w:pPr>
              <w:ind w:left="240"/>
              <w:spacing w:after="0" w:line="195" w:lineRule="exact"/>
              <w:rPr>
                <w:sz w:val="20"/>
                <w:szCs w:val="20"/>
                <w:color w:val="auto"/>
              </w:rPr>
            </w:pPr>
            <w:r>
              <w:rPr>
                <w:rFonts w:ascii="Arial" w:cs="Arial" w:eastAsia="Arial" w:hAnsi="Arial"/>
                <w:sz w:val="18"/>
                <w:szCs w:val="18"/>
                <w:color w:val="auto"/>
              </w:rPr>
              <w:t>Numerator for basic and dilutive net loss per common</w:t>
            </w:r>
          </w:p>
        </w:tc>
        <w:tc>
          <w:tcPr>
            <w:tcW w:w="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620" w:type="dxa"/>
            <w:vAlign w:val="bottom"/>
            <w:gridSpan w:val="2"/>
          </w:tcPr>
          <w:p>
            <w:pPr>
              <w:ind w:left="380"/>
              <w:spacing w:after="0"/>
              <w:rPr>
                <w:sz w:val="20"/>
                <w:szCs w:val="20"/>
                <w:color w:val="auto"/>
              </w:rPr>
            </w:pPr>
            <w:r>
              <w:rPr>
                <w:rFonts w:ascii="Arial" w:cs="Arial" w:eastAsia="Arial" w:hAnsi="Arial"/>
                <w:sz w:val="18"/>
                <w:szCs w:val="18"/>
                <w:color w:val="auto"/>
              </w:rPr>
              <w:t>share - net loss attributable to common stockholders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(35,011)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(14,515)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(48,614)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(27,711)</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1940" w:type="dxa"/>
            <w:vAlign w:val="bottom"/>
            <w:tcBorders>
              <w:top w:val="single" w:sz="8" w:color="CFF0FC"/>
            </w:tcBorders>
            <w:shd w:val="clear" w:color="auto" w:fill="CFF0FC"/>
          </w:tcPr>
          <w:p>
            <w:pPr>
              <w:spacing w:after="0"/>
              <w:rPr>
                <w:sz w:val="18"/>
                <w:szCs w:val="18"/>
                <w:color w:val="auto"/>
              </w:rPr>
            </w:pPr>
          </w:p>
        </w:tc>
        <w:tc>
          <w:tcPr>
            <w:tcW w:w="26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Denominator for basic and dilutive net loss per</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share - adjusted weighted-average</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shares (1)</w:t>
            </w:r>
          </w:p>
        </w:tc>
        <w:tc>
          <w:tcPr>
            <w:tcW w:w="5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27,492,979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27,249,304</w:t>
            </w: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27,476,180</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27,248,682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and dilutive net loss per common share:</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(1.27)</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(0.53)</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returnable.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280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234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140" w:type="dxa"/>
            <w:vAlign w:val="bottom"/>
          </w:tcPr>
          <w:p>
            <w:pPr>
              <w:spacing w:after="0"/>
              <w:rPr>
                <w:sz w:val="19"/>
                <w:szCs w:val="19"/>
                <w:color w:val="auto"/>
              </w:rPr>
            </w:pPr>
          </w:p>
        </w:tc>
        <w:tc>
          <w:tcPr>
            <w:tcW w:w="1700" w:type="dxa"/>
            <w:vAlign w:val="bottom"/>
            <w:gridSpan w:val="3"/>
          </w:tcPr>
          <w:p>
            <w:pPr>
              <w:jc w:val="center"/>
              <w:ind w:left="810"/>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tcBorders>
              <w:bottom w:val="single" w:sz="8" w:color="CFF0FC"/>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1,160,116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1,195,560</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1,177,715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1,156,493</w:t>
            </w:r>
          </w:p>
        </w:tc>
        <w:tc>
          <w:tcPr>
            <w:tcW w:w="10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Convertible preferred stocks</w:t>
            </w:r>
          </w:p>
        </w:tc>
        <w:tc>
          <w:tcPr>
            <w:tcW w:w="1200" w:type="dxa"/>
            <w:vAlign w:val="bottom"/>
          </w:tcPr>
          <w:p>
            <w:pPr>
              <w:jc w:val="right"/>
              <w:spacing w:after="0"/>
              <w:rPr>
                <w:sz w:val="20"/>
                <w:szCs w:val="20"/>
                <w:color w:val="auto"/>
              </w:rPr>
            </w:pPr>
            <w:r>
              <w:rPr>
                <w:rFonts w:ascii="Arial" w:cs="Arial" w:eastAsia="Arial" w:hAnsi="Arial"/>
                <w:sz w:val="18"/>
                <w:szCs w:val="18"/>
                <w:color w:val="auto"/>
              </w:rPr>
              <w:t>916,666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916,666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916,666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00" w:type="dxa"/>
            <w:vAlign w:val="bottom"/>
            <w:shd w:val="clear" w:color="auto" w:fill="CFF0FC"/>
          </w:tcPr>
          <w:p>
            <w:pPr>
              <w:spacing w:after="0"/>
              <w:rPr>
                <w:sz w:val="19"/>
                <w:szCs w:val="19"/>
                <w:color w:val="auto"/>
              </w:rPr>
            </w:pPr>
          </w:p>
        </w:tc>
      </w:tr>
      <w:tr>
        <w:trPr>
          <w:trHeight w:val="230"/>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options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180,309</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217,608</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188,215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218,309</w:t>
            </w:r>
          </w:p>
        </w:tc>
        <w:tc>
          <w:tcPr>
            <w:tcW w:w="100" w:type="dxa"/>
            <w:vAlign w:val="bottom"/>
            <w:tcBorders>
              <w:bottom w:val="single" w:sz="8" w:color="CFF0FC"/>
            </w:tcBorders>
          </w:tcPr>
          <w:p>
            <w:pPr>
              <w:spacing w:after="0"/>
              <w:rPr>
                <w:sz w:val="19"/>
                <w:szCs w:val="19"/>
                <w:color w:val="auto"/>
              </w:rPr>
            </w:pPr>
          </w:p>
        </w:tc>
      </w:tr>
      <w:tr>
        <w:trPr>
          <w:trHeight w:val="223"/>
        </w:trPr>
        <w:tc>
          <w:tcPr>
            <w:tcW w:w="51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2,560,737</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2,633,480</w:t>
            </w:r>
          </w:p>
        </w:tc>
        <w:tc>
          <w:tcPr>
            <w:tcW w:w="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2,586,242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2,595,114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June 30, 2018 and December 31, 2017, because costs exceeded the net realizable value, inventory adjustments were $567,000 and $933,000, respectively.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gridSpan w:val="4"/>
          </w:tcPr>
          <w:p>
            <w:pPr>
              <w:spacing w:after="0"/>
              <w:rPr>
                <w:sz w:val="20"/>
                <w:szCs w:val="20"/>
                <w:color w:val="auto"/>
              </w:rPr>
            </w:pPr>
            <w:r>
              <w:rPr>
                <w:rFonts w:ascii="Arial" w:cs="Arial" w:eastAsia="Arial" w:hAnsi="Arial"/>
                <w:sz w:val="18"/>
                <w:szCs w:val="18"/>
                <w:b w:val="1"/>
                <w:bCs w:val="1"/>
                <w:color w:val="auto"/>
              </w:rPr>
              <w:t>Note 5: Current and Noncurrent Accrued and Other Liabilities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Accrued death and other executive benefits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Accrued health and worker compensation insurance claims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Customer deposits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96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noncurrent portion</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Note 6: Long-Term Debt</w:t>
            </w:r>
          </w:p>
        </w:tc>
        <w:tc>
          <w:tcPr>
            <w:tcW w:w="5140" w:type="dxa"/>
            <w:vAlign w:val="bottom"/>
            <w:gridSpan w:val="2"/>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900" w:type="dxa"/>
            <w:vAlign w:val="bottom"/>
            <w:tcBorders>
              <w:bottom w:val="single" w:sz="8" w:color="auto"/>
            </w:tcBorders>
            <w:gridSpan w:val="2"/>
            <w:vMerge w:val="continue"/>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040" w:type="dxa"/>
            <w:vAlign w:val="bottom"/>
            <w:gridSpan w:val="4"/>
          </w:tcPr>
          <w:p>
            <w:pPr>
              <w:spacing w:after="0"/>
              <w:rPr>
                <w:sz w:val="20"/>
                <w:szCs w:val="20"/>
                <w:color w:val="auto"/>
              </w:rPr>
            </w:pPr>
            <w:r>
              <w:rPr>
                <w:rFonts w:ascii="Arial" w:cs="Arial" w:eastAsia="Arial" w:hAnsi="Arial"/>
                <w:sz w:val="18"/>
                <w:szCs w:val="18"/>
                <w:color w:val="auto"/>
              </w:rPr>
              <w:t>Our long-term debt consists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3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rate of 5.50% (A)</w:t>
            </w: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Senior Secured Notes due 2023 (B)</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Senior Secured Notes due 2019 (B)</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Secured Promissory Note due 2019, with a current 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320" w:type="dxa"/>
            <w:vAlign w:val="bottom"/>
            <w:gridSpan w:val="3"/>
          </w:tcPr>
          <w:p>
            <w:pPr>
              <w:ind w:left="140"/>
              <w:spacing w:after="0"/>
              <w:rPr>
                <w:sz w:val="20"/>
                <w:szCs w:val="20"/>
                <w:color w:val="auto"/>
              </w:rPr>
            </w:pPr>
            <w:r>
              <w:rPr>
                <w:rFonts w:ascii="Arial" w:cs="Arial" w:eastAsia="Arial" w:hAnsi="Arial"/>
                <w:sz w:val="18"/>
                <w:szCs w:val="18"/>
                <w:color w:val="auto"/>
              </w:rPr>
              <w:t>rate of 5.73% (C)</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Secured Promissory Note due 2021, with a current interest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3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rate of 5.25% (D)</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Secured Promissory Note due 2023, with a current 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320" w:type="dxa"/>
            <w:vAlign w:val="bottom"/>
            <w:gridSpan w:val="3"/>
          </w:tcPr>
          <w:p>
            <w:pPr>
              <w:ind w:left="140"/>
              <w:spacing w:after="0"/>
              <w:rPr>
                <w:sz w:val="20"/>
                <w:szCs w:val="20"/>
                <w:color w:val="auto"/>
              </w:rPr>
            </w:pPr>
            <w:r>
              <w:rPr>
                <w:rFonts w:ascii="Arial" w:cs="Arial" w:eastAsia="Arial" w:hAnsi="Arial"/>
                <w:sz w:val="18"/>
                <w:szCs w:val="18"/>
                <w:color w:val="auto"/>
              </w:rPr>
              <w:t>rate of 6.25% (E)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15,675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Unamortized discount and debt issuance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(16,670)</w:t>
            </w: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416,363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409,399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current portion of long-term debt, net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Long-term debt due after one year, net</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403,464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400,253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(the “Working Capital Revolver Loan”) provides for advances up to $50 million (but provides an ability to expand the commitment an additional $25 million), based on specific percentages of eligible accounts receivable and inventories and up to $10 million of letters of credit, the outstanding amount of which reduces the available for borrowing under the Working Capital Revolver Loan. At June 30, 2018, our available borrowings under our Working Capital Revolver Loan were approximately $34.3 million, based on our eligible collateral, less outstanding letters of credit. The maturity date of the Working Capital Revolver Loan is January 17, 2022. The Working Capital Revolver Loan also provides for a springing financial covenant (the “Financial Covenant”), which requires that, if the borrowing availability is less than or equal to the greater of 10.0% of the total revolver commitments and $5 million, then the borrowers must maintain a minimum fixed charge coverage ratio of not less than 1.00 to 1.00. The Financial Covenant, if triggered, is tested monthly.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Long-Term Debt (continued)</w:t>
      </w:r>
    </w:p>
    <w:p>
      <w:pPr>
        <w:spacing w:after="0" w:line="121" w:lineRule="exact"/>
        <w:rPr>
          <w:sz w:val="20"/>
          <w:szCs w:val="20"/>
          <w:color w:val="auto"/>
        </w:rPr>
      </w:pPr>
    </w:p>
    <w:p>
      <w:pPr>
        <w:jc w:val="both"/>
        <w:ind w:right="20" w:firstLine="8"/>
        <w:spacing w:after="0" w:line="259" w:lineRule="auto"/>
        <w:tabs>
          <w:tab w:leader="none" w:pos="28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On April 25, 2018, LSB completed the issuance and sale of $400 million aggregate principal amount of its 9.625% Senior Secured Notes due 2023 (the “Senior Secured Notes”). The Senior Secured Notes were issued pursuant to an indenture, dated as of April 25, 2018 (the “Indenture”), by and among LSB, the subsidiary guarantors named therein, and Wilmington Trust, National Association, a national banking association, as trustee and collateral agent (the “Notes Trustee”).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Senior Secured Notes were issued at a price equal to 99.509% of their face value. A portion of the net proceeds from the Senior Secured Notes were used to purchase/redeem the $375 million aggregate principal amount of the 8.5% Senior Secured Notes due 2019. The remaining net proceeds were primarily used to pay related transaction fees and expenses, redemption premiums, and accrued interest on the notes purchased/redeemed.</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portion of above transaction was accounted for as an extinguishment of debt and a portion was accounted for as a non-substantial debt modification. As a result, approximately $15.2 million of the fees/redemption premiums/discount was deferred and included in discount and debt issuance costs and approximately $0.9 million of fees were expensed, as incurred, and are included in interest expense. In addition, we recognized a loss on extinguishment of debt of approximately $6.0 million, primarily consisting of a portion of the redemption premiums paid and the expensing of a portion of debt issuance costs associated with the 8.5% Senior Secured Notes.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Secured Notes will mature on May 1, 2023 and rank senior in right of payment to all of our debt that is expressly subordinated in right of payment to the notes and will rank pari passu in right of payment with all of our liabilities that are not so subordinated, including the Working Capital Revolver Loan. LSB’s obligations under the Senior Secured Notes are jointly and severally guaranteed by the subsidiary guarantors named in the Indenture on a senior secured basis.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on the Senior Secured Notes accrues at a rate of 9.625% per annum and is payable semi-annually in arrears on May 1 and November 1 of each year, beginning on November 1, 2018.</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LSB may redeem the Senior Secured Notes at its option, in whole or in part, subject to the payment of a premium ranging from a “make-whole” premium to a premium of 3.609% of the principal amount so redeemed, in the case of any optional redemption prior to May 1, 2022. If LSB experiences a change of control, it must offer to purchase the notes at 101% of their principal amount, plus accrued and unpaid interest, if any, to but excluding the date of purchase.</w:t>
      </w:r>
    </w:p>
    <w:p>
      <w:pPr>
        <w:spacing w:after="0" w:line="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Indenture contains covenants that limit, among other things, LSB and certain of its subsidiaries’ ability to (1) incur additional indebtedness; (2) declare or pay dividends, redeem stock or make other distributions to stockholders; (3) make other restricted payments, including investments; (4) create dividend and other payment restrictions affecting its subsidiaries; (5) create liens or use assets as security in other transactions; (6) merge or consolidate, or sell, transfer, lease or dispose of all or substantially all of our assets; and (7) enter into transactions with affiliates. Further, during any such time when the Senior Secured Notes are rated investment grade by each of Moody’s Investors Service, Inc. and Standard &amp; Poor’s Investors Ratings Services and no Default (as defined in the Indenture) has occurred and is continuing, certain of the covenants will be suspended with respect to the Senior Secured Notes.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Indenture provides for customary events of default (subject in certain cases to customary grace and cure periods), which include nonpayment, breach of covenants in the Indenture, payment defaults or acceleration of other indebtedness, a failure to pay certain judgments and certain events of bankruptcy and insolvency.</w:t>
      </w:r>
    </w:p>
    <w:p>
      <w:pPr>
        <w:spacing w:after="0" w:line="73" w:lineRule="exact"/>
        <w:rPr>
          <w:sz w:val="20"/>
          <w:szCs w:val="20"/>
          <w:color w:val="auto"/>
        </w:rPr>
      </w:pPr>
    </w:p>
    <w:p>
      <w:pPr>
        <w:ind w:firstLine="8"/>
        <w:spacing w:after="0" w:line="277" w:lineRule="auto"/>
        <w:tabs>
          <w:tab w:leader="none" w:pos="308"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promissory note due June 29, 2019. Principal and interest are payable in equal monthly installments with a final balloon payment of approximately $6.7 million.</w:t>
      </w:r>
    </w:p>
    <w:p>
      <w:pPr>
        <w:spacing w:after="0" w:line="62" w:lineRule="exact"/>
        <w:rPr>
          <w:rFonts w:ascii="Arial" w:cs="Arial" w:eastAsia="Arial" w:hAnsi="Arial"/>
          <w:sz w:val="18"/>
          <w:szCs w:val="18"/>
          <w:b w:val="1"/>
          <w:bCs w:val="1"/>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EDC is party to a secured promissory note due March 26, 2021. Principal and interest are payable in monthly installments.</w:t>
      </w:r>
    </w:p>
    <w:p>
      <w:pPr>
        <w:spacing w:after="0" w:line="117" w:lineRule="exact"/>
        <w:rPr>
          <w:rFonts w:ascii="Arial" w:cs="Arial" w:eastAsia="Arial" w:hAnsi="Arial"/>
          <w:sz w:val="18"/>
          <w:szCs w:val="18"/>
          <w:b w:val="1"/>
          <w:bCs w:val="1"/>
          <w:color w:val="auto"/>
        </w:rPr>
      </w:pPr>
    </w:p>
    <w:p>
      <w:pPr>
        <w:ind w:firstLine="8"/>
        <w:spacing w:after="0" w:line="277" w:lineRule="auto"/>
        <w:tabs>
          <w:tab w:leader="none" w:pos="288"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El Dorado Ammonia L.L.C. (“EDA”), one of our subsidiaries, is party to a secured promissory note due May 10, 2023. Principal and interest are payable in equal monthly installments with a final balloon payment of approximately $6.1 million.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June 30, 2018, our natural gas contracts, which qualify as normal purchases under GAAP and thus are not mark-to-market, included minimal volume purchase commitments with fixed prices.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certain legal matters involving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did not operate the natural gas wells where we previously owned a working interest and compliance with Environmental and Health Laws was controlled by others. We were responsible for our working interest proportionate share of the costs involved.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our accrued liabilities for environmental matters totaled $183,000 relating primarily to the matters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amount of effluents that can be discharged and control the method of such discharge.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Pryor Facility is authorized by permit to inject wastewater into an on-site underground injection well through 2018. The Oklahoma Department of Environmental Quality (“ODEQ”) has indicated that the permit may not be renewed following its expiration, and the Pryor Chemical Company (“PCC”) may have to find an alternative means of waste water disposal after the permit expires. PCC has engaged in ongoing discussions with the ODEQ regarding future disposal of this wastewater stream.</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more restrictive limits could impose additional costs on the El Dorado Facility and may require the facility to make operational changes in order to meet these more restrictive limits. From time to time, the El Dorado Facility has had difficulty meeting the more restrictive dissolved minerals NPDES permit levels, primarily related to storm-water runoff and EDC is currently working with ADEQ to resolve this issue through a new permit, which is currently in progress.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believe this matter regarding meeting the permit requirements as to the dissolved minerals is a continuing issue for the process wastewater as a result of the El Dorado Facility disposing its wastewater (beginning in September 2013) via a pipeline constructed by the City of El Dorado, Arkansas. On August 30, 2017, ADEQ issued a final NPDES permit, which included new dissolved mineral limits as anticipated. However, EDC objected to the form of the permit specifically around the limits of storm-water runoff and filed an appeal on September 27, 2017. The appeal places an automatic stay on the objectionable conditions and EDC is working with the ADEQ to obtain modifications to the renewed permit terms. We believe that the issue with the storm-water runoff should be resolved, if and when the appeal is resolved.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2012, EDC paid a penalty of $100,000 to settle an administrative complaint issued by the EPA, and thereafter handled by the U.S. Department of Justice (“DOJ”), relating to certain alleged violations of EDC’s 2004 NPDES permit from 2004 through 2010. At the time of settlement, the DOJ advised that an additional action may be brought for alleged permit violations occurring after 2010. As of the date of this report, no action has been filed by the DOJ against EDC. As a result, the cost (or range of costs) cannot currently be reasonably estimated regarding this matter. Therefore, no liability has been established for potential future penalties as of June 30, 2018.</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2006, the El Dorado Facility entered into a Consent Administrative Order (the “CAO”) that recognizes the presence of nitrate contamination in the shallow groundwater. The CAO requires EDC to perform semi-annual groundwater monitoring, continue operation of a groundwater recovery system, submit a human health and ecological risk assessment, and submit a remedial action plan. The risk assessment was submitted in August 2007. In February 2015, the ADEQ stated that El Dorado Chemical was meeting the requirements of the CAO and should continue semi-annual monitoring. The ADEQ’s review of the EDC proposed remedy is ongoing. Under the CAO, the ADEQ may require additional wells be added to the program or may allow EDC to remove wells from the program. The final remedy for shallow groundwater contamination, should any remediation be required, would be selected pursuant to a new consent administrative order and based upon the risk assessment. The cost of any additional remediation that may be required would be determined based on the results of the investigation and risk assessment, of which cost (or range of costs) cannot currently be reasonably estimated. Therefore, no liability has been established at June 30, 2018, in connection with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 We are advised by our consultant that until the study is completed there is not sufficient information to develop a meaningful and reliable estimate (or range of estimate) as to the cost of the remediation.</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 (continued)</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Our product liability insurance policies have aggregate limits of general liability totaling $100 million, with a self-insured retention of $250,000, which retention limit has been met relating to this matter. In August 2015, the trial court dismissed plaintiff’s negligence claims against us and EDC based on a duty to inspect but allowed the plaintiffs to proceed on claims for design defect and failure to warn.</w:t>
      </w:r>
    </w:p>
    <w:p>
      <w:pPr>
        <w:spacing w:after="0" w:line="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A portion of these settlements have been paid by the insurer as of June 30, 2018. While these settlements resolve the claims of a number of the claimants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June 30, 2018, no liability reserve has been established in connection with this matter, except for the unpaid portion of the settlement agreements that are covered by insurance as discussed above.</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2015, our subsidiary, EDC, was sued in the matter styled </w:t>
      </w:r>
      <w:r>
        <w:rPr>
          <w:rFonts w:ascii="Arial" w:cs="Arial" w:eastAsia="Arial" w:hAnsi="Arial"/>
          <w:sz w:val="18"/>
          <w:szCs w:val="18"/>
          <w:i w:val="1"/>
          <w:iCs w:val="1"/>
          <w:color w:val="auto"/>
        </w:rPr>
        <w:t>BAE Systems Ordinance Systems, Inc.</w:t>
      </w:r>
      <w:r>
        <w:rPr>
          <w:rFonts w:ascii="Arial" w:cs="Arial" w:eastAsia="Arial" w:hAnsi="Arial"/>
          <w:sz w:val="18"/>
          <w:szCs w:val="18"/>
          <w:color w:val="auto"/>
        </w:rPr>
        <w:t xml:space="preserve"> (“BAE”), </w:t>
      </w:r>
      <w:r>
        <w:rPr>
          <w:rFonts w:ascii="Arial" w:cs="Arial" w:eastAsia="Arial" w:hAnsi="Arial"/>
          <w:sz w:val="18"/>
          <w:szCs w:val="18"/>
          <w:i w:val="1"/>
          <w:iCs w:val="1"/>
          <w:color w:val="auto"/>
        </w:rPr>
        <w:t>et al. vs. El Dorado Chemical Company</w:t>
      </w:r>
      <w:r>
        <w:rPr>
          <w:rFonts w:ascii="Arial" w:cs="Arial" w:eastAsia="Arial" w:hAnsi="Arial"/>
          <w:sz w:val="18"/>
          <w:szCs w:val="18"/>
          <w:color w:val="auto"/>
        </w:rPr>
        <w:t>, in the United States District Court, Western District of Arkansas, for an alleged breach of a supply agreement to provide BAE certain products. In March 2018, the Court granted our motion for summary judgment and dismissed BAE’s claims against the Company.</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2015, we and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similar amount. After all such lower tier supplier and subcontractors are satisfied, the Global claim and lien amount will be reduced to approximately $5 million. In March 2016, EDC and we were served a summons in a case styled </w:t>
      </w:r>
      <w:r>
        <w:rPr>
          <w:rFonts w:ascii="Arial" w:cs="Arial" w:eastAsia="Arial" w:hAnsi="Arial"/>
          <w:sz w:val="17"/>
          <w:szCs w:val="17"/>
          <w:i w:val="1"/>
          <w:iCs w:val="1"/>
          <w:color w:val="auto"/>
        </w:rPr>
        <w:t>Global Industrial, Inc. d/b/a Global Turnaround vs. Leidos Constructors, LLC et al.,</w:t>
      </w:r>
      <w:r>
        <w:rPr>
          <w:rFonts w:ascii="Arial" w:cs="Arial" w:eastAsia="Arial" w:hAnsi="Arial"/>
          <w:sz w:val="17"/>
          <w:szCs w:val="17"/>
          <w:color w:val="auto"/>
        </w:rPr>
        <w:t xml:space="preserve"> where in Global seeks damages under breach of contract and other claims. We have requested indemnifications from Leidos under the terms of our contracts and we intend to vigorously defend against the allegation made by Global. No liability has been established in connection with the remaining $5 million claim. In addition, LSB and EDA intend to pursue recovery of any damage or loss caused by Global’s work performed at our El Dorado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involved in various other claims and legal actions.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Derivatives, Hedges, Financial Instruments and Carbon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Credits and Associated Contractual Obligation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Periodically, we are issued climate reserve tonnes (“carbon credits”) by the Climate Action Reserve in relation to a greenhouse gas reduction project (“Project”) performed at the Baytown Facility. Pursuant to the terms of the agreement with Covestro, a certain portion of the carbon credits are to be sold and the proceeds given to Covestro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June 30, 2018 and December 31, 2017, we did not have any carbon credits or related contractual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As the result of the financing transaction relating to the Senior Secured Notes and the letter agreement relating to the Series E Redeemable Preferred as discussed in Notes 6 and 10, we estimate that the contingent redemption features have fair value at June 30, 2018 since we estimate that it is probable that a portion of the shares of this preferred stock would be redeemed prior to October 25, 2023. For certain other embedded features, we estimate no fair value at June 30, 2018 based on our assessment that there is a remote probability that these features will be exercised.</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June 30, 2018, the fair value of the embedded derivative was valued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 (At December 31, 2017, we estimated that contingent redemption features had no fair value based on a remote probability of redeeming any shares of this preferred stock prior to previous put date). In addition, at June 30, 2018 and December 31, 2017, the fair value of the embedded derivative included the valuation of the participation rights, which was based on the equivalent of 303,646 shares of our common stock at $5.30 and $8.76 per share,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classifications of valuations of fair value:</w:t>
      </w:r>
    </w:p>
    <w:p>
      <w:pPr>
        <w:spacing w:after="0" w:line="11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The valuations of contracts classified as Level 1 are based on quoted prices in active markets for identical contracts. At June 30, 2018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we did not have any contracts classified as Level 1.</w:t>
      </w:r>
    </w:p>
    <w:p>
      <w:pPr>
        <w:spacing w:after="0" w:line="5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The valuations of contracts classified as Level 2 are based on quoted prices for similar contracts and valuation inputs other than quoted prices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observable for these contracts. At June 30, 2018 and December 31, 2017, we did not have any significant contracts classified as Level 2.</w:t>
      </w:r>
    </w:p>
    <w:p>
      <w:pPr>
        <w:spacing w:after="0" w:line="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The valuations of assets and liabilities classified as Level 3 are based on prices or valuation techniques that require inputs that are both unobservable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and significant to the overall fair value measurement. At June 30, 2018 and December 31, 2017, the valuations of the embedded derivative are classified as Level 3.</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embedded derivative.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Derivatives, Hedges, Financial Instruments and Carbon Credits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details our liabilities that are measured at fair value on a recurring basis at June 30, 2018 and December 31, 2017:</w:t>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620"/>
        <w:spacing w:after="0"/>
        <w:rPr>
          <w:sz w:val="20"/>
          <w:szCs w:val="20"/>
          <w:color w:val="auto"/>
        </w:rPr>
      </w:pPr>
      <w:r>
        <w:rPr>
          <w:rFonts w:ascii="Arial" w:cs="Arial" w:eastAsia="Arial" w:hAnsi="Arial"/>
          <w:sz w:val="14"/>
          <w:szCs w:val="14"/>
          <w:color w:val="auto"/>
        </w:rPr>
        <w:t>Description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0270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15" w:lineRule="exact"/>
        <w:rPr>
          <w:sz w:val="20"/>
          <w:szCs w:val="20"/>
          <w:color w:val="auto"/>
        </w:rPr>
      </w:pPr>
    </w:p>
    <w:p>
      <w:pPr>
        <w:ind w:left="140" w:right="680" w:hanging="134"/>
        <w:spacing w:after="0" w:line="258" w:lineRule="auto"/>
        <w:rPr>
          <w:sz w:val="20"/>
          <w:szCs w:val="20"/>
          <w:color w:val="auto"/>
        </w:rPr>
      </w:pPr>
      <w:r>
        <w:rPr>
          <w:rFonts w:ascii="Arial" w:cs="Arial" w:eastAsia="Arial" w:hAnsi="Arial"/>
          <w:sz w:val="18"/>
          <w:szCs w:val="18"/>
          <w:color w:val="auto"/>
        </w:rPr>
        <w:t>Liabilities - Current and noncurrent accrued and other liabilities: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Embedded derivative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Fair Value Measurements at</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June 30, 2018 Using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6"/>
                <w:szCs w:val="16"/>
                <w:color w:val="auto"/>
                <w:w w:val="90"/>
              </w:rPr>
              <w:t>Quoted Prices</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in Active</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4"/>
              </w:rPr>
              <w:t>Significant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94"/>
              </w:rPr>
              <w:t>Markets for</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4"/>
              </w:rPr>
              <w:t>Other</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Significant</w:t>
            </w: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Total Fair</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93"/>
              </w:rPr>
              <w:t>Identical</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Observable</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Unobservable</w:t>
            </w: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Value at</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color w:val="auto"/>
                <w:w w:val="87"/>
              </w:rPr>
              <w:t>June 30,</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Contracts</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6"/>
              </w:rPr>
              <w:t>Inputs</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Inputs</w:t>
            </w: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December 31,</w:t>
            </w:r>
          </w:p>
        </w:tc>
      </w:tr>
      <w:tr>
        <w:trPr>
          <w:trHeight w:val="209"/>
        </w:trPr>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color w:val="auto"/>
                <w:w w:val="89"/>
              </w:rPr>
              <w:t>2018</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1)</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color w:val="auto"/>
                <w:w w:val="96"/>
              </w:rPr>
              <w:t>(Level 2)</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color w:val="auto"/>
                <w:w w:val="96"/>
              </w:rPr>
              <w:t>(Level 3)</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color w:val="auto"/>
                <w:w w:val="95"/>
              </w:rPr>
              <w:t>2017</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81"/>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(1,838)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(1,838)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w w:val="91"/>
              </w:rPr>
              <w:t>(2,660)</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0"/>
              </w:rPr>
              <w:t>(1,838)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7"/>
              </w:rPr>
              <w:t>(1,838)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0"/>
              </w:rPr>
              <w:t>(2,660)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-608330</wp:posOffset>
            </wp:positionV>
            <wp:extent cx="724662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-179705</wp:posOffset>
            </wp:positionV>
            <wp:extent cx="72466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6560"/>
          </w:cols>
          <w:pgMar w:left="240" w:top="121" w:right="219" w:bottom="1440" w:gutter="0" w:footer="0" w:header="0"/>
          <w:type w:val="continuous"/>
        </w:sectPr>
      </w:pPr>
    </w:p>
    <w:p>
      <w:pPr>
        <w:spacing w:after="0" w:line="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There were no assets that were measured at fair value on a recurring basis at June 30, 2018 or December 31, 2017.</w:t>
      </w:r>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None of our liabilities measured at fair value on a recurring basis transferred between Level 1 and Level 2 classifications for the periods presented below. The following is a reconciliation of the beginning and ending balances for assets and liabilities measured at fair value on a recurring basis using significant unobservable inputs (Level 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Assets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6"/>
          </w:tcPr>
          <w:p>
            <w:pPr>
              <w:jc w:val="center"/>
              <w:ind w:right="260"/>
              <w:spacing w:after="0"/>
              <w:rPr>
                <w:sz w:val="20"/>
                <w:szCs w:val="20"/>
                <w:color w:val="auto"/>
              </w:rPr>
            </w:pPr>
            <w:r>
              <w:rPr>
                <w:rFonts w:ascii="Arial" w:cs="Arial" w:eastAsia="Arial" w:hAnsi="Arial"/>
                <w:sz w:val="18"/>
                <w:szCs w:val="18"/>
                <w:color w:val="auto"/>
                <w:w w:val="97"/>
              </w:rPr>
              <w:t>Liabilities</w:t>
            </w:r>
          </w:p>
        </w:tc>
        <w:tc>
          <w:tcPr>
            <w:tcW w:w="120" w:type="dxa"/>
            <w:vAlign w:val="bottom"/>
          </w:tcPr>
          <w:p>
            <w:pPr>
              <w:spacing w:after="0"/>
              <w:rPr>
                <w:sz w:val="20"/>
                <w:szCs w:val="20"/>
                <w:color w:val="auto"/>
              </w:rPr>
            </w:pPr>
          </w:p>
        </w:tc>
        <w:tc>
          <w:tcPr>
            <w:tcW w:w="940" w:type="dxa"/>
            <w:vAlign w:val="bottom"/>
            <w:gridSpan w:val="3"/>
          </w:tcPr>
          <w:p>
            <w:pPr>
              <w:jc w:val="center"/>
              <w:ind w:left="350"/>
              <w:spacing w:after="0"/>
              <w:rPr>
                <w:sz w:val="20"/>
                <w:szCs w:val="20"/>
                <w:color w:val="auto"/>
              </w:rPr>
            </w:pPr>
            <w:r>
              <w:rPr>
                <w:rFonts w:ascii="Arial" w:cs="Arial" w:eastAsia="Arial" w:hAnsi="Arial"/>
                <w:sz w:val="18"/>
                <w:szCs w:val="18"/>
                <w:color w:val="auto"/>
                <w:w w:val="85"/>
              </w:rPr>
              <w:t>Assets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8"/>
                <w:szCs w:val="18"/>
                <w:color w:val="auto"/>
                <w:w w:val="99"/>
              </w:rPr>
              <w:t>Liabilities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68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91"/>
              </w:rPr>
              <w:t>Six Months Ended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91"/>
              </w:rPr>
              <w:t>Six Months Ended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8"/>
                <w:szCs w:val="18"/>
                <w:color w:val="auto"/>
                <w:w w:val="86"/>
              </w:rPr>
              <w:t>June 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6"/>
          </w:tcPr>
          <w:p>
            <w:pPr>
              <w:jc w:val="center"/>
              <w:ind w:right="260"/>
              <w:spacing w:after="0"/>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19"/>
                <w:szCs w:val="19"/>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2018</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2018</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4"/>
              </w:rPr>
              <w:t>2017</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2018</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2018</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Transfers into Level 3</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realized and unrealized gains (losses)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included in operating results</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(867)</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for the period included</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operating results attributed to the</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unrealized gains or losses on</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 and liabilities still held at the</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reporting date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Derivatives, Hedges, Financial Instruments and Carbon Credits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gains (losses) included in operating results and the statement of operations classifications are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600"/>
              <w:spacing w:after="0"/>
              <w:rPr>
                <w:sz w:val="20"/>
                <w:szCs w:val="20"/>
                <w:color w:val="auto"/>
              </w:rPr>
            </w:pPr>
            <w:r>
              <w:rPr>
                <w:rFonts w:ascii="Arial" w:cs="Arial" w:eastAsia="Arial" w:hAnsi="Arial"/>
                <w:sz w:val="18"/>
                <w:szCs w:val="18"/>
                <w:color w:val="auto"/>
              </w:rPr>
              <w:t>Six Months Ended</w:t>
            </w:r>
          </w:p>
        </w:tc>
      </w:tr>
      <w:tr>
        <w:trPr>
          <w:trHeight w:val="230"/>
        </w:trPr>
        <w:tc>
          <w:tcPr>
            <w:tcW w:w="4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gridSpan w:val="3"/>
          </w:tcPr>
          <w:p>
            <w:pPr>
              <w:jc w:val="right"/>
              <w:ind w:right="5"/>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right"/>
              <w:ind w:right="5"/>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71"/>
              <w:spacing w:after="0"/>
              <w:rPr>
                <w:sz w:val="20"/>
                <w:szCs w:val="20"/>
                <w:color w:val="auto"/>
              </w:rPr>
            </w:pPr>
            <w:r>
              <w:rPr>
                <w:rFonts w:ascii="Arial" w:cs="Arial" w:eastAsia="Arial" w:hAnsi="Arial"/>
                <w:sz w:val="18"/>
                <w:szCs w:val="18"/>
                <w:color w:val="auto"/>
                <w:w w:val="9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04"/>
        </w:trPr>
        <w:tc>
          <w:tcPr>
            <w:tcW w:w="4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6"/>
          </w:tcPr>
          <w:p>
            <w:pPr>
              <w:jc w:val="right"/>
              <w:ind w:right="800"/>
              <w:spacing w:after="0"/>
              <w:rPr>
                <w:sz w:val="20"/>
                <w:szCs w:val="20"/>
                <w:color w:val="auto"/>
              </w:rPr>
            </w:pPr>
            <w:r>
              <w:rPr>
                <w:rFonts w:ascii="Arial" w:cs="Arial" w:eastAsia="Arial" w:hAnsi="Arial"/>
                <w:sz w:val="16"/>
                <w:szCs w:val="16"/>
                <w:color w:val="auto"/>
              </w:rPr>
              <w:t>(In Thousands)</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 net gains (losses) included in operating results:</w:t>
            </w:r>
          </w:p>
        </w:tc>
        <w:tc>
          <w:tcPr>
            <w:tcW w:w="5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Other income - Carbon credits</w:t>
            </w:r>
          </w:p>
        </w:tc>
        <w:tc>
          <w:tcPr>
            <w:tcW w:w="128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 Contractual obligations relating to</w:t>
            </w:r>
          </w:p>
        </w:tc>
        <w:tc>
          <w:tcPr>
            <w:tcW w:w="5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carbon credits</w:t>
            </w:r>
          </w:p>
        </w:tc>
        <w:tc>
          <w:tcPr>
            <w:tcW w:w="5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(687)</w:t>
            </w:r>
          </w:p>
        </w:tc>
      </w:tr>
      <w:tr>
        <w:trPr>
          <w:trHeight w:val="215"/>
        </w:trPr>
        <w:tc>
          <w:tcPr>
            <w:tcW w:w="4780" w:type="dxa"/>
            <w:vAlign w:val="bottom"/>
          </w:tcPr>
          <w:p>
            <w:pPr>
              <w:ind w:left="240"/>
              <w:spacing w:after="0"/>
              <w:rPr>
                <w:sz w:val="20"/>
                <w:szCs w:val="20"/>
                <w:color w:val="auto"/>
              </w:rPr>
            </w:pPr>
            <w:r>
              <w:rPr>
                <w:rFonts w:ascii="Arial" w:cs="Arial" w:eastAsia="Arial" w:hAnsi="Arial"/>
                <w:sz w:val="18"/>
                <w:szCs w:val="18"/>
                <w:color w:val="auto"/>
              </w:rPr>
              <w:t>Non-operating other income (expense) - embedded</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80" w:type="dxa"/>
            <w:vAlign w:val="bottom"/>
          </w:tcPr>
          <w:p>
            <w:pPr>
              <w:ind w:left="380"/>
              <w:spacing w:after="0"/>
              <w:rPr>
                <w:sz w:val="20"/>
                <w:szCs w:val="20"/>
                <w:color w:val="auto"/>
              </w:rPr>
            </w:pPr>
            <w:r>
              <w:rPr>
                <w:rFonts w:ascii="Arial" w:cs="Arial" w:eastAsia="Arial" w:hAnsi="Arial"/>
                <w:sz w:val="18"/>
                <w:szCs w:val="18"/>
                <w:color w:val="auto"/>
              </w:rPr>
              <w:t>derivative</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252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r>
      <w:tr>
        <w:trPr>
          <w:trHeight w:val="223"/>
        </w:trPr>
        <w:tc>
          <w:tcPr>
            <w:tcW w:w="47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gains (losses) included in operating results</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5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2018 and December 31, 2017, we did not have any financial instruments with fair values significantly different from their carrying amounts (excluding issuance costs, if applicable). The fair value of financial instruments is not indicative of the overall fair value of our assets and liabilities since financial instruments do not include all assets, including intangibles, and all liabilities.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2017, the President of the United States signed into law the Tax Cuts and Jobs Act of 2017 (the “Act”), making significant changes to the Internal Revenue Code. Changes include, but are not limited to, a federal corporate tax rate of 21%, additional limitations on executive compensation, and limitations on the deductibility of interest.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FASB issued ASU 2018-05, Income Taxes (Topic 740): "Amendments to SEC Paragraphs Pursuant to SEC Staff Accounting Bulletin No. 118" to address the application of GAAP in situations when a registrant does not have the necessary information available, prepared, or analyzed (including computations) in reasonable detail to complete the accounting for certain income tax effects of the Act.</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2018, the Company has not completed its accounting for all of the tax effects of the Act and has not made an adjustment to the provisional tax benefit recorded under SAB 118 at December 31, 2017. We have estimated our provision for income taxes in accordance with the Act and guidance available as of the date of this filing. Our estimated annual effective tax rate may be adjusted in subsequent interim periods, due to, among other things, additional analysis, changes in interpretations and assumptions we have made, and additional regulatory guidance that may be issued.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is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6"/>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6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center"/>
              <w:ind w:left="471"/>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right"/>
              <w:ind w:right="5"/>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6"/>
          </w:tcPr>
          <w:p>
            <w:pPr>
              <w:jc w:val="center"/>
              <w:ind w:right="360"/>
              <w:spacing w:after="0"/>
              <w:rPr>
                <w:sz w:val="20"/>
                <w:szCs w:val="20"/>
                <w:color w:val="auto"/>
              </w:rPr>
            </w:pPr>
            <w:r>
              <w:rPr>
                <w:rFonts w:ascii="Arial" w:cs="Arial" w:eastAsia="Arial" w:hAnsi="Arial"/>
                <w:sz w:val="16"/>
                <w:szCs w:val="16"/>
                <w:color w:val="auto"/>
                <w:w w:val="92"/>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w:t>
            </w:r>
          </w:p>
        </w:tc>
        <w:tc>
          <w:tcPr>
            <w:tcW w:w="1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Federal</w:t>
            </w:r>
          </w:p>
        </w:tc>
        <w:tc>
          <w:tcPr>
            <w:tcW w:w="12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4,633</w:t>
            </w:r>
          </w:p>
        </w:tc>
        <w:tc>
          <w:tcPr>
            <w:tcW w:w="14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(2,558)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3,848</w:t>
            </w:r>
          </w:p>
        </w:tc>
        <w:tc>
          <w:tcPr>
            <w:tcW w:w="14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w:t>
            </w:r>
          </w:p>
        </w:tc>
        <w:tc>
          <w:tcPr>
            <w:tcW w:w="10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Provision (benefit) for income taxes</w:t>
            </w:r>
          </w:p>
        </w:tc>
        <w:tc>
          <w:tcPr>
            <w:tcW w:w="1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six months ended June 30, 2018 and 2017, the current benefit for state income taxes shown above includes regular state income tax and provisions for uncertain state income tax positions.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Income Taxes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rate for 2018 includes the impact of permanent tax differences, limits on deductible compensation, valuation allowances, and other permanent items.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reduce our deferred tax assets by a valuation allowance if, based upon the weight of available evidence, it is more-likely-than-not that we will not realize some portion or all of the deferred tax assets. We consider relevant evidence, both positive and negative, to determine the need for a valuation allowance. Information evaluated includes our financial position and results of operations for the current and preceding years, the availability of deferred tax liabilities and tax carrybacks, as well as an evaluation of currently available information about future years. During the second quarter of 2018, we established a valuation allowance on a portion of our federal deferred tax assets. This valuation allowance is reflective of our quarterly analysis of the four sources of taxable income, including the calculation of the reversal of existing tax assets and liabilities, the impact of the recent financing activities and our 2018 second quarter results. Based on our analysis, we now believe that it is more-likely-than-not that a portion of our federal deferred tax assets will not be able to be utilized and we estimate the valuation allowance to be recorded during 2018 to be approximately $11 million. We have also determined it was more-likely-than-not that a portion of the state deferred tax assets would not be able to be utilized before expiration and we estimate the valuation allowance associated with these state deferred tax assets to be recorded during 2018 will be approximately $5.1 million.</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and additional guidance for various provisions of the Act,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tax provision for the six months ended June 30, 2018 was $3.4 million (11% provision on pre-tax loss) and the tax benefit for the six months ended June 30, 2017 was $4.0 million (24% benefit on pre-tax loss). For the first six months of 2018, the effective tax rate is less than the statutory tax rate primarily due to the impact of the valuation allowances.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2014-2017 years remain open for all purposes of examination by the U.S. Internal Revenue Service and other major tax jurisdictions. We are currently under examination by the IRS for the tax year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Securities Financing Including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issuance and sale of the Senior Secured Notes (the “Financing Transaction”) as discussed in Note 6, we entered into a letter agreement with the holder of our Series E Redeemable Preferred. The letter agreement extended the date upon which the holder of the Series E Redeemable Preferred has the right to elect to redeem the Series E Redeemable Preferred shares from August 2, 2019 to October 25, 2023. The letter agreement also provides for the amendment of certain other terms relating to the Series E Redeemable Preferred, including an increase in the per annum dividend rate payable in respect of the Series E Redeemable Preferred (a) by 0.50% on the third anniversary of the Financing Transaction, (b) by an additional 0.50% on the fourth anniversary of the Financing Transaction and (c) by an additional 1.0% on the fifth anniversary of the Financing Transaction.</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transaction associated with the letter agreement was determined to be a non-substantial modification. As a result, and as shown in the table below, a fee paid to the holder was deferred (reduction to the Series E Redeemable Preferred balance) and will be periodically accreted using the interest method through October 25, 2023, the earliest possible redemption date by the holder. In addition, the letter agreement included a contingent redemption feature, which was bifurcated from the Series E Redeemable Preferred based on the estimated fair value. This redemption feature is included in the embedded derivative as discussed in Note 8.</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2018, the Series E Redeemable Preferred has a 14% annual dividend rate and a participating right in dividends and liquidating distributions equal to 303,646 shares of common stock. Dividends accrue semi-annually in arrears and are compounded.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2018, the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Securities Financing Including Redeemable Preferred Stocks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500" w:type="dxa"/>
            <w:vAlign w:val="bottom"/>
            <w:gridSpan w:val="5"/>
          </w:tcPr>
          <w:p>
            <w:pPr>
              <w:jc w:val="right"/>
              <w:ind w:right="160"/>
              <w:spacing w:after="0"/>
              <w:rPr>
                <w:sz w:val="20"/>
                <w:szCs w:val="20"/>
                <w:color w:val="auto"/>
              </w:rPr>
            </w:pPr>
            <w:r>
              <w:rPr>
                <w:rFonts w:ascii="Arial" w:cs="Arial" w:eastAsia="Arial" w:hAnsi="Arial"/>
                <w:sz w:val="18"/>
                <w:szCs w:val="18"/>
                <w:color w:val="auto"/>
                <w:w w:val="90"/>
              </w:rPr>
              <w:t>Series E Redeemable Preferred</w:t>
            </w:r>
          </w:p>
        </w:tc>
      </w:tr>
      <w:tr>
        <w:trPr>
          <w:trHeight w:val="223"/>
        </w:trPr>
        <w:tc>
          <w:tcPr>
            <w:tcW w:w="548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r>
      <w:tr>
        <w:trPr>
          <w:trHeight w:val="204"/>
        </w:trPr>
        <w:tc>
          <w:tcPr>
            <w:tcW w:w="5480" w:type="dxa"/>
            <w:vAlign w:val="bottom"/>
          </w:tcPr>
          <w:p>
            <w:pPr>
              <w:spacing w:after="0"/>
              <w:rPr>
                <w:sz w:val="17"/>
                <w:szCs w:val="17"/>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6"/>
                <w:szCs w:val="16"/>
                <w:color w:val="auto"/>
              </w:rPr>
              <w:t>(Dollars In Thousands)</w:t>
            </w:r>
          </w:p>
        </w:tc>
      </w:tr>
      <w:tr>
        <w:trPr>
          <w:trHeight w:val="23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174,959</w:t>
            </w:r>
          </w:p>
        </w:tc>
        <w:tc>
          <w:tcPr>
            <w:tcW w:w="80" w:type="dxa"/>
            <w:vAlign w:val="bottom"/>
            <w:shd w:val="clear" w:color="auto" w:fill="CFF0FC"/>
          </w:tcPr>
          <w:p>
            <w:pPr>
              <w:spacing w:after="0"/>
              <w:rPr>
                <w:sz w:val="20"/>
                <w:szCs w:val="20"/>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Fees associated with letter agreement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(2,676)</w:t>
            </w: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Bifurcation of embedded derivative</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r>
      <w:tr>
        <w:trPr>
          <w:trHeight w:val="215"/>
        </w:trPr>
        <w:tc>
          <w:tcPr>
            <w:tcW w:w="548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80" w:type="dxa"/>
            <w:vAlign w:val="bottom"/>
          </w:tcPr>
          <w:p>
            <w:pPr>
              <w:jc w:val="center"/>
              <w:ind w:right="3550"/>
              <w:spacing w:after="0"/>
              <w:rPr>
                <w:sz w:val="20"/>
                <w:szCs w:val="20"/>
                <w:color w:val="auto"/>
              </w:rPr>
            </w:pPr>
            <w:r>
              <w:rPr>
                <w:rFonts w:ascii="Arial" w:cs="Arial" w:eastAsia="Arial" w:hAnsi="Arial"/>
                <w:sz w:val="18"/>
                <w:szCs w:val="18"/>
                <w:color w:val="auto"/>
                <w:w w:val="89"/>
              </w:rPr>
              <w:t>preferred stock</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20"/>
                <w:szCs w:val="20"/>
                <w:color w:val="auto"/>
              </w:rPr>
            </w:pPr>
          </w:p>
        </w:tc>
      </w:tr>
      <w:tr>
        <w:trPr>
          <w:trHeight w:val="215"/>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80" w:type="dxa"/>
            <w:vAlign w:val="bottom"/>
            <w:shd w:val="clear" w:color="auto" w:fill="CFF0FC"/>
          </w:tcPr>
          <w:p>
            <w:pPr>
              <w:jc w:val="center"/>
              <w:ind w:right="3550"/>
              <w:spacing w:after="0"/>
              <w:rPr>
                <w:sz w:val="20"/>
                <w:szCs w:val="20"/>
                <w:color w:val="auto"/>
              </w:rPr>
            </w:pPr>
            <w:r>
              <w:rPr>
                <w:rFonts w:ascii="Arial" w:cs="Arial" w:eastAsia="Arial" w:hAnsi="Arial"/>
                <w:sz w:val="18"/>
                <w:szCs w:val="18"/>
                <w:color w:val="auto"/>
                <w:w w:val="89"/>
              </w:rPr>
              <w:t>preferred stock</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FF0FC"/>
          </w:tcPr>
          <w:p>
            <w:pPr>
              <w:spacing w:after="0"/>
              <w:rPr>
                <w:sz w:val="20"/>
                <w:szCs w:val="20"/>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12,966</w:t>
            </w: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jc w:val="center"/>
              <w:ind w:right="3590"/>
              <w:spacing w:after="0"/>
              <w:rPr>
                <w:sz w:val="20"/>
                <w:szCs w:val="20"/>
                <w:color w:val="auto"/>
              </w:rPr>
            </w:pPr>
            <w:r>
              <w:rPr>
                <w:rFonts w:ascii="Arial" w:cs="Arial" w:eastAsia="Arial" w:hAnsi="Arial"/>
                <w:sz w:val="18"/>
                <w:szCs w:val="18"/>
                <w:color w:val="auto"/>
                <w:w w:val="88"/>
              </w:rPr>
              <w:t>Balance at June 30, 2018</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Related Party Transactions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the issuance and sale of the Senior Secured Notes as discussed in Note 6, we sold $500,000 principal amount of these notes to Daniel D. Greenwell, our Chief Executive Officer.</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No dividends were declared during the first six months of 2018 or 2017. At June 30, 2018, accumulated dividends on the Series B and Series D Preferred totaled approximately $828,000. The Series B Preferred and Series D Preferred are non-redeemable preferred stocks issued in 1986 and 2001, respectively, of which all outstanding shares are owned by the Golsen Holders.</w:t>
      </w:r>
    </w:p>
    <w:p>
      <w:pPr>
        <w:spacing w:after="0" w:line="7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During the first quarter of 2017, a death benefit agreement with Jack E. Golsen was terminated pursuant to the terms of the agreement that allowed us to terminate at any time and for any reason prior to the death of the employee. As a result, the liability of approximately $1,400,000 for the estimated death benefit associated with this agreement was extinguished and derecognized with the offset classified as operating other income in the first quarter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4"/>
          </w:tcPr>
          <w:p>
            <w:pPr>
              <w:jc w:val="center"/>
              <w:ind w:right="380"/>
              <w:spacing w:after="0"/>
              <w:rPr>
                <w:sz w:val="20"/>
                <w:szCs w:val="20"/>
                <w:color w:val="auto"/>
              </w:rPr>
            </w:pPr>
            <w:r>
              <w:rPr>
                <w:rFonts w:ascii="Arial" w:cs="Arial" w:eastAsia="Arial" w:hAnsi="Arial"/>
                <w:sz w:val="18"/>
                <w:szCs w:val="18"/>
                <w:color w:val="auto"/>
                <w:w w:val="91"/>
              </w:rPr>
              <w:t>Six Months Ended</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center"/>
              <w:ind w:left="491"/>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2017</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4"/>
        </w:trPr>
        <w:tc>
          <w:tcPr>
            <w:tcW w:w="11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center"/>
              <w:ind w:left="471"/>
              <w:spacing w:after="0"/>
              <w:rPr>
                <w:sz w:val="20"/>
                <w:szCs w:val="20"/>
                <w:color w:val="auto"/>
              </w:rPr>
            </w:pPr>
            <w:r>
              <w:rPr>
                <w:rFonts w:ascii="Arial" w:cs="Arial" w:eastAsia="Arial" w:hAnsi="Arial"/>
                <w:sz w:val="16"/>
                <w:szCs w:val="16"/>
                <w:color w:val="auto"/>
                <w:w w:val="91"/>
              </w:rPr>
              <w:t>(In Thousands)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116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2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2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Accounts payable associated with additions of</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28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13,156</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13,967</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Dividends accrued on Series E Redeemable Preferred</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12,966</w:t>
            </w:r>
          </w:p>
        </w:tc>
        <w:tc>
          <w:tcPr>
            <w:tcW w:w="4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2,401</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3,217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Accounts payable associated with debt issuance costs</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incurred relating to senior secured notes</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1,109</w:t>
            </w:r>
          </w:p>
        </w:tc>
        <w:tc>
          <w:tcPr>
            <w:tcW w:w="4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r>
      <w:tr>
        <w:trPr>
          <w:trHeight w:val="932"/>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0" w:type="dxa"/>
            <w:vAlign w:val="bottom"/>
          </w:tcPr>
          <w:p>
            <w:pPr>
              <w:jc w:val="right"/>
              <w:ind w:right="155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June 30, 2018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 for 2018</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jc w:val="both"/>
        <w:ind w:left="1040" w:hanging="505"/>
        <w:spacing w:after="0" w:line="273" w:lineRule="auto"/>
        <w:tabs>
          <w:tab w:leader="none" w:pos="1040"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Improving the on-stream rates of our chemical plants. </w:t>
      </w:r>
      <w:r>
        <w:rPr>
          <w:rFonts w:ascii="Arial" w:cs="Arial" w:eastAsia="Arial" w:hAnsi="Arial"/>
          <w:sz w:val="17"/>
          <w:szCs w:val="17"/>
          <w:color w:val="auto"/>
        </w:rPr>
        <w:t>We have several initiatives underway that we believe will assist us in improving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of our plants and allow us to produce more products for sale while lowering our cost of production. In 2017, we made the decision to upgrade our existing maintenance management system through technology enhancements and work processes to improve our predictive and preventative maintenance programs at our facilities. At that time, we also made the decision to engage outside maintenance experts to assist us in expediting its implementation and in its overall use. We have completed the initial implementation. While we are still ramping up the new maintenance management systems, we expect to see benefits in the second half of 2018.</w:t>
      </w:r>
    </w:p>
    <w:p>
      <w:pPr>
        <w:spacing w:after="0" w:line="70" w:lineRule="exact"/>
        <w:rPr>
          <w:rFonts w:ascii="Arial" w:cs="Arial" w:eastAsia="Arial" w:hAnsi="Arial"/>
          <w:sz w:val="17"/>
          <w:szCs w:val="17"/>
          <w:color w:val="auto"/>
        </w:rPr>
      </w:pPr>
    </w:p>
    <w:p>
      <w:pPr>
        <w:jc w:val="both"/>
        <w:ind w:left="1060"/>
        <w:spacing w:after="0" w:line="264" w:lineRule="auto"/>
        <w:rPr>
          <w:rFonts w:ascii="Arial" w:cs="Arial" w:eastAsia="Arial" w:hAnsi="Arial"/>
          <w:sz w:val="17"/>
          <w:szCs w:val="17"/>
          <w:color w:val="auto"/>
        </w:rPr>
      </w:pPr>
      <w:r>
        <w:rPr>
          <w:rFonts w:ascii="Arial" w:cs="Arial" w:eastAsia="Arial" w:hAnsi="Arial"/>
          <w:sz w:val="18"/>
          <w:szCs w:val="18"/>
          <w:color w:val="auto"/>
        </w:rPr>
        <w:t>Additionally, specific to our Pryor Facility, we engaged several outside engineering firms to assist us in an overall plant reliability study which will be used to enhance our reliability improvement plan for that facility. These studies were completed during the second quarter of 2018 and we are implementing numerous of the recommendations.</w:t>
      </w:r>
    </w:p>
    <w:p>
      <w:pPr>
        <w:spacing w:after="0" w:line="73" w:lineRule="exact"/>
        <w:rPr>
          <w:rFonts w:ascii="Arial" w:cs="Arial" w:eastAsia="Arial" w:hAnsi="Arial"/>
          <w:sz w:val="17"/>
          <w:szCs w:val="17"/>
          <w:color w:val="auto"/>
        </w:rPr>
      </w:pPr>
    </w:p>
    <w:p>
      <w:pPr>
        <w:jc w:val="both"/>
        <w:ind w:left="104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Focus on the Continued Improvement of Our Safety Performance. </w:t>
      </w:r>
      <w:r>
        <w:rPr>
          <w:rFonts w:ascii="Arial" w:cs="Arial" w:eastAsia="Arial" w:hAnsi="Arial"/>
          <w:sz w:val="18"/>
          <w:szCs w:val="18"/>
          <w:color w:val="auto"/>
        </w:rPr>
        <w:t>We believe that high safety standards are critical to improved plant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With that in mind, we implemented enhanced safety programs at our facilities that focus on reducing risks and improving our safety culture in 2017. The implementation and training of these programs will continue in 2018 and we expect these will benefit our on-stream rates.</w:t>
      </w:r>
    </w:p>
    <w:p>
      <w:pPr>
        <w:spacing w:after="0" w:line="78"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of the distribution of our AN and Nitric Acid products. </w:t>
      </w:r>
      <w:r>
        <w:rPr>
          <w:rFonts w:ascii="Arial" w:cs="Arial" w:eastAsia="Arial" w:hAnsi="Arial"/>
          <w:sz w:val="18"/>
          <w:szCs w:val="18"/>
          <w:color w:val="auto"/>
        </w:rPr>
        <w:t>We increased our overall sales volume of HDAN in 2017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26% through various marketing initiatives which include: (1) storing and distributing HDAN at our Pryor and Cherokee Facilities which allows us to sell to new markets and customers out of those facilities and; (2) educating growers on the additional applications for HDAN. In 2018, we expect to continue to focus on those initiatives and other initiatives in an effort to continue to grow our annual sales volumes as compared to 2017.</w:t>
      </w:r>
    </w:p>
    <w:p>
      <w:pPr>
        <w:spacing w:after="0" w:line="80" w:lineRule="exact"/>
        <w:rPr>
          <w:rFonts w:ascii="Arial" w:cs="Arial" w:eastAsia="Arial" w:hAnsi="Arial"/>
          <w:sz w:val="18"/>
          <w:szCs w:val="18"/>
          <w:color w:val="auto"/>
        </w:rPr>
      </w:pPr>
    </w:p>
    <w:p>
      <w:pPr>
        <w:ind w:left="1060" w:right="20"/>
        <w:spacing w:after="0" w:line="308" w:lineRule="auto"/>
        <w:rPr>
          <w:rFonts w:ascii="Arial" w:cs="Arial" w:eastAsia="Arial" w:hAnsi="Arial"/>
          <w:sz w:val="18"/>
          <w:szCs w:val="18"/>
          <w:color w:val="auto"/>
        </w:rPr>
      </w:pPr>
      <w:r>
        <w:rPr>
          <w:rFonts w:ascii="Arial" w:cs="Arial" w:eastAsia="Arial" w:hAnsi="Arial"/>
          <w:sz w:val="17"/>
          <w:szCs w:val="17"/>
          <w:color w:val="auto"/>
        </w:rPr>
        <w:t>In addition, through increased marketing efforts, we increased our sales volumes of nitric acid by approximately 22% in 2017. We expect to continue to focus on increasing our marketing efforts in order to expand our market for our nitric acid products in North America.</w:t>
      </w:r>
    </w:p>
    <w:p>
      <w:pPr>
        <w:spacing w:after="0" w:line="3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Margins on Sales of Our Products. </w:t>
      </w:r>
      <w:r>
        <w:rPr>
          <w:rFonts w:ascii="Arial" w:cs="Arial" w:eastAsia="Arial" w:hAnsi="Arial"/>
          <w:sz w:val="18"/>
          <w:szCs w:val="18"/>
          <w:color w:val="auto"/>
        </w:rPr>
        <w:t>Over the last several years, we have focused on increasing our sales volumes to produce at</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on-stream rates and lower our manufacturing costs per ton of product. Beginning in 2018, we expect to undertake a review of all sales to customers to determine if there are opportunities to improve the margins on sales to those customers and to explore if there are further product upgrading opportunities.</w:t>
      </w:r>
    </w:p>
    <w:p>
      <w:pPr>
        <w:spacing w:after="0" w:line="7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Reducing and controlling our cost structure. </w:t>
      </w:r>
      <w:r>
        <w:rPr>
          <w:rFonts w:ascii="Arial" w:cs="Arial" w:eastAsia="Arial" w:hAnsi="Arial"/>
          <w:sz w:val="18"/>
          <w:szCs w:val="18"/>
          <w:color w:val="auto"/>
        </w:rPr>
        <w:t>We have engaged outside experts to assist us in centralizing and expanding our Company-wide</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efforts. We materially completed our initial areas of focus during the second quarter of 2018 and we expect to begin seeing benefits from these efforts in the second half of 2018. We believe that these efforts will result in an overall reduction in expenses and capital spend in the aggregate of between $3 million to $5 million on an annualized basis.</w:t>
      </w:r>
    </w:p>
    <w:p>
      <w:pPr>
        <w:spacing w:after="0" w:line="78" w:lineRule="exact"/>
        <w:rPr>
          <w:rFonts w:ascii="Arial" w:cs="Arial" w:eastAsia="Arial" w:hAnsi="Arial"/>
          <w:sz w:val="18"/>
          <w:szCs w:val="18"/>
          <w:color w:val="auto"/>
        </w:rPr>
      </w:pPr>
    </w:p>
    <w:p>
      <w:pPr>
        <w:ind w:left="1060" w:right="20"/>
        <w:spacing w:after="0" w:line="277" w:lineRule="auto"/>
        <w:rPr>
          <w:rFonts w:ascii="Arial" w:cs="Arial" w:eastAsia="Arial" w:hAnsi="Arial"/>
          <w:sz w:val="18"/>
          <w:szCs w:val="18"/>
          <w:color w:val="auto"/>
        </w:rPr>
      </w:pPr>
      <w:r>
        <w:rPr>
          <w:rFonts w:ascii="Arial" w:cs="Arial" w:eastAsia="Arial" w:hAnsi="Arial"/>
          <w:sz w:val="18"/>
          <w:szCs w:val="18"/>
          <w:color w:val="auto"/>
        </w:rPr>
        <w:t>Since mid-2016 and through the end of 2017, we have reduced our annual SG&amp;A and plant expenses over $12 million. In addition to the procurement initiative discussed above, we believe there is still an opportunity to further reduce those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both"/>
        <w:ind w:left="1040" w:hanging="519"/>
        <w:spacing w:after="0" w:line="279"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Focus on Improving Our Capital Structure and Overall Cost of Capital. </w:t>
      </w:r>
      <w:r>
        <w:rPr>
          <w:rFonts w:ascii="Arial" w:cs="Arial" w:eastAsia="Arial" w:hAnsi="Arial"/>
          <w:sz w:val="17"/>
          <w:szCs w:val="17"/>
          <w:color w:val="auto"/>
        </w:rPr>
        <w:t>We are actively seeking ways to improve our capital structure and</w:t>
      </w:r>
      <w:r>
        <w:rPr>
          <w:rFonts w:ascii="Arial" w:cs="Arial" w:eastAsia="Arial" w:hAnsi="Arial"/>
          <w:sz w:val="17"/>
          <w:szCs w:val="17"/>
          <w:i w:val="1"/>
          <w:iCs w:val="1"/>
          <w:color w:val="auto"/>
        </w:rPr>
        <w:t xml:space="preserve"> </w:t>
      </w:r>
      <w:r>
        <w:rPr>
          <w:rFonts w:ascii="Arial" w:cs="Arial" w:eastAsia="Arial" w:hAnsi="Arial"/>
          <w:sz w:val="17"/>
          <w:szCs w:val="17"/>
          <w:color w:val="auto"/>
        </w:rPr>
        <w:t>reduce our overall cost of capital. We believe that the improving end markets for our products combined with our improved operating performance will be a benefit. As a part of that, in the second quarter of 2018, we refinanced our outstanding Senior Secured Notes. See discussion below concerning our recently completed financing transactions under Recent Developments.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6, on April 25, 2018 (the date of the “Financing Transactions”), we issued $400 million aggregate principal amount of 9.625% Senior Secured Notes due 2023 (the “Senior Secured Notes”). Most of the net proceeds from the Senior Secured Notes were used to repurchase all of our senior secured notes due 2019.</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discussed in Note 10, in connection with the financing transactions discussed above, we entered into a letter agreement with the holder of our Series E Redeemable Preferred to extend the date upon which a holder of Series E Redeemable Preferred has the right to elect to have such holder’s shares of Series E Redeemable Preferred redeemed by us from August 2, 2019 to October 25, 2023. The letter agreement also provides for the amendment of certain other terms relating to the Series E Redeemable Preferred, including an increase in the per annum dividend rate payable in respect of the Series E Redeemable Preferred</w:t>
      </w:r>
    </w:p>
    <w:p>
      <w:pPr>
        <w:spacing w:after="0" w:line="2" w:lineRule="exact"/>
        <w:rPr>
          <w:sz w:val="20"/>
          <w:szCs w:val="20"/>
          <w:color w:val="auto"/>
        </w:rPr>
      </w:pPr>
    </w:p>
    <w:p>
      <w:pPr>
        <w:ind w:firstLine="8"/>
        <w:spacing w:after="0" w:line="261"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0.50% on the third anniversary of the financing transactions, (b) by an additional 0.50% on the fourth anniversary of the financing transactions and (c) by an additional 1.0% on the fifth anniversary of the financing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of our agricultural products were approximately 56% of our total net sales for the second quarter of 2018.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recent expansions or upgrades of competitors’ facilities, and international and domestic political and economic developments, including tariffs,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changes in corn prices can affect the number of acres of corn planted in a given year, and the number of acres planted will drive the level of nitrogen fertilizer consumption, likely effecting prices. The following estimates are associated with the corn market: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0" w:type="dxa"/>
            <w:vAlign w:val="bottom"/>
          </w:tcPr>
          <w:p>
            <w:pPr>
              <w:spacing w:after="0"/>
              <w:rPr>
                <w:sz w:val="17"/>
                <w:szCs w:val="17"/>
                <w:color w:val="auto"/>
              </w:rPr>
            </w:pPr>
          </w:p>
        </w:tc>
        <w:tc>
          <w:tcPr>
            <w:tcW w:w="1720" w:type="dxa"/>
            <w:vAlign w:val="bottom"/>
            <w:gridSpan w:val="2"/>
          </w:tcPr>
          <w:p>
            <w:pPr>
              <w:ind w:left="400"/>
              <w:spacing w:after="0"/>
              <w:rPr>
                <w:sz w:val="20"/>
                <w:szCs w:val="20"/>
                <w:color w:val="auto"/>
              </w:rPr>
            </w:pPr>
            <w:r>
              <w:rPr>
                <w:rFonts w:ascii="Arial" w:cs="Arial" w:eastAsia="Arial" w:hAnsi="Arial"/>
                <w:sz w:val="16"/>
                <w:szCs w:val="16"/>
                <w:color w:val="auto"/>
              </w:rPr>
              <w:t>2019 Crop</w:t>
            </w:r>
          </w:p>
        </w:tc>
        <w:tc>
          <w:tcPr>
            <w:tcW w:w="2020" w:type="dxa"/>
            <w:vAlign w:val="bottom"/>
            <w:gridSpan w:val="2"/>
          </w:tcPr>
          <w:p>
            <w:pPr>
              <w:ind w:left="540"/>
              <w:spacing w:after="0"/>
              <w:rPr>
                <w:sz w:val="20"/>
                <w:szCs w:val="20"/>
                <w:color w:val="auto"/>
              </w:rPr>
            </w:pPr>
            <w:r>
              <w:rPr>
                <w:rFonts w:ascii="Arial" w:cs="Arial" w:eastAsia="Arial" w:hAnsi="Arial"/>
                <w:sz w:val="16"/>
                <w:szCs w:val="16"/>
                <w:color w:val="auto"/>
              </w:rPr>
              <w:t>2018 Crop</w:t>
            </w:r>
          </w:p>
        </w:tc>
        <w:tc>
          <w:tcPr>
            <w:tcW w:w="2020" w:type="dxa"/>
            <w:vAlign w:val="bottom"/>
            <w:gridSpan w:val="2"/>
          </w:tcPr>
          <w:p>
            <w:pPr>
              <w:ind w:left="560"/>
              <w:spacing w:after="0"/>
              <w:rPr>
                <w:sz w:val="20"/>
                <w:szCs w:val="20"/>
                <w:color w:val="auto"/>
              </w:rPr>
            </w:pPr>
            <w:r>
              <w:rPr>
                <w:rFonts w:ascii="Arial" w:cs="Arial" w:eastAsia="Arial" w:hAnsi="Arial"/>
                <w:sz w:val="16"/>
                <w:szCs w:val="16"/>
                <w:color w:val="auto"/>
              </w:rPr>
              <w:t>2017 Crop</w:t>
            </w:r>
          </w:p>
        </w:tc>
        <w:tc>
          <w:tcPr>
            <w:tcW w:w="1280" w:type="dxa"/>
            <w:vAlign w:val="bottom"/>
            <w:gridSpan w:val="2"/>
          </w:tcPr>
          <w:p>
            <w:pPr>
              <w:jc w:val="right"/>
              <w:ind w:right="460"/>
              <w:spacing w:after="0"/>
              <w:rPr>
                <w:sz w:val="20"/>
                <w:szCs w:val="20"/>
                <w:color w:val="auto"/>
              </w:rPr>
            </w:pPr>
            <w:r>
              <w:rPr>
                <w:rFonts w:ascii="Arial" w:cs="Arial" w:eastAsia="Arial" w:hAnsi="Arial"/>
                <w:sz w:val="16"/>
                <w:szCs w:val="16"/>
                <w:color w:val="auto"/>
                <w:w w:val="97"/>
              </w:rPr>
              <w:t>Percentage</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w w:val="97"/>
              </w:rPr>
              <w:t>Percentage</w:t>
            </w:r>
          </w:p>
        </w:tc>
      </w:tr>
      <w:tr>
        <w:trPr>
          <w:trHeight w:val="246"/>
        </w:trPr>
        <w:tc>
          <w:tcPr>
            <w:tcW w:w="3200" w:type="dxa"/>
            <w:vAlign w:val="bottom"/>
            <w:tcBorders>
              <w:bottom w:val="single" w:sz="8" w:color="CFF0FC"/>
            </w:tcBorders>
          </w:tcPr>
          <w:p>
            <w:pPr>
              <w:spacing w:after="0"/>
              <w:rPr>
                <w:sz w:val="21"/>
                <w:szCs w:val="21"/>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color w:val="auto"/>
              </w:rPr>
              <w:t xml:space="preserve">July Report </w:t>
            </w:r>
            <w:r>
              <w:rPr>
                <w:rFonts w:ascii="Arial" w:cs="Arial" w:eastAsia="Arial" w:hAnsi="Arial"/>
                <w:sz w:val="14"/>
                <w:szCs w:val="14"/>
                <w:color w:val="auto"/>
              </w:rPr>
              <w:t>(1)</w:t>
            </w:r>
          </w:p>
        </w:tc>
        <w:tc>
          <w:tcPr>
            <w:tcW w:w="220" w:type="dxa"/>
            <w:vAlign w:val="bottom"/>
            <w:tcBorders>
              <w:bottom w:val="single" w:sz="8" w:color="CFF0FC"/>
            </w:tcBorders>
          </w:tcPr>
          <w:p>
            <w:pPr>
              <w:spacing w:after="0"/>
              <w:rPr>
                <w:sz w:val="21"/>
                <w:szCs w:val="21"/>
                <w:color w:val="auto"/>
              </w:rPr>
            </w:pPr>
          </w:p>
        </w:tc>
        <w:tc>
          <w:tcPr>
            <w:tcW w:w="18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color w:val="auto"/>
              </w:rPr>
              <w:t xml:space="preserve">July Report </w:t>
            </w:r>
            <w:r>
              <w:rPr>
                <w:rFonts w:ascii="Arial" w:cs="Arial" w:eastAsia="Arial" w:hAnsi="Arial"/>
                <w:sz w:val="14"/>
                <w:szCs w:val="14"/>
                <w:color w:val="auto"/>
              </w:rPr>
              <w:t>(1)</w:t>
            </w:r>
          </w:p>
        </w:tc>
        <w:tc>
          <w:tcPr>
            <w:tcW w:w="220" w:type="dxa"/>
            <w:vAlign w:val="bottom"/>
            <w:tcBorders>
              <w:bottom w:val="single" w:sz="8" w:color="CFF0FC"/>
            </w:tcBorders>
          </w:tcPr>
          <w:p>
            <w:pPr>
              <w:spacing w:after="0"/>
              <w:rPr>
                <w:sz w:val="21"/>
                <w:szCs w:val="21"/>
                <w:color w:val="auto"/>
              </w:rPr>
            </w:pPr>
          </w:p>
        </w:tc>
        <w:tc>
          <w:tcPr>
            <w:tcW w:w="18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color w:val="auto"/>
              </w:rPr>
              <w:t xml:space="preserve">July Report </w:t>
            </w:r>
            <w:r>
              <w:rPr>
                <w:rFonts w:ascii="Arial" w:cs="Arial" w:eastAsia="Arial" w:hAnsi="Arial"/>
                <w:sz w:val="14"/>
                <w:szCs w:val="14"/>
                <w:color w:val="auto"/>
              </w:rPr>
              <w:t>(1)</w:t>
            </w:r>
          </w:p>
        </w:tc>
        <w:tc>
          <w:tcPr>
            <w:tcW w:w="22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color w:val="auto"/>
              </w:rPr>
              <w:t xml:space="preserve">Change </w:t>
            </w:r>
            <w:r>
              <w:rPr>
                <w:rFonts w:ascii="Arial" w:cs="Arial" w:eastAsia="Arial" w:hAnsi="Arial"/>
                <w:sz w:val="14"/>
                <w:szCs w:val="14"/>
                <w:color w:val="auto"/>
              </w:rPr>
              <w:t>(2)</w:t>
            </w:r>
          </w:p>
        </w:tc>
        <w:tc>
          <w:tcPr>
            <w:tcW w:w="34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color w:val="auto"/>
              </w:rPr>
              <w:t xml:space="preserve">Change </w:t>
            </w:r>
            <w:r>
              <w:rPr>
                <w:rFonts w:ascii="Arial" w:cs="Arial" w:eastAsia="Arial" w:hAnsi="Arial"/>
                <w:sz w:val="14"/>
                <w:szCs w:val="14"/>
                <w:color w:val="auto"/>
              </w:rPr>
              <w:t>(3)</w:t>
            </w:r>
          </w:p>
        </w:tc>
        <w:tc>
          <w:tcPr>
            <w:tcW w:w="220" w:type="dxa"/>
            <w:vAlign w:val="bottom"/>
            <w:tcBorders>
              <w:bottom w:val="single" w:sz="8" w:color="CFF0FC"/>
            </w:tcBorders>
          </w:tcPr>
          <w:p>
            <w:pPr>
              <w:spacing w:after="0"/>
              <w:rPr>
                <w:sz w:val="21"/>
                <w:szCs w:val="21"/>
                <w:color w:val="auto"/>
              </w:rPr>
            </w:pPr>
          </w:p>
        </w:tc>
      </w:tr>
      <w:tr>
        <w:trPr>
          <w:trHeight w:val="22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500" w:type="dxa"/>
            <w:vAlign w:val="bottom"/>
          </w:tcPr>
          <w:p>
            <w:pPr>
              <w:jc w:val="right"/>
              <w:spacing w:after="0"/>
              <w:rPr>
                <w:sz w:val="20"/>
                <w:szCs w:val="20"/>
                <w:color w:val="auto"/>
              </w:rPr>
            </w:pPr>
            <w:r>
              <w:rPr>
                <w:rFonts w:ascii="Arial" w:cs="Arial" w:eastAsia="Arial" w:hAnsi="Arial"/>
                <w:sz w:val="18"/>
                <w:szCs w:val="18"/>
                <w:color w:val="auto"/>
              </w:rPr>
              <w:t>174.0</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14,230</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14,604</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15,148</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bushels)</w:t>
            </w:r>
          </w:p>
        </w:tc>
        <w:tc>
          <w:tcPr>
            <w:tcW w:w="150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bushels)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(20.7%)</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w:t>
            </w:r>
          </w:p>
        </w:tc>
      </w:tr>
    </w:tbl>
    <w:p>
      <w:pPr>
        <w:spacing w:after="0" w:line="94" w:lineRule="exact"/>
        <w:rPr>
          <w:sz w:val="20"/>
          <w:szCs w:val="20"/>
          <w:color w:val="auto"/>
        </w:rPr>
      </w:pPr>
    </w:p>
    <w:p>
      <w:pPr>
        <w:ind w:left="760" w:right="20" w:hanging="374"/>
        <w:spacing w:after="0" w:line="258"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obtained from WASDE report dated July 12, 2018 (July Report) for the 2018/2019 (“2019 Crop”); 2017/2018 (“2018 Crop”) and 2016/2017 (“2017 Crop”) corn marketing years.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percentage change in the July Report amounts for the 2019 Crop compared to the 2018 Crop.</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percentage change in the July Report amounts for the 2018 Crop compared to the 2017 Crop.</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Since those announcements, global nitrogen fertilizer supply has outpaced global nitrogen fertilizer demand causing oversupply in the global and North American markets. The increased fertilizer supply led to lower nitrogen fertilizer sale prices during most of 2017. Also, additional domestic supply of ammonia will change the physical flow of ammonia in North America placing pressure on ammonia and other fertilizer prices until the distribution system accepts the new supply. Beginning in the fourth quarter of 2017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through the first half of 2018, we have seen an increase in fertilizer prices as imports of fertilizers have decreased significantly and the distribution of the new domestic supply has been established.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our industrial products were approximately 32% of our total net sales for the second quarter of 2018. Our industrial products sales volumes are dependent upon general economic conditions primarily in the housing, automotive, and paper industries. According to the American Chemistry Council, the U.S. economic indicators continue to be mostly positive for these sectors domestically. However, trade tension with China over recent import tariffs could lead to negative effects in these sectors. Our sales prices generally vary with the market price of our feedstock (ammonia or natural gas, as applicable) in our pricing arrangements with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Sales of our mining products were approximately 12% of our total net sales for the second quarter of 2018. </w:t>
      </w:r>
      <w:r>
        <w:rPr>
          <w:rFonts w:ascii="Arial" w:cs="Arial" w:eastAsia="Arial" w:hAnsi="Arial"/>
          <w:sz w:val="17"/>
          <w:szCs w:val="17"/>
          <w:color w:val="2E2E2E"/>
        </w:rPr>
        <w:t>Our mining products are LDAN and AN</w:t>
      </w:r>
      <w:r>
        <w:rPr>
          <w:rFonts w:ascii="Arial" w:cs="Arial" w:eastAsia="Arial" w:hAnsi="Arial"/>
          <w:sz w:val="17"/>
          <w:szCs w:val="17"/>
          <w:color w:val="auto"/>
        </w:rPr>
        <w:t xml:space="preserve"> </w:t>
      </w:r>
      <w:r>
        <w:rPr>
          <w:rFonts w:ascii="Arial" w:cs="Arial" w:eastAsia="Arial" w:hAnsi="Arial"/>
          <w:sz w:val="17"/>
          <w:szCs w:val="17"/>
          <w:color w:val="2E2E2E"/>
        </w:rPr>
        <w:t xml:space="preserve">Solutions, which are primary used as AN </w:t>
      </w:r>
      <w:r>
        <w:rPr>
          <w:rFonts w:ascii="Arial" w:cs="Arial" w:eastAsia="Arial" w:hAnsi="Arial"/>
          <w:sz w:val="17"/>
          <w:szCs w:val="17"/>
          <w:color w:val="000000"/>
        </w:rPr>
        <w:t>fuel oil and specialty emulsions for surface mining of coal and for usage in quarries and the construction</w:t>
      </w:r>
      <w:r>
        <w:rPr>
          <w:rFonts w:ascii="Arial" w:cs="Arial" w:eastAsia="Arial" w:hAnsi="Arial"/>
          <w:sz w:val="17"/>
          <w:szCs w:val="17"/>
          <w:color w:val="2E2E2E"/>
        </w:rPr>
        <w:t xml:space="preserve"> </w:t>
      </w:r>
      <w:r>
        <w:rPr>
          <w:rFonts w:ascii="Arial" w:cs="Arial" w:eastAsia="Arial" w:hAnsi="Arial"/>
          <w:sz w:val="17"/>
          <w:szCs w:val="17"/>
          <w:color w:val="000000"/>
        </w:rPr>
        <w:t>industry. EIA is forecasting U.S. coal production in 2018 will be mostly unchanged from 2017 followed by a 3.5% decrease in 2019. U.S. coal consumption is also expected to decline due to low natural gas prices and alternate renewable energy sources and recent closure of coal-fired power plants is reducing demand for coal for coal-fired electricity generation (down 4% in 2018 and 5% in 2019). EIA also expects U.S. coal domestic and export demand to decline in 2018 and 2019. Despite year over year growth in sales volumes, we believe that coal production in the U.S. continues to face significant challenges from competition from natural gas and renewable sources of energy. While we believe our plants are well-located to support the more stable coal-producing regions in the upcoming years, our current mining sales volumes are being affected by overall lower customer demand for LDAN. We do not expect a significant increase in our mining business in the near term.</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21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100" w:type="dxa"/>
            <w:vAlign w:val="bottom"/>
            <w:gridSpan w:val="5"/>
          </w:tcPr>
          <w:p>
            <w:pPr>
              <w:jc w:val="center"/>
              <w:ind w:left="255"/>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gridSpan w:val="4"/>
          </w:tcPr>
          <w:p>
            <w:pPr>
              <w:jc w:val="center"/>
              <w:ind w:right="365"/>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2.60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jc w:val="center"/>
        <w:ind w:right="950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52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are mitigated through a diligent planning process that considers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third quarter of 2018, we have planned Turnarounds at our Cherokee and El Dorado Facilities. The Turnaround at the Cherokee Facility is expected to take 35 days to complete as we move to a three-year Turnaround cycle at that facility while the Turnaround at the El Dorado Facility is expected to take 5 days to complete given the Turnaround work we have completed during our recent unplanned downtime.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Second Quarter of 2018</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net sales for the second quarter of 2018 were $103.2 million compared to $122.9 million for the same period in 2017. Our consolidated operating loss was $5.9 million compared to $0.3 million for the same period in 2017. The items impacting our operating results are discussed in more detail below and under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Second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On-Stream Rates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on-stream rates of our plants affect our production, the absorption of fixed costs of each plant and sales of our products. It is a key operating metric that we use to manage our business. In particular, we closely monitor the on-stream rates of our ammonia plants as that is the basic product used to produce all upgraded products. At our Cherokee Facility, the ammonia plant on-stream rate for the second quarter of 2018 and 2017 was 100%.</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our El Dorado Facility, the ammonia plant’s on-stream rate for the second quarter of 2018 was 62% compared to 87% for the same period of 2017. The ammonia plant’s on-stream rate for the second quarter of 2018 was impacted by maintenance completed on its boiler relating to tube failures caused by a power outage during June 2018, which event also resulted in accelerated depreciation expense of approximately $2.0 million and pulling forward some Turnaround work as discussed below.</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our Pryor Facility, the on-stream rate for the second quarter of 2018 for our ammonia plant was 65% compared to 78% for the same period of 2017. The ammonia plant’s on-stream rate was impacted by maintenance to repair leaks in its waste heat boiler.</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on-stream rates for Cherokee, El Dorado and Pryor Facilities to average approximately 94%, excluding turnaround days, for the second half of 2018.</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focus on improving on-stream rates as discussed in key initiatives for 2018 and the capital investments made to the ammonia plant to date, will improve our overall on-stream rate for the remainder of 2018.</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Turnaround Expense – El Dorado Facility (2018 only)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El Dorado’s Facility’s ammonia plant was out of service as discussed above, we elected to pull forward work previously planned for the September 2018 Turnaround, which will shorten the planned Turnaround in the third quarter to 5 days, from the previously announced 12 days, resulting in additional production and reduced Turnaround expense for the third quarter 2018. As a result, for the second quarter of 2018, Turnaround costs associated with this event were approximately $1.1 million, which are included in cost of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second quarter of 2018, average agricultural selling prices for our UAN, HDAN and ammonia increased 16%, 11% and 5%, respectively, compared to 2017 average selling prices for the same period reflecting a more favorable alignment of demand with market capacity for these products. We expect that trend to continue in the second half of 2018.</w:t>
      </w:r>
    </w:p>
    <w:p>
      <w:pPr>
        <w:spacing w:after="0" w:line="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However, average industrial selling prices for our nitric acid and ammonia declined compared to the same period of 2017 due to lower prices for natural gas and Tampa Ammonia as many of our industrial selling prices are indexed to pricing formulas tied to natural gas and Tampa ammonia benchmarks.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on Extinguishment of Debt (2018 only)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6 and above under “Recent Developments”, as the result of the financing transactions relating to the Senior Secured Notes and repurchase of the senior secured notes due 2019, we incurred a loss on extinguishment of debt of $6.0 million and expensed debt modification fees of $0.9 million, which are included in interest expense.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Valuation Allowance on Deferred Tax Assets (2018 only)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9 and below under “Critical Accounting Policies and Estimates”, during the second quarter of 2018, we established a valuation allowance on a portion of our federal deferred tax assets (resulting in an income tax provision) since we currently believe that it is more-likely-than-not that a portion of our federal deferred tax assets will not be able to be utilized. We currently estimate the valuation allowance for 2018 will be approximately $11 million.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Adoption of ASC 606 in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concerning the impact from the adoption of ASC 606 in Note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Results of Operations should be read in conjunction with our condensed consolidated financial statements for the three months ended June 30, 2018 and 2017 and accompanying notes and the discussions under “Overview” and “Liquidity and Capital Resources” included in this MD&amp;A.</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56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w w:val="90"/>
              </w:rPr>
              <w:t>Three Months Ended June 30, 2018 Compared to Three Months Ended June 30, 2017</w:t>
            </w:r>
          </w:p>
        </w:tc>
        <w:tc>
          <w:tcPr>
            <w:tcW w:w="6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220" w:type="dxa"/>
            <w:vAlign w:val="bottom"/>
            <w:gridSpan w:val="3"/>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w w:val="99"/>
              </w:rPr>
              <w:t xml:space="preserve">2018 </w:t>
            </w:r>
            <w:r>
              <w:rPr>
                <w:rFonts w:ascii="Arial" w:cs="Arial" w:eastAsia="Arial" w:hAnsi="Arial"/>
                <w:sz w:val="14"/>
                <w:szCs w:val="14"/>
                <w:color w:val="auto"/>
                <w:w w:val="99"/>
              </w:rPr>
              <w:t>(1)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Change</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5"/>
          </w:tcPr>
          <w:p>
            <w:pPr>
              <w:jc w:val="right"/>
              <w:ind w:right="120"/>
              <w:spacing w:after="0"/>
              <w:rPr>
                <w:sz w:val="20"/>
                <w:szCs w:val="20"/>
                <w:color w:val="auto"/>
              </w:rPr>
            </w:pPr>
            <w:r>
              <w:rPr>
                <w:rFonts w:ascii="Arial" w:cs="Arial" w:eastAsia="Arial" w:hAnsi="Arial"/>
                <w:sz w:val="16"/>
                <w:szCs w:val="16"/>
                <w:color w:val="auto"/>
                <w:w w:val="92"/>
              </w:rPr>
              <w:t>(Dollars In Thousands)</w:t>
            </w: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Agricultural products</w:t>
            </w:r>
          </w:p>
        </w:tc>
        <w:tc>
          <w:tcPr>
            <w:tcW w:w="5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58,024</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57,236</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53,217</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(20,442)</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Mining products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10,344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2,056</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(2,056)</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6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net sales</w:t>
            </w:r>
          </w:p>
        </w:tc>
        <w:tc>
          <w:tcPr>
            <w:tcW w:w="4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103,199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122,853</w:t>
            </w:r>
          </w:p>
        </w:tc>
        <w:tc>
          <w:tcPr>
            <w:tcW w:w="2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(19,654</w:t>
            </w:r>
          </w:p>
        </w:tc>
        <w:tc>
          <w:tcPr>
            <w:tcW w:w="360" w:type="dxa"/>
            <w:vAlign w:val="bottom"/>
            <w:tcBorders>
              <w:bottom w:val="single" w:sz="8" w:color="CFF0FC"/>
            </w:tcBorders>
          </w:tcPr>
          <w:p>
            <w:pPr>
              <w:jc w:val="right"/>
              <w:ind w:right="220"/>
              <w:spacing w:after="0"/>
              <w:rPr>
                <w:sz w:val="20"/>
                <w:szCs w:val="20"/>
                <w:color w:val="auto"/>
              </w:rPr>
            </w:pPr>
            <w:r>
              <w:rPr>
                <w:rFonts w:ascii="Arial" w:cs="Arial" w:eastAsia="Arial" w:hAnsi="Arial"/>
                <w:sz w:val="16"/>
                <w:szCs w:val="16"/>
                <w:color w:val="auto"/>
                <w:w w:val="74"/>
              </w:rPr>
              <w:t>)</w:t>
            </w:r>
          </w:p>
        </w:tc>
        <w:tc>
          <w:tcPr>
            <w:tcW w:w="1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vMerge w:val="continue"/>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3,073</w:t>
            </w:r>
          </w:p>
        </w:tc>
        <w:tc>
          <w:tcPr>
            <w:tcW w:w="220" w:type="dxa"/>
            <w:vAlign w:val="bottom"/>
          </w:tcPr>
          <w:p>
            <w:pPr>
              <w:spacing w:after="0"/>
              <w:rPr>
                <w:sz w:val="21"/>
                <w:szCs w:val="21"/>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11,340</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(8,267)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(2)</w:t>
            </w: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40" w:type="dxa"/>
            <w:vAlign w:val="bottom"/>
            <w:gridSpan w:val="2"/>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6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CFF0FC"/>
            </w:tcBorders>
            <w:gridSpan w:val="2"/>
            <w:vMerge w:val="restart"/>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6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(2,861)</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5220" w:type="dxa"/>
            <w:vAlign w:val="bottom"/>
            <w:gridSpan w:val="3"/>
          </w:tcPr>
          <w:p>
            <w:pPr>
              <w:ind w:left="580"/>
              <w:spacing w:after="0"/>
              <w:rPr>
                <w:sz w:val="20"/>
                <w:szCs w:val="20"/>
                <w:color w:val="auto"/>
              </w:rPr>
            </w:pPr>
            <w:r>
              <w:rPr>
                <w:rFonts w:ascii="Arial" w:cs="Arial" w:eastAsia="Arial" w:hAnsi="Arial"/>
                <w:sz w:val="18"/>
                <w:szCs w:val="18"/>
                <w:color w:val="auto"/>
              </w:rPr>
              <w:t>Operating loss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(5,571)</w:t>
            </w:r>
          </w:p>
        </w:tc>
        <w:tc>
          <w:tcPr>
            <w:tcW w:w="3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5,951</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(535)</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 xml:space="preserve">Provision (benefit) for income taxes </w:t>
            </w:r>
            <w:r>
              <w:rPr>
                <w:rFonts w:ascii="Arial" w:cs="Arial" w:eastAsia="Arial" w:hAnsi="Arial"/>
                <w:sz w:val="14"/>
                <w:szCs w:val="14"/>
                <w:color w:val="auto"/>
              </w:rPr>
              <w:t>(3)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(2,761)</w:t>
            </w: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7,085</w:t>
            </w:r>
          </w:p>
        </w:tc>
        <w:tc>
          <w:tcPr>
            <w:tcW w:w="3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(7,033)</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(20,473)</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 improvements:</w:t>
            </w:r>
          </w:p>
        </w:tc>
        <w:tc>
          <w:tcPr>
            <w:tcW w:w="5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8,416</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828</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27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Depreciation, depletion and amortization of property, plant</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and equipment:</w:t>
            </w:r>
          </w:p>
        </w:tc>
        <w:tc>
          <w:tcPr>
            <w:tcW w:w="5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18,930</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17,047</w:t>
            </w:r>
          </w:p>
        </w:tc>
        <w:tc>
          <w:tcPr>
            <w:tcW w:w="28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1,883</w:t>
            </w:r>
          </w:p>
        </w:tc>
        <w:tc>
          <w:tcPr>
            <w:tcW w:w="3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27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discussion concerning the impact from the adoption of ASC 606 in Note 2</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9" w:lineRule="exact"/>
        <w:rPr>
          <w:rFonts w:ascii="Arial" w:cs="Arial" w:eastAsia="Arial" w:hAnsi="Arial"/>
          <w:sz w:val="18"/>
          <w:szCs w:val="18"/>
          <w:color w:val="auto"/>
        </w:rPr>
      </w:pPr>
    </w:p>
    <w:p>
      <w:pPr>
        <w:ind w:left="760" w:right="20" w:hanging="374"/>
        <w:spacing w:after="0" w:line="261"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discussion above under “Items Affecting Comparability of Results of the Second Quarter-</w:t>
      </w:r>
      <w:r>
        <w:rPr>
          <w:rFonts w:ascii="Arial" w:cs="Arial" w:eastAsia="Arial" w:hAnsi="Arial"/>
          <w:sz w:val="18"/>
          <w:szCs w:val="18"/>
          <w:i w:val="1"/>
          <w:iCs w:val="1"/>
          <w:color w:val="auto"/>
        </w:rPr>
        <w:t>Valuation Allowance on Deferred Tax Assets</w:t>
      </w:r>
      <w:r>
        <w:rPr>
          <w:rFonts w:ascii="Arial" w:cs="Arial" w:eastAsia="Arial" w:hAnsi="Arial"/>
          <w:sz w:val="18"/>
          <w:szCs w:val="18"/>
          <w:color w:val="auto"/>
        </w:rPr>
        <w:t>” and in Note 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6"/>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5"/>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2500" w:type="dxa"/>
            <w:vAlign w:val="bottom"/>
            <w:gridSpan w:val="2"/>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36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6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110,336</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118,488</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(8,152)</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93,126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105,115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(11,989)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0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229,240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center"/>
              <w:ind w:right="17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5"/>
          </w:tcPr>
          <w:p>
            <w:pPr>
              <w:jc w:val="center"/>
              <w:ind w:left="43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4"/>
                <w:szCs w:val="14"/>
                <w:color w:val="auto"/>
              </w:rPr>
              <w:t>Average Selling Prices (price per ton)</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Change</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44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With respect to sales of Industrial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7"/>
              </w:rPr>
              <w:t>Percentage</w:t>
            </w:r>
          </w:p>
        </w:tc>
        <w:tc>
          <w:tcPr>
            <w:tcW w:w="300" w:type="dxa"/>
            <w:vAlign w:val="bottom"/>
          </w:tcPr>
          <w:p>
            <w:pPr>
              <w:spacing w:after="0"/>
              <w:rPr>
                <w:sz w:val="19"/>
                <w:szCs w:val="19"/>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Change</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41,194</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66,313</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(25,119)</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Nitric Acid, excluding Baytown</w:t>
            </w:r>
          </w:p>
        </w:tc>
        <w:tc>
          <w:tcPr>
            <w:tcW w:w="1020" w:type="dxa"/>
            <w:vAlign w:val="bottom"/>
          </w:tcPr>
          <w:p>
            <w:pPr>
              <w:jc w:val="right"/>
              <w:spacing w:after="0"/>
              <w:rPr>
                <w:sz w:val="20"/>
                <w:szCs w:val="20"/>
                <w:color w:val="auto"/>
              </w:rPr>
            </w:pPr>
            <w:r>
              <w:rPr>
                <w:rFonts w:ascii="Arial" w:cs="Arial" w:eastAsia="Arial" w:hAnsi="Arial"/>
                <w:sz w:val="18"/>
                <w:szCs w:val="18"/>
                <w:color w:val="auto"/>
              </w:rPr>
              <w:t>33,504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24,806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8,698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Industrial Products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8,015</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99,134</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(15,212)</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6"/>
              </w:rPr>
              <w:t>Percentage</w:t>
            </w: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Change</w:t>
            </w: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8"/>
              </w:rPr>
              <w:t>Change</w:t>
            </w: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LDAN/HDAN/AN Solution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48,001</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39,940</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8,061</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Agricultural sales were relatively unchanged although we had an increase in average selling prices of UAN, HDAN and ammonia partially offset by decreased sales volume of those products. Excluding the impact from the adoption of ASC 606 discussed below, industrial sales decreased due to both lower volume and average selling sales prices. Mining sales increased due primarily to increased overall sales volume.</w:t>
      </w:r>
    </w:p>
    <w:p>
      <w:pPr>
        <w:spacing w:after="0" w:line="73" w:lineRule="exact"/>
        <w:rPr>
          <w:sz w:val="20"/>
          <w:szCs w:val="20"/>
          <w:color w:val="auto"/>
        </w:rPr>
      </w:pPr>
    </w:p>
    <w:p>
      <w:pPr>
        <w:jc w:val="both"/>
        <w:ind w:left="1040" w:hanging="519"/>
        <w:spacing w:after="0" w:line="279"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Agricultural products sales increased slightly from higher overall average sales prices primarily relating to UAN and HDAN as a result of improved commodity pricing. This increase was partially offset by lower sales volume for HDAN and UAN. The decrease in sales volume primarily relates to lower on-stream rates experienced during the second quarter at our El Dorado and Pryor Facilities. HDAN sales volumes were also negatively affected by higher import levels of this product during the second quarter of 2018.</w:t>
      </w:r>
    </w:p>
    <w:p>
      <w:pPr>
        <w:spacing w:after="0" w:line="63" w:lineRule="exact"/>
        <w:rPr>
          <w:rFonts w:ascii="Arial" w:cs="Arial" w:eastAsia="Arial" w:hAnsi="Arial"/>
          <w:sz w:val="17"/>
          <w:szCs w:val="17"/>
          <w:color w:val="auto"/>
        </w:rPr>
      </w:pPr>
    </w:p>
    <w:p>
      <w:pPr>
        <w:jc w:val="both"/>
        <w:ind w:left="1040" w:hanging="519"/>
        <w:spacing w:after="0" w:line="255"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noted in the table above, industrial acids and other industrial chemical products sales decreased approximately 38%, primarily due to the impact from adopting ASC 606 as discussed in Note 2. Since we adopted ASC 606 using the “modified retrospective” method, the prior periods were not restated. If we had applied ASC 606 to these specific arrangements during the second quarter of 2017, net sales for these products would have been reduced by approximately $15.6 million. Excluding this impact, sales decreased due to lower sales volume of industrial ammonia sales, including the impact from lower on-stream rates at our El Dorado Facility and lower overall average selling prices related to lower overall Tampa ammonia and natural gas benchmarks. This decrease was partially offset by higher sales volume of nitric acid and AN solution.</w:t>
      </w:r>
    </w:p>
    <w:p>
      <w:pPr>
        <w:spacing w:after="0" w:line="81"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Mining product sales increased as a result of higher sales volume of LDAN from our El Dorado Facility driven by our sales and marketing efforts and new contract awards. Our average selling prices were relatively consistent during these two periods.</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products consisted of sales from our former business that sold industrial machinery and related components, which business was sold in October 2017, and minimal natural gas sales from our former working interests in certain natural gas properties that were sold during the second quarter of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noted in the table above, our gross profit decreased $8.3 million compared to the second quarter of 2017, which primarily relates to:</w:t>
      </w:r>
    </w:p>
    <w:p>
      <w:pPr>
        <w:spacing w:after="0" w:line="117" w:lineRule="exact"/>
        <w:rPr>
          <w:sz w:val="20"/>
          <w:szCs w:val="20"/>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lower on-stream rates, including lost absorption of fixed costs, increased Turnaround and other repair expenses, and costs to purchase ammonia used to upgrade to other downstream products;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recovery of precious metals of $2.9 million in the second quarter of 2017, which metals had accumulated over time within certain manufacturing equipment;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incurred relating to certain key initiatives associated with improving the reliability of our plants and our overall procurement processes, partially offset by;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average natural gas prices.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In addition, the second quarter of 2017 included gross profit associated with our former industrial machinery business and working interests in certain natural gas properties, both sold in 2017 as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for the second quarter of 2018 was $0.5 million compared to $3.4 million for the same period in 2017. During the second quarter of 2017, we incurred a total net loss on the sale of our working interest of certain natural gas properties and other non-core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second quarter of 2018 was $11.7 million compared to $9.3 million for the same period in 2017. The increase relates primarily to the issuance of the Senior Secured Notes and approximately $0.9 million related to debt modification fees associated with this financing transaction as discussed above under “Recent Developments” and in Note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second quarter of 2018, we incurred a loss on extinguishment of debt of approximately $6.0 million as discussed above under “Items Affecting Comparability of Results of the Second Quarter-</w:t>
      </w: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and in Note 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provision for income taxes for the second quarter of 2018 was $4.3 million compared to a benefit of $2.8 million for the same period in 2017. The resulting effective tax rate for the second quarters of 2018 and 2017 was 19% (provision on pre-tax loss) and 28% (benefit on pre-tax loss), respectively. For the second quarter of 2018, the effective tax rate was impacted by adjustments made to our valuation allowances. Also see discussion above under “Items Affecting Comparability of Results of the Second Quarter-</w:t>
      </w:r>
      <w:r>
        <w:rPr>
          <w:rFonts w:ascii="Arial" w:cs="Arial" w:eastAsia="Arial" w:hAnsi="Arial"/>
          <w:sz w:val="17"/>
          <w:szCs w:val="17"/>
          <w:i w:val="1"/>
          <w:iCs w:val="1"/>
          <w:color w:val="auto"/>
        </w:rPr>
        <w:t>Valuation Allowance on Deferred Tax Assets</w:t>
      </w:r>
      <w:r>
        <w:rPr>
          <w:rFonts w:ascii="Arial" w:cs="Arial" w:eastAsia="Arial" w:hAnsi="Arial"/>
          <w:sz w:val="17"/>
          <w:szCs w:val="17"/>
          <w:color w:val="auto"/>
        </w:rPr>
        <w:t>” and in Note 9.</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Six Months Ended June 30, 2018 Compared to Six Months Ended June 30,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6"/>
          </w:tcPr>
          <w:p>
            <w:pPr>
              <w:jc w:val="right"/>
              <w:ind w:right="820"/>
              <w:spacing w:after="0"/>
              <w:rPr>
                <w:sz w:val="20"/>
                <w:szCs w:val="20"/>
                <w:color w:val="auto"/>
              </w:rPr>
            </w:pPr>
            <w:r>
              <w:rPr>
                <w:rFonts w:ascii="Arial" w:cs="Arial" w:eastAsia="Arial" w:hAnsi="Arial"/>
                <w:sz w:val="18"/>
                <w:szCs w:val="18"/>
                <w:color w:val="auto"/>
              </w:rPr>
              <w:t>Six Months Ended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jc w:val="right"/>
              <w:ind w:right="10"/>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Percentage</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9"/>
              </w:rPr>
              <w:t xml:space="preserve">2018 </w:t>
            </w:r>
            <w:r>
              <w:rPr>
                <w:rFonts w:ascii="Arial" w:cs="Arial" w:eastAsia="Arial" w:hAnsi="Arial"/>
                <w:sz w:val="14"/>
                <w:szCs w:val="14"/>
                <w:color w:val="auto"/>
                <w:w w:val="99"/>
              </w:rPr>
              <w:t>(1)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Change</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6"/>
                <w:szCs w:val="16"/>
                <w:color w:val="auto"/>
                <w:w w:val="91"/>
              </w:rPr>
              <w:t>(Dollars In Thousands)</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110,293</w:t>
            </w:r>
          </w:p>
        </w:tc>
        <w:tc>
          <w:tcPr>
            <w:tcW w:w="60" w:type="dxa"/>
            <w:vAlign w:val="bottom"/>
          </w:tcPr>
          <w:p>
            <w:pPr>
              <w:spacing w:after="0"/>
              <w:rPr>
                <w:sz w:val="19"/>
                <w:szCs w:val="19"/>
                <w:color w:val="auto"/>
              </w:rPr>
            </w:pP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120,499</w:t>
            </w:r>
          </w:p>
        </w:tc>
        <w:tc>
          <w:tcPr>
            <w:tcW w:w="3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(10,206)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102,097</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(31,185)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22,444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17,960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4,484</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5,641</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(5,641)</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203,649</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246,197</w:t>
            </w:r>
          </w:p>
        </w:tc>
        <w:tc>
          <w:tcPr>
            <w:tcW w:w="3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(42,548)</w:t>
            </w:r>
          </w:p>
        </w:tc>
        <w:tc>
          <w:tcPr>
            <w:tcW w:w="3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vMerge w:val="continue"/>
          </w:tcPr>
          <w:p>
            <w:pPr>
              <w:spacing w:after="0"/>
              <w:rPr>
                <w:sz w:val="21"/>
                <w:szCs w:val="21"/>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13,166</w:t>
            </w:r>
          </w:p>
        </w:tc>
        <w:tc>
          <w:tcPr>
            <w:tcW w:w="60" w:type="dxa"/>
            <w:vAlign w:val="bottom"/>
          </w:tcPr>
          <w:p>
            <w:pPr>
              <w:spacing w:after="0"/>
              <w:rPr>
                <w:sz w:val="21"/>
                <w:szCs w:val="21"/>
                <w:color w:val="auto"/>
              </w:rPr>
            </w:pP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22,955</w:t>
            </w:r>
          </w:p>
        </w:tc>
        <w:tc>
          <w:tcPr>
            <w:tcW w:w="30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(9,789)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(2)</w:t>
            </w: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gridSpan w:val="2"/>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72"/>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CFF0FC"/>
            </w:tcBorders>
            <w:gridSpan w:val="2"/>
            <w:vMerge w:val="restart"/>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6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3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(1,704)</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58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18,650</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5,951</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(1,675)</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 xml:space="preserve">Provision (benefit) for income taxes </w:t>
            </w:r>
            <w:r>
              <w:rPr>
                <w:rFonts w:ascii="Arial" w:cs="Arial" w:eastAsia="Arial" w:hAnsi="Arial"/>
                <w:sz w:val="14"/>
                <w:szCs w:val="14"/>
                <w:color w:val="auto"/>
              </w:rPr>
              <w:t>(3)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(4,043)</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7,445</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(33,097)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(13,019)</w:t>
            </w:r>
          </w:p>
        </w:tc>
        <w:tc>
          <w:tcPr>
            <w:tcW w:w="3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improvements:</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11,419</w:t>
            </w:r>
          </w:p>
        </w:tc>
        <w:tc>
          <w:tcPr>
            <w:tcW w:w="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15,216</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(3,797)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w w:val="99"/>
              </w:rPr>
              <w:t>Depreciation, depletion and amortization of property, plant</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equipment: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36,666</w:t>
            </w:r>
          </w:p>
        </w:tc>
        <w:tc>
          <w:tcPr>
            <w:tcW w:w="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34,162</w:t>
            </w: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20" w:right="4980" w:hanging="5342"/>
        <w:spacing w:after="0" w:line="528" w:lineRule="auto"/>
        <w:tabs>
          <w:tab w:leader="none" w:pos="7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discussion concerning the impact from the adoption of ASC 606 in Note 2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left="800" w:hanging="5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3" w:lineRule="exact"/>
        <w:rPr>
          <w:rFonts w:ascii="Arial" w:cs="Arial" w:eastAsia="Arial" w:hAnsi="Arial"/>
          <w:sz w:val="18"/>
          <w:szCs w:val="18"/>
          <w:color w:val="auto"/>
        </w:rPr>
      </w:pPr>
    </w:p>
    <w:p>
      <w:pPr>
        <w:ind w:left="800" w:hanging="522"/>
        <w:spacing w:after="0" w:line="261"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discussion above under “Items Affecting Comparability of Results of the Second Quarter-</w:t>
      </w:r>
      <w:r>
        <w:rPr>
          <w:rFonts w:ascii="Arial" w:cs="Arial" w:eastAsia="Arial" w:hAnsi="Arial"/>
          <w:sz w:val="18"/>
          <w:szCs w:val="18"/>
          <w:i w:val="1"/>
          <w:iCs w:val="1"/>
          <w:color w:val="auto"/>
        </w:rPr>
        <w:t>Valuation Allowance on Deferred Tax Assets</w:t>
      </w:r>
      <w:r>
        <w:rPr>
          <w:rFonts w:ascii="Arial" w:cs="Arial" w:eastAsia="Arial" w:hAnsi="Arial"/>
          <w:sz w:val="18"/>
          <w:szCs w:val="18"/>
          <w:color w:val="auto"/>
        </w:rPr>
        <w:t>” and in Note 9.</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tables provide key sales metrics for the agricultural products:</w:t>
      </w:r>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7"/>
          </w:tcPr>
          <w:p>
            <w:pPr>
              <w:jc w:val="center"/>
              <w:ind w:right="220"/>
              <w:spacing w:after="0"/>
              <w:rPr>
                <w:sz w:val="20"/>
                <w:szCs w:val="20"/>
                <w:color w:val="auto"/>
              </w:rPr>
            </w:pPr>
            <w:r>
              <w:rPr>
                <w:rFonts w:ascii="Arial" w:cs="Arial" w:eastAsia="Arial" w:hAnsi="Arial"/>
                <w:sz w:val="18"/>
                <w:szCs w:val="18"/>
                <w:color w:val="auto"/>
                <w:w w:val="91"/>
              </w:rPr>
              <w:t>Six Months Ended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5"/>
          </w:tcPr>
          <w:p>
            <w:pPr>
              <w:jc w:val="center"/>
              <w:ind w:left="490"/>
              <w:spacing w:after="0"/>
              <w:rPr>
                <w:sz w:val="20"/>
                <w:szCs w:val="20"/>
                <w:color w:val="auto"/>
              </w:rPr>
            </w:pPr>
            <w:r>
              <w:rPr>
                <w:rFonts w:ascii="Arial" w:cs="Arial" w:eastAsia="Arial" w:hAnsi="Arial"/>
                <w:sz w:val="18"/>
                <w:szCs w:val="18"/>
                <w:color w:val="auto"/>
                <w:w w:val="86"/>
              </w:rPr>
              <w:t>June 30,</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6"/>
              </w:rPr>
              <w:t>Percentage</w:t>
            </w: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2600" w:type="dxa"/>
            <w:vAlign w:val="bottom"/>
            <w:gridSpan w:val="2"/>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Change</w:t>
            </w: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8"/>
              </w:rPr>
              <w:t>Change</w:t>
            </w:r>
          </w:p>
        </w:tc>
      </w:tr>
      <w:tr>
        <w:trPr>
          <w:trHeight w:val="217"/>
        </w:trPr>
        <w:tc>
          <w:tcPr>
            <w:tcW w:w="37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212,538</w:t>
            </w: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276,272</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(63,734)</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185,839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196,286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(10,447)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37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45,952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56,490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(10,538)</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17,005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23"/>
        </w:trPr>
        <w:tc>
          <w:tcPr>
            <w:tcW w:w="370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461,334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546,788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7"/>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0"/>
        </w:trPr>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5"/>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6"/>
              </w:rPr>
              <w:t>Percentage</w:t>
            </w:r>
          </w:p>
        </w:tc>
      </w:tr>
      <w:tr>
        <w:trPr>
          <w:trHeight w:val="237"/>
        </w:trPr>
        <w:tc>
          <w:tcPr>
            <w:tcW w:w="3700" w:type="dxa"/>
            <w:vAlign w:val="bottom"/>
            <w:gridSpan w:val="3"/>
          </w:tcPr>
          <w:p>
            <w:pPr>
              <w:spacing w:after="0"/>
              <w:rPr>
                <w:sz w:val="20"/>
                <w:szCs w:val="20"/>
                <w:color w:val="auto"/>
              </w:rPr>
            </w:pPr>
            <w:r>
              <w:rPr>
                <w:rFonts w:ascii="Arial" w:cs="Arial" w:eastAsia="Arial" w:hAnsi="Arial"/>
                <w:sz w:val="14"/>
                <w:szCs w:val="14"/>
                <w:color w:val="auto"/>
              </w:rPr>
              <w:t>Average Selling Prices (price per ton)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Change</w:t>
            </w: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8"/>
              </w:rPr>
              <w:t>Change</w:t>
            </w:r>
          </w:p>
        </w:tc>
      </w:tr>
      <w:tr>
        <w:trPr>
          <w:trHeight w:val="217"/>
        </w:trPr>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37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7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Six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7"/>
              </w:rPr>
              <w:t>Percentage</w:t>
            </w:r>
          </w:p>
        </w:tc>
        <w:tc>
          <w:tcPr>
            <w:tcW w:w="300" w:type="dxa"/>
            <w:vAlign w:val="bottom"/>
          </w:tcPr>
          <w:p>
            <w:pPr>
              <w:spacing w:after="0"/>
              <w:rPr>
                <w:sz w:val="19"/>
                <w:szCs w:val="19"/>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109,292</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110,237</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Nitric Acid, excluding Baytown</w:t>
            </w:r>
          </w:p>
        </w:tc>
        <w:tc>
          <w:tcPr>
            <w:tcW w:w="1020" w:type="dxa"/>
            <w:vAlign w:val="bottom"/>
          </w:tcPr>
          <w:p>
            <w:pPr>
              <w:jc w:val="right"/>
              <w:spacing w:after="0"/>
              <w:rPr>
                <w:sz w:val="20"/>
                <w:szCs w:val="20"/>
                <w:color w:val="auto"/>
              </w:rPr>
            </w:pPr>
            <w:r>
              <w:rPr>
                <w:rFonts w:ascii="Arial" w:cs="Arial" w:eastAsia="Arial" w:hAnsi="Arial"/>
                <w:sz w:val="18"/>
                <w:szCs w:val="18"/>
                <w:color w:val="auto"/>
              </w:rPr>
              <w:t>53,717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53,934</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Industrial Products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15,417</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180,845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179,588</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Six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6"/>
              </w:rPr>
              <w:t>Percentage</w:t>
            </w: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Change</w:t>
            </w: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8"/>
              </w:rPr>
              <w:t>Change</w:t>
            </w: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LDAN/HDAN/AN Solution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86,180</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68,559</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17,621</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Agricultural sales were lower primarily due a decrease in sales volume for our products partially offset by higher average prices for HDAN, UAN and ammonia. Excluding the impact from the adoption of ASC 606 discussed below, industrial sales improved due primarily to higher selling prices. Mining sales were higher primarily due to an increase in sales volume.</w:t>
      </w:r>
    </w:p>
    <w:p>
      <w:pPr>
        <w:spacing w:after="0" w:line="73" w:lineRule="exact"/>
        <w:rPr>
          <w:sz w:val="20"/>
          <w:szCs w:val="20"/>
          <w:color w:val="auto"/>
        </w:rPr>
      </w:pPr>
    </w:p>
    <w:p>
      <w:pPr>
        <w:jc w:val="both"/>
        <w:ind w:left="1040" w:hanging="519"/>
        <w:spacing w:after="0" w:line="276"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Agricultural products sales decreased primarily from lower sales volume for all of our agricultural products. The decrease in sales volume primarily relates to the timing of barge shipments of UAN (3,000 tons and 24,000 tons in first half of 2018 and 2017, respectively), weather-driven planting delays for the spring application season, rail and truck transportation shortages, lower on-stream rates experienced at our three facilities and increased levels of HDAN imports during the first half of 2018. This decrease was partially offset by higher overall average sales prices primarily relating to HDAN, UAN and ammonia as the result of improved commodity pricing.</w:t>
      </w:r>
    </w:p>
    <w:p>
      <w:pPr>
        <w:spacing w:after="0" w:line="64" w:lineRule="exact"/>
        <w:rPr>
          <w:rFonts w:ascii="Arial" w:cs="Arial" w:eastAsia="Arial" w:hAnsi="Arial"/>
          <w:sz w:val="17"/>
          <w:szCs w:val="17"/>
          <w:color w:val="auto"/>
        </w:rPr>
      </w:pPr>
    </w:p>
    <w:p>
      <w:pPr>
        <w:jc w:val="both"/>
        <w:ind w:left="1040" w:hanging="519"/>
        <w:spacing w:after="0" w:line="25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noted in the table above, industrial acids and other industrial chemical products sales decreased approximately 31%, primarily due to the impact from adopting ASC 606 as discussed in Note 2. Since we adopted ASC 606 using the “modified retrospective” method, the prior periods were not restated. If we had applied ASC 606 to these specific arrangements during the first half of 2017, net sales for these products would have been reduced by approximately $33.3 million. Excluding this impact, sales increased due primarily to improved average selling prices for our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Mining products sales increased primarily as a result of higher sales volume of LDAN from our El Dorado Facility related to new contract awards partially offset by lower sales of AN Solution.</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products consisted of sales from our former business that sold industrial machinery and related components, which business was sold in October 2017, and minimal natural gas sales from our former working interests in certain natural gas properties that were sold during the second quarter of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noted in the table above, we recognized a gross profit of $13.2 million for the first half of 2018 compared to a $23.0 million for the same period of 2017, or a decrease of $9.8 million which primarily relates to:</w:t>
      </w:r>
    </w:p>
    <w:p>
      <w:pPr>
        <w:spacing w:after="0" w:line="62" w:lineRule="exact"/>
        <w:rPr>
          <w:sz w:val="20"/>
          <w:szCs w:val="20"/>
          <w:color w:val="auto"/>
        </w:rPr>
      </w:pPr>
    </w:p>
    <w:p>
      <w:pPr>
        <w:ind w:left="10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lower on-stream rates, including lost absorption of fixed costs, increased Turnaround and other repair expenses, and costs to purchase ammonia used to upgrade to other downstream products;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recovery of precious metals of $2.9 million in the second quarter of 2017, which metals had accumulated over time within certain manufacturing equipment;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incurred relating to certain key initiatives associated with improving the reliability of our plants and our overall procurement processes, partially offset by;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average natural gas prices.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first half of 2017 included gross profit associated with our former industrial machinery business and working interests in certain natural gas properties, both sold in 2017 as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SG&amp;A expenses were $16.7 million for the first half of 2018, a decrease of $2.1 million compared to the same period in 2017. The decrease was primarily driven by a $0.7 million reduction in compensation-related costs, $0.5 million reduction in professional fees, insurance and other miscellaneous costs, $1.1 million of SG&amp;A expenses related to former working interests in certain natural gas properties and our former business that sold industrial machinery and related components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 net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other expense for the first six months of 2018 was $0.5 million compared to $2.2 million for the first six months of 2017. During the first half of 2018, other expense primarily relates to the total net loss from the sales of certain non-core assets. For the same period in 2017, we incurred a total net loss of $4.2 million primarily relating to the sale of our working interest of certain natural gas properties and other non-core assets partially offset by the extinguishment and derecognition of a liability of approximately $1.4 million associated with a death benefit agreement and approximately $0.6 million of miscellaneous other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first six months of 2018 was $21 million compared to $18.7 million for the same period in 2017. The increase relates primarily to the issuance of the Senior Secured Notes and approximately $0.9 million related to debt modification fees associated with this financing transaction as discussed above under “Recent Developments” and in Note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half of 2018, we incurred a loss on extinguishment of debt of approximately $6.0 million as discussed above under “Items Affecting Comparability of Results of the Second Quarter-</w:t>
      </w: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and in Note 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Non-operating other income for the first half of 2018 was $1.2 million compared to non-operating expense of $0.4 million for the same period in 2017, which primarily relates to the change in fair value of the embedded derivative included in the Series E Preferred.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provision for income taxes from continuing operations for the first six months of 2018 was $3.4 million compared to a benefit of $4.0 million for the same period in 2017. The resulting effective tax rate for the first half of 2018 and 2017 was 11% (provision on pre-tax loss) and 24% (benefit on pre-tax loss), respectively. For the second quarter of 2018, the effective tax rate was impacted by adjustments made to our valuation allowances. Also see discussion above under “Items Affecting Comparability of Results of the Second Quarter-</w:t>
      </w:r>
      <w:r>
        <w:rPr>
          <w:rFonts w:ascii="Arial" w:cs="Arial" w:eastAsia="Arial" w:hAnsi="Arial"/>
          <w:sz w:val="17"/>
          <w:szCs w:val="17"/>
          <w:i w:val="1"/>
          <w:iCs w:val="1"/>
          <w:color w:val="auto"/>
        </w:rPr>
        <w:t>Valuation Allowance on Deferred Tax Assets</w:t>
      </w:r>
      <w:r>
        <w:rPr>
          <w:rFonts w:ascii="Arial" w:cs="Arial" w:eastAsia="Arial" w:hAnsi="Arial"/>
          <w:sz w:val="17"/>
          <w:szCs w:val="17"/>
          <w:color w:val="auto"/>
        </w:rPr>
        <w:t>” and in Note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continuing cash flow activities for the first half of 2018 and 2017:</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4"/>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color w:val="auto"/>
                <w:w w:val="95"/>
              </w:rPr>
              <w:t>(In Thousands)</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operating activities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33,344</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investing activities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(10,352)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financing activities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(9,395)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(17,332)</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continuing operating activities was $33.3 million for the first half of 2018 compared to $22.9 million for the first half of 2017, a change of $10.4 million.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half of 2018, the net cash provided is the result of a net loss of $33.1 million plus adjustments of $36.7 million for depreciation and amortization of PP&amp;E, $6.0 million for a loss on extinguishment of debt, $3.4 million for deferred taxes and other adjustments of $5.6 million and net cash provided of approximately $14.7 million primarily from our working capital.</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first half of 2017, the net cash provided is the result of a net loss of $13.0 million plus an adjustment of $34.2 million relating to depreciation, depletion and amortization of PP&amp;E, plus other adjustments of $2.9 million and net cash used of $1.2 million primarily from our working capital.</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continuing investing activities was $10.4 million for the first half of 2018 compared to net cash provided of $3.4 million in the prior period, a change of $13.8 million.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half of 2018, the net cash used is the result of $15.4 million for expenditures for PP&amp;E partially offset by $2.7 million representing the remaining proceeds from an indemnity escrow account associated with the sale of the Climate Control business in 2016, $1.5 million relating to a recovery from a property insurance claim and $0.8 million from net proceeds from the sale of PP&amp;E and other investing activities.</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first half of 2017, the net cash provided is the result of net proceeds from the sale of our former working interests in certain natural gas properties and other property and equipment of $18.8 million and $1.0 million of other investing activities partially offset by expenditures for PP&amp;E of $16.4 million.</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by continuing financing activities was $9.4 million for the first half of 2018 compared to $17.3 million for the first half of 2017, a change of $7.9 million.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half of 2018, the net cash used consists of $375 million repayment of the senior secured notes due 2019, payments of $12.2 million on other long-term debt and short-term financing, payments of $9.8 million for debt-related cost, payments of $2.7 million of fees associated with the modification of terms of our Series E Redeemable Preferred and $0.2 million of other financing activities partially offset by net proceeds of $390.5 million from the Senior Secured Notes.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first half of 2017, the net cash used consists of payments of $17.2 million on long-term debt and short-term financing and approximately $0.1 million of other financing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4"/>
          </w:tcPr>
          <w:p>
            <w:pPr>
              <w:jc w:val="right"/>
              <w:ind w:right="25"/>
              <w:spacing w:after="0"/>
              <w:rPr>
                <w:sz w:val="20"/>
                <w:szCs w:val="20"/>
                <w:color w:val="auto"/>
              </w:rPr>
            </w:pPr>
            <w:r>
              <w:rPr>
                <w:rFonts w:ascii="Arial" w:cs="Arial" w:eastAsia="Arial" w:hAnsi="Arial"/>
                <w:sz w:val="18"/>
                <w:szCs w:val="18"/>
                <w:color w:val="auto"/>
                <w:w w:val="91"/>
              </w:rPr>
              <w:t>The following is our total current cash, long-term debt, redeemable preferred stock and stockholders’ equity:</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5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6"/>
          </w:tcPr>
          <w:p>
            <w:pPr>
              <w:jc w:val="right"/>
              <w:ind w:right="12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5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debt:</w:t>
            </w:r>
          </w:p>
        </w:tc>
        <w:tc>
          <w:tcPr>
            <w:tcW w:w="17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53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9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 xml:space="preserve">Secured Promissory Note due 2023 </w:t>
            </w:r>
            <w:r>
              <w:rPr>
                <w:rFonts w:ascii="Arial" w:cs="Arial" w:eastAsia="Arial" w:hAnsi="Arial"/>
                <w:sz w:val="14"/>
                <w:szCs w:val="14"/>
                <w:color w:val="auto"/>
              </w:rPr>
              <w:t>(1)</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Senior Secured Notes due 2019 </w:t>
            </w:r>
            <w:r>
              <w:rPr>
                <w:rFonts w:ascii="Arial" w:cs="Arial" w:eastAsia="Arial" w:hAnsi="Arial"/>
                <w:sz w:val="14"/>
                <w:szCs w:val="14"/>
                <w:color w:val="auto"/>
              </w:rPr>
              <w:t>(1)</w:t>
            </w: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Secured Promissory Note due 2019</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Secured Promissory Note due 2023</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including current portion, net</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580"/>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(2)</w:t>
            </w:r>
          </w:p>
        </w:tc>
        <w:tc>
          <w:tcPr>
            <w:tcW w:w="1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gridSpan w:val="2"/>
            <w:vMerge w:val="continue"/>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7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discussion under “Overview-Recent Developments” and Note 6.</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Liquidation preference of $198 million as of June 30, 2018.</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$50 million. As of June 30, 2018, our Working Capital Revolver Loan was undrawn and had approximately $34.3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planned capital expenditures of approximately $15.6 million for the remainder of 2018 for a total in 2018 of approximately $31.0 million. They do not include any capital spending to increase capacity.</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above under “Overview-Recent Developments” and Note 6, on April 25, 2018, most of the net proceeds from the Senior Secured Notes were used to repurchase all of our senior secured notes due 2019. Also, from the net proceeds, we paid or will pay related transaction fees, expenses and redemption premiums. Any remaining net proceeds will be used for general corporate purposes.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below under “Loan Agreements” and in Notes 6, the Working Capital Revolver Loan requires, among other things, that we meet certain financial covenants. The Working Capital Revolver Loan does not include financial covenant requirements unless a defined covenant trigger event has occurred and is continuing. As of June 30, 2018, no trigger event had occurred.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Senior Secured Notes due 2019 and 2023 </w:t>
      </w:r>
      <w:r>
        <w:rPr>
          <w:rFonts w:ascii="Arial" w:cs="Arial" w:eastAsia="Arial" w:hAnsi="Arial"/>
          <w:sz w:val="18"/>
          <w:szCs w:val="18"/>
          <w:color w:val="auto"/>
        </w:rPr>
        <w:t>- See discussion above under “Overview-Recent Developments” and in Note 6. As a result of the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our interest expense has increased and is expected to increase compared to 2017.</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Secured Promissory Note due 2019 </w:t>
      </w:r>
      <w:r>
        <w:rPr>
          <w:rFonts w:ascii="Arial" w:cs="Arial" w:eastAsia="Arial" w:hAnsi="Arial"/>
          <w:sz w:val="18"/>
          <w:szCs w:val="18"/>
          <w:color w:val="auto"/>
        </w:rPr>
        <w:t>- EDC is party to a secured promissory note due June 29, 2019. This promissory note bears interest at the annual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5.73%. Principal and interest are payable in equal monthly installments with a final balloon payment of approximately $6.7 million. This promissory note is secured by the cogeneration facility equipment and is guaranteed by LSB.</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Secured Promissory Note due 2021 </w:t>
      </w:r>
      <w:r>
        <w:rPr>
          <w:rFonts w:ascii="Arial" w:cs="Arial" w:eastAsia="Arial" w:hAnsi="Arial"/>
          <w:sz w:val="18"/>
          <w:szCs w:val="18"/>
          <w:color w:val="auto"/>
        </w:rPr>
        <w:t>- EDC is party to a secured promissory note due March 26, 2021. This promissory note bears interest at the annual rate</w:t>
      </w:r>
      <w:r>
        <w:rPr>
          <w:rFonts w:ascii="Arial" w:cs="Arial" w:eastAsia="Arial" w:hAnsi="Arial"/>
          <w:sz w:val="18"/>
          <w:szCs w:val="18"/>
          <w:b w:val="1"/>
          <w:bCs w:val="1"/>
          <w:color w:val="auto"/>
        </w:rPr>
        <w:t xml:space="preserve"> </w:t>
      </w:r>
      <w:r>
        <w:rPr>
          <w:rFonts w:ascii="Arial" w:cs="Arial" w:eastAsia="Arial" w:hAnsi="Arial"/>
          <w:sz w:val="18"/>
          <w:szCs w:val="18"/>
          <w:color w:val="auto"/>
        </w:rPr>
        <w:t>of 5.25%. Principal and interest are payable in monthly installments. This promissory note is secured by a natural gas pipeline at the El Dorado Facility and is guaranteed by LSB.</w:t>
      </w:r>
    </w:p>
    <w:p>
      <w:pPr>
        <w:spacing w:after="0" w:line="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Secured Promissory Note due 2023 </w:t>
      </w:r>
      <w:r>
        <w:rPr>
          <w:rFonts w:ascii="Arial" w:cs="Arial" w:eastAsia="Arial" w:hAnsi="Arial"/>
          <w:sz w:val="17"/>
          <w:szCs w:val="17"/>
          <w:color w:val="auto"/>
        </w:rPr>
        <w:t>- EDA is party to a secured promissory note due in May 2023. Principal and interest are payable in equal monthly</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installments with a final balloon payment of approximately $6.1 million. This promissory note bears interest at a rate that is based on the monthly LIBOR rate plus a base rate for a total of 6.25%. This promissory note is secured by the ammonia storage tank and related systems and is guaranteed by LSB.</w:t>
      </w:r>
    </w:p>
    <w:p>
      <w:pPr>
        <w:spacing w:after="0" w:line="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June 30, 2018, there were no outstanding borrowings under the Working Capital Revolver Loan and the net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borrowings under our Working Capital Revolver Loan was approximately $34.3 million, based on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eligible collateral, less outstanding letters of credit as of that date. Also see discussion above under “Compliance with Long-Term Debt Covenants.</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Redemption of Series E Redeemable Preferred </w:t>
      </w:r>
      <w:r>
        <w:rPr>
          <w:rFonts w:ascii="Arial" w:cs="Arial" w:eastAsia="Arial" w:hAnsi="Arial"/>
          <w:sz w:val="18"/>
          <w:szCs w:val="18"/>
          <w:color w:val="auto"/>
        </w:rPr>
        <w:t>– At June 30, 2018, there were 139,768 outstanding shares of Series E Redeemable Preferred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liquidation preference (par value plus accrued dividends) was $198 million.</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Capital Improvements – First Six Months of 2018</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six months of 2018, capital improvements relating to PP&amp;E were $11.4 million, which improvements include approximately $0.7 million associated with maintaining compliance with environmental laws, regulations and guidelines. The capital improvements were funded primarily from cash and working capital.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improvements for the remainder of 2018.</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we incurred expenses of $1.7 million during the first six months of 2018 in connection with environmental projects. For the remainder of 2018, we expect to incur expenses ranging from $1.8 million to $2.1 million in connection with additional environmental projects. However, it is possible that the actual costs could be significantly different than our estimates.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Dividends on the Series E Redeemable Preferred are cumulative and payable semi-annually (May 1 and November 1) in arrears at the current annual rate of 14% of the liquidation value of $1,000 per share, but such annual rate will increase beginning on April 25, 2021 as discussed above under “Overview-Recent Developments and Note 10. Each share of Series E Redeemable Preferred is entitled to receive a semi-annual dividend, only when declared by our Board. In addition, dividends in arrears at the dividend date, until paid, shall compound additional dividends at the current annual rate of 14%, but such annual rate will increase beginning on April 25, 2021. The current semi-annual compounded dividend is approximately $97.04 per share for the current aggregate semi-annual dividend of $13.6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June 30, 2018, the amount of accumulated dividends on the Series E Redeemable Preferred was approximately $58.4 million.</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the amount of accumulated dividends on the Series D Preferred and Series B Preferred totaled approximately $0.8 million. All shares of the Series D Preferred and Series B Preferred are owned by the Golsen Holders. There are no optional or mandatory redemption rights with respect to the Series B Preferred or Series D Preferred.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2018, we have agreed to indemnify the sureties for payments, up to $10 million, made by them in respect of such bonds. These insurance bonds are expected to expire or be renewed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1 and 2 for recently adopted and issued accounting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See “Critical Accounting Policies and Estimates,” Item 7 of our 2017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2 – Other Environmental Matters of Note 7 included in this Form 10-Q and the lawsuits styled </w:t>
      </w:r>
      <w:r>
        <w:rPr>
          <w:rFonts w:ascii="Arial" w:cs="Arial" w:eastAsia="Arial" w:hAnsi="Arial"/>
          <w:sz w:val="16"/>
          <w:szCs w:val="16"/>
          <w:i w:val="1"/>
          <w:iCs w:val="1"/>
          <w:color w:val="auto"/>
        </w:rPr>
        <w:t>City of West, Texas vs. CF Industries, Inc., et al.,</w:t>
      </w:r>
      <w:r>
        <w:rPr>
          <w:rFonts w:ascii="Arial" w:cs="Arial" w:eastAsia="Arial" w:hAnsi="Arial"/>
          <w:sz w:val="16"/>
          <w:szCs w:val="16"/>
          <w:color w:val="auto"/>
        </w:rPr>
        <w:t xml:space="preserve"> discussed under “Other Pending, Threatened or Settled Litigation” of Note 7.</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9, during the second quarter of 2018, we established a valuation allowance on a portion of our federal deferred tax assets. This valuation allowance is reflective of our quarterly analysis of the four sources of taxable income, including the calculation of the reversal of existing tax assets and liabilities, the impact of the recent financing activities and our 2018 second quarter results. Based on our analysis, we now believe that it is more-likely-than-not that a portion of our federal deferred tax assets will not be able to be utilized and we estimate the valuation allowance to be recorded during 2018 to be approximately $11 million.</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under “Series E Redeemable Preferred” in Note 10, the amended terms associated with the letter agreement was determined to be a non-substantial modification, which determination included estimates regarding the probability, timing and amount of shares redeemed prior to October 25, 2023, the earliest possible redemption date by the holder.</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values of the redeemable preferred stocks are being increased by periodic accretions (recorded to retained earnings and included in determining income or loss per share) using the interest method so that the carrying amount will equal the redemption value as of October 25, 2023.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 is also reasonably possible that the estimates and assumptions utilized as of June 30, 2018 could change in the near 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2017 Form 10-K, we had certain contractual obligations as of December 31, 2017, with various maturity dates, showing payments due for the next five years and thereafter related to the following:</w:t>
      </w:r>
    </w:p>
    <w:p>
      <w:pPr>
        <w:spacing w:after="0" w:line="7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dividends accrued on 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“Overview-Recent Developments and Notes 6 and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and operating cash flows are impacted by changes in market prices of ammonia and natural gas and changes in market interest rates.</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June 30, 2018, we had no embedded losses associated with sales commitments with firm sales prices.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June 30, 2018, we did not have any natural gas derivatives not meeting the definition of a normal purchase and sale.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June 30, 2018, we did not have any outstanding borrowings on this credit facility. We are also exposed to interest rate risk on variable rate borrowings for certain commercial loans in the amount of approximately $15.7 million. We currently do not hedge our interest rate risk associated with these variable interest loans.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2018. Based on this evaluation, the Company's Chief Executive Officer and Chief Financial Officer have concluded that the Company's disclosure controls and procedures were effective as of June 30, 2018, at the reasonable assurance level.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8"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best returns for our stockholders;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101"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outlook for the coal industry;</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enter into additional borrowings;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benefits from the El Dorado expansion project;</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6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90" w:lineRule="exact"/>
        <w:rPr>
          <w:rFonts w:ascii="Arial" w:cs="Arial" w:eastAsia="Arial" w:hAnsi="Arial"/>
          <w:sz w:val="18"/>
          <w:szCs w:val="18"/>
          <w:color w:val="auto"/>
        </w:rPr>
      </w:pPr>
    </w:p>
    <w:p>
      <w:pPr>
        <w:ind w:left="520" w:hanging="519"/>
        <w:spacing w:after="0" w:line="246"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61"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natural gas, and ammonia;</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2017.</w:t>
      </w: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436" w:right="239" w:bottom="1440" w:gutter="0" w:footer="0" w:header="0"/>
        </w:sectPr>
      </w:pPr>
    </w:p>
    <w:bookmarkStart w:id="40" w:name="page41"/>
    <w:bookmarkEnd w:id="40"/>
    <w:p>
      <w:pPr>
        <w:jc w:val="both"/>
        <w:ind w:right="20"/>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Act</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Tax Cuts and Jobs Act of 2017.</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Arkansas Department of Environmental Quality.</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AN</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Ammonium nitrate.</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Accounting Standard Update.</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BAE</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BAE Systems Ordinance Systems, Inc.</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A consent administrative order.</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Chevron Environmental Management Company.</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Climate Control Business</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Former business conducted through the Climate Control Group.</w:t>
            </w:r>
          </w:p>
        </w:tc>
      </w:tr>
      <w:tr>
        <w:trPr>
          <w:trHeight w:val="296"/>
        </w:trPr>
        <w:tc>
          <w:tcPr>
            <w:tcW w:w="274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w w:val="93"/>
              </w:rPr>
              <w:t>- The party with whom our subsidiary in Baytown has entered into an agreement for supply of nitric acid through at</w:t>
            </w:r>
          </w:p>
        </w:tc>
      </w:tr>
      <w:tr>
        <w:trPr>
          <w:trHeight w:val="230"/>
        </w:trPr>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least June 2021, the Covestro Agreement.</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DOJ</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U.S. Department of Justice.</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El Dorado Ammonia L.L.C.</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El Dorado Chemical Company.</w:t>
            </w:r>
          </w:p>
        </w:tc>
      </w:tr>
      <w:tr>
        <w:trPr>
          <w:trHeight w:val="338"/>
        </w:trPr>
        <w:tc>
          <w:tcPr>
            <w:tcW w:w="2740" w:type="dxa"/>
            <w:vAlign w:val="bottom"/>
          </w:tcPr>
          <w:p>
            <w:pPr>
              <w:spacing w:after="0"/>
              <w:rPr>
                <w:sz w:val="20"/>
                <w:szCs w:val="20"/>
                <w:color w:val="auto"/>
              </w:rPr>
            </w:pPr>
            <w:r>
              <w:rPr>
                <w:rFonts w:ascii="Arial" w:cs="Arial" w:eastAsia="Arial" w:hAnsi="Arial"/>
                <w:sz w:val="18"/>
                <w:szCs w:val="18"/>
                <w:b w:val="1"/>
                <w:bCs w:val="1"/>
                <w:color w:val="auto"/>
              </w:rPr>
              <w:t>EDN</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El Dorado Nitrogen L.L.C.</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EIA</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U.S. Energy Information Administration.</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w w:val="99"/>
              </w:rPr>
              <w:t>Environmental and Health Laws</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U.S. Environmental Protection Agency.</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Financial Accounting Standards Board.</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96"/>
        </w:trPr>
        <w:tc>
          <w:tcPr>
            <w:tcW w:w="2740" w:type="dxa"/>
            <w:vAlign w:val="bottom"/>
          </w:tcPr>
          <w:p>
            <w:pPr>
              <w:spacing w:after="0"/>
              <w:rPr>
                <w:sz w:val="20"/>
                <w:szCs w:val="20"/>
                <w:color w:val="auto"/>
              </w:rPr>
            </w:pPr>
            <w:r>
              <w:rPr>
                <w:rFonts w:ascii="Arial" w:cs="Arial" w:eastAsia="Arial" w:hAnsi="Arial"/>
                <w:sz w:val="18"/>
                <w:szCs w:val="18"/>
                <w:b w:val="1"/>
                <w:bCs w:val="1"/>
                <w:color w:val="auto"/>
              </w:rPr>
              <w:t>Financing Transaction</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w w:val="91"/>
              </w:rPr>
              <w:t>- A letter agreement with the holder of our Series E Redeemable Preferred entered in connection is the issuance and</w:t>
            </w:r>
          </w:p>
        </w:tc>
      </w:tr>
      <w:tr>
        <w:trPr>
          <w:trHeight w:val="230"/>
        </w:trPr>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sale of the Senior Secured Notes.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U. S. Generally Accepted Accounting Principles.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Global Industrial, Inc., a subcontractor asserting mechanics liens for work rendered to LSB and EDC.</w:t>
            </w:r>
          </w:p>
        </w:tc>
      </w:tr>
      <w:tr>
        <w:trPr>
          <w:trHeight w:val="296"/>
        </w:trPr>
        <w:tc>
          <w:tcPr>
            <w:tcW w:w="274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w w:val="97"/>
              </w:rPr>
              <w:t>- Jack E. Golsen, our Executive Chairman of the Board, and Barry H. Golsen, a member of the Board, entities</w:t>
            </w:r>
          </w:p>
        </w:tc>
      </w:tr>
      <w:tr>
        <w:trPr>
          <w:trHeight w:val="230"/>
        </w:trPr>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owned by them and trusts for which they possess voting or dispositive power as trustee.</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Kansas Department of Health and Environment.</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Indenture</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agreement governing the 9.625% Senior Secured Notes.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527"/>
        </w:trPr>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Pr>
          <w:p>
            <w:pPr>
              <w:ind w:left="2540"/>
              <w:spacing w:after="0"/>
              <w:rPr>
                <w:sz w:val="20"/>
                <w:szCs w:val="20"/>
                <w:color w:val="auto"/>
              </w:rPr>
            </w:pPr>
            <w:r>
              <w:rPr>
                <w:rFonts w:ascii="Arial" w:cs="Arial" w:eastAsia="Arial" w:hAnsi="Arial"/>
                <w:sz w:val="18"/>
                <w:szCs w:val="18"/>
                <w:color w:val="auto"/>
              </w:rPr>
              <w:t>41</w:t>
            </w:r>
          </w:p>
        </w:tc>
      </w:tr>
      <w:tr>
        <w:trPr>
          <w:trHeight w:val="115"/>
        </w:trPr>
        <w:tc>
          <w:tcPr>
            <w:tcW w:w="2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36"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Leidos Constructors L.L.C.</w:t>
            </w:r>
          </w:p>
        </w:tc>
      </w:tr>
      <w:tr>
        <w:trPr>
          <w:trHeight w:val="296"/>
        </w:trPr>
        <w:tc>
          <w:tcPr>
            <w:tcW w:w="282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1"/>
              </w:rPr>
              <w:t>- The Series E Redeemable Preferred liquidation preference of $1,000 per share plus accrued and unpaid dividends</w:t>
            </w:r>
          </w:p>
        </w:tc>
      </w:tr>
      <w:tr>
        <w:trPr>
          <w:trHeight w:val="230"/>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plus the participation rights value.</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LSB Industries, Inc.</w:t>
            </w:r>
          </w:p>
        </w:tc>
      </w:tr>
      <w:tr>
        <w:trPr>
          <w:trHeight w:val="296"/>
        </w:trPr>
        <w:tc>
          <w:tcPr>
            <w:tcW w:w="282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4"/>
              </w:rPr>
              <w:t>- Management’s Discussion and Analysis of Financial Condition and Results of Operations found in Item 7 of this</w:t>
            </w:r>
          </w:p>
        </w:tc>
      </w:tr>
      <w:tr>
        <w:trPr>
          <w:trHeight w:val="230"/>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report.</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Notes Trustee</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Trustee and collateral agent, Wilmington Trust, National Association for our Senior Secured Notes.</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National Pollutant Discharge Elimination System.</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The Oklahoma Department of Environmental Quality.</w:t>
            </w: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Pryor Chemical Company.</w:t>
            </w: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Plant, property and equipment.</w:t>
            </w: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LSB Funding L.L.C.</w:t>
            </w: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The U.S. Securities and Exchange Commission.</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2019</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A secured promissory note between EDC and a lender which matures in June 2019.</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2021</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A secured promissory note between EDC and a lender which matures in March 2021.</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2023</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A secured promissory note between EDA and a lender which matures in May 2023.</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The Senior Secured Notes with a current interest rate of 9.625% which mature in May 2023.</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296"/>
        </w:trPr>
        <w:tc>
          <w:tcPr>
            <w:tcW w:w="2820" w:type="dxa"/>
            <w:vAlign w:val="bottom"/>
          </w:tcPr>
          <w:p>
            <w:pPr>
              <w:spacing w:after="0"/>
              <w:rPr>
                <w:sz w:val="20"/>
                <w:szCs w:val="20"/>
                <w:color w:val="auto"/>
              </w:rPr>
            </w:pPr>
            <w:r>
              <w:rPr>
                <w:rFonts w:ascii="Arial" w:cs="Arial" w:eastAsia="Arial" w:hAnsi="Arial"/>
                <w:sz w:val="18"/>
                <w:szCs w:val="18"/>
                <w:b w:val="1"/>
                <w:bCs w:val="1"/>
                <w:color w:val="auto"/>
              </w:rPr>
              <w:t>Series E Redeemable Preferred</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4"/>
              </w:rPr>
              <w:t>- The 14% Series E Redeemable Preferred stock with participating rights and liquidating distributions based on a</w:t>
            </w:r>
          </w:p>
        </w:tc>
      </w:tr>
      <w:tr>
        <w:trPr>
          <w:trHeight w:val="230"/>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certain number of shares of our common stock.</w:t>
            </w:r>
          </w:p>
        </w:tc>
      </w:tr>
      <w:tr>
        <w:trPr>
          <w:trHeight w:val="296"/>
        </w:trPr>
        <w:tc>
          <w:tcPr>
            <w:tcW w:w="2820" w:type="dxa"/>
            <w:vAlign w:val="bottom"/>
          </w:tcPr>
          <w:p>
            <w:pPr>
              <w:spacing w:after="0"/>
              <w:rPr>
                <w:sz w:val="20"/>
                <w:szCs w:val="20"/>
                <w:color w:val="auto"/>
              </w:rPr>
            </w:pPr>
            <w:r>
              <w:rPr>
                <w:rFonts w:ascii="Arial" w:cs="Arial" w:eastAsia="Arial" w:hAnsi="Arial"/>
                <w:sz w:val="18"/>
                <w:szCs w:val="18"/>
                <w:b w:val="1"/>
                <w:bCs w:val="1"/>
                <w:color w:val="auto"/>
              </w:rPr>
              <w:t>Series F Redeemable Preferred</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1"/>
              </w:rPr>
              <w:t>- The Series F Redeemable Preferred stock with one share to vote as a single class on all matters with our common</w:t>
            </w:r>
          </w:p>
        </w:tc>
      </w:tr>
      <w:tr>
        <w:trPr>
          <w:trHeight w:val="230"/>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stock equal to 456,225 shares of our common stock.</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Selling, general and administrative expense.</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A planned major maintenance activity.</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Urea ammonium nitrate.</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United States.</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West Fertilizer Company.</w:t>
            </w:r>
          </w:p>
        </w:tc>
      </w:tr>
      <w:tr>
        <w:trPr>
          <w:trHeight w:val="292"/>
        </w:trPr>
        <w:tc>
          <w:tcPr>
            <w:tcW w:w="282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Our secured revolving credit facility.</w:t>
            </w:r>
          </w:p>
        </w:tc>
      </w:t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260" w:type="dxa"/>
            <w:vAlign w:val="bottom"/>
          </w:tcPr>
          <w:p>
            <w:pPr>
              <w:spacing w:after="0"/>
              <w:rPr>
                <w:sz w:val="20"/>
                <w:szCs w:val="20"/>
                <w:color w:val="auto"/>
              </w:rPr>
            </w:pPr>
          </w:p>
        </w:tc>
        <w:tc>
          <w:tcPr>
            <w:tcW w:w="8360" w:type="dxa"/>
            <w:vAlign w:val="bottom"/>
          </w:tcPr>
          <w:p>
            <w:pPr>
              <w:spacing w:after="0"/>
              <w:rPr>
                <w:sz w:val="20"/>
                <w:szCs w:val="20"/>
                <w:color w:val="auto"/>
              </w:rPr>
            </w:pP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Zena</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Zena Energy L.L.C., a former subsidiary of the Company.</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2017 Crop</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Corn crop marketing year (September 1 - August 31), which began in 2016 and ended in 2017.</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2018 Crop</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Corn crop marketing year (September 1 - August 31), which began in 2017 and ending in 2018.</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2019 Crop</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Corn crop marketing year (September 1 - August 31), which began in 2018 and ending in 2019.</w:t>
            </w:r>
          </w:p>
        </w:tc>
      </w:tr>
      <w:tr>
        <w:trPr>
          <w:trHeight w:val="473"/>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60" w:type="dxa"/>
            <w:vAlign w:val="bottom"/>
          </w:tcPr>
          <w:p>
            <w:pPr>
              <w:ind w:left="2540"/>
              <w:spacing w:after="0"/>
              <w:rPr>
                <w:sz w:val="20"/>
                <w:szCs w:val="20"/>
                <w:color w:val="auto"/>
              </w:rPr>
            </w:pPr>
            <w:r>
              <w:rPr>
                <w:rFonts w:ascii="Arial" w:cs="Arial" w:eastAsia="Arial" w:hAnsi="Arial"/>
                <w:sz w:val="18"/>
                <w:szCs w:val="18"/>
                <w:color w:val="auto"/>
              </w:rPr>
              <w:t>42</w:t>
            </w:r>
          </w:p>
        </w:tc>
      </w:tr>
      <w:tr>
        <w:trPr>
          <w:trHeight w:val="115"/>
        </w:trPr>
        <w:tc>
          <w:tcPr>
            <w:tcW w:w="2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7—Commitments and Contingencies—Legal Matters” in the Notes to the Condensed Consolidated Financial Statements in this Form 10-Q.</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Item 1A of our 2017 Form 10-K, filed with the SEC on February 26, 2018 for our discussion regarding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44.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Index to Exhibits Item 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Exhibit Title</w:t>
            </w:r>
          </w:p>
        </w:tc>
        <w:tc>
          <w:tcPr>
            <w:tcW w:w="100" w:type="dxa"/>
            <w:vAlign w:val="bottom"/>
          </w:tcPr>
          <w:p>
            <w:pPr>
              <w:spacing w:after="0"/>
              <w:rPr>
                <w:sz w:val="14"/>
                <w:szCs w:val="14"/>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Following</w:t>
            </w:r>
          </w:p>
        </w:tc>
        <w:tc>
          <w:tcPr>
            <w:tcW w:w="0" w:type="dxa"/>
            <w:vAlign w:val="bottom"/>
          </w:tcPr>
          <w:p>
            <w:pPr>
              <w:spacing w:after="0"/>
              <w:rPr>
                <w:sz w:val="1"/>
                <w:szCs w:val="1"/>
                <w:color w:val="auto"/>
              </w:rPr>
            </w:pPr>
          </w:p>
        </w:tc>
      </w:tr>
      <w:tr>
        <w:trPr>
          <w:trHeight w:val="291"/>
        </w:trPr>
        <w:tc>
          <w:tcPr>
            <w:tcW w:w="1160" w:type="dxa"/>
            <w:vAlign w:val="bottom"/>
          </w:tcPr>
          <w:p>
            <w:pPr>
              <w:ind w:left="100"/>
              <w:spacing w:after="0"/>
              <w:rPr>
                <w:sz w:val="20"/>
                <w:szCs w:val="20"/>
                <w:color w:val="auto"/>
              </w:rPr>
            </w:pPr>
            <w:r>
              <w:rPr>
                <w:rFonts w:ascii="Arial" w:cs="Arial" w:eastAsia="Arial" w:hAnsi="Arial"/>
                <w:sz w:val="18"/>
                <w:szCs w:val="18"/>
                <w:color w:val="auto"/>
              </w:rPr>
              <w:t>3(i).1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0"/>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Restated Certificate of Incorporation of LSB Industries, Inc., dated January</w:t>
              </w:r>
            </w:hyperlink>
          </w:p>
        </w:tc>
        <w:tc>
          <w:tcPr>
            <w:tcW w:w="4660" w:type="dxa"/>
            <w:vAlign w:val="bottom"/>
            <w:gridSpan w:val="2"/>
          </w:tcPr>
          <w:p>
            <w:pPr>
              <w:jc w:val="center"/>
              <w:ind w:left="10"/>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72">
              <w:r>
                <w:rPr>
                  <w:rFonts w:ascii="Arial" w:cs="Arial" w:eastAsia="Arial" w:hAnsi="Arial"/>
                  <w:sz w:val="18"/>
                  <w:szCs w:val="18"/>
                  <w:color w:val="0000EE"/>
                  <w:w w:val="88"/>
                </w:rPr>
                <w:t>21, 1977, as amended August 27, 1987</w:t>
              </w:r>
            </w:hyperlink>
          </w:p>
        </w:tc>
        <w:tc>
          <w:tcPr>
            <w:tcW w:w="2660" w:type="dxa"/>
            <w:vAlign w:val="bottom"/>
            <w:gridSpan w:val="6"/>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3(ii).1</w:t>
            </w:r>
          </w:p>
        </w:tc>
        <w:tc>
          <w:tcPr>
            <w:tcW w:w="140" w:type="dxa"/>
            <w:vAlign w:val="bottom"/>
          </w:tcPr>
          <w:p>
            <w:pPr>
              <w:spacing w:after="0"/>
              <w:rPr>
                <w:sz w:val="24"/>
                <w:szCs w:val="24"/>
                <w:color w:val="auto"/>
              </w:rPr>
            </w:pPr>
          </w:p>
        </w:tc>
        <w:tc>
          <w:tcPr>
            <w:tcW w:w="5460" w:type="dxa"/>
            <w:vAlign w:val="bottom"/>
            <w:gridSpan w:val="10"/>
          </w:tcPr>
          <w:p>
            <w:pPr>
              <w:spacing w:after="0"/>
              <w:rPr>
                <w:rFonts w:ascii="Arial" w:cs="Arial" w:eastAsia="Arial" w:hAnsi="Arial"/>
                <w:sz w:val="18"/>
                <w:szCs w:val="18"/>
                <w:color w:val="0000EE"/>
                <w:w w:val="94"/>
              </w:rPr>
            </w:pPr>
            <w:hyperlink r:id="rId73">
              <w:r>
                <w:rPr>
                  <w:rFonts w:ascii="Arial" w:cs="Arial" w:eastAsia="Arial" w:hAnsi="Arial"/>
                  <w:sz w:val="18"/>
                  <w:szCs w:val="18"/>
                  <w:color w:val="0000EE"/>
                  <w:w w:val="94"/>
                </w:rPr>
                <w:t>Amended and Restated Bylaws of LSB Industries, Inc. dated August 20,</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2009, as amended February 18, 2010, January 17, 2014, February 4, 2014</w:t>
              </w:r>
            </w:hyperlink>
          </w:p>
        </w:tc>
        <w:tc>
          <w:tcPr>
            <w:tcW w:w="46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99"/>
              </w:rPr>
              <w:t>Exhibit 3(ii).1 to the Company’s Form 8-K filed August 27,</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and August 21, 2014</w:t>
              </w:r>
            </w:hyperlink>
          </w:p>
        </w:tc>
        <w:tc>
          <w:tcPr>
            <w:tcW w:w="3960" w:type="dxa"/>
            <w:vAlign w:val="bottom"/>
            <w:gridSpan w:val="9"/>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3(ii).2</w:t>
            </w:r>
          </w:p>
        </w:tc>
        <w:tc>
          <w:tcPr>
            <w:tcW w:w="140" w:type="dxa"/>
            <w:vAlign w:val="bottom"/>
          </w:tcPr>
          <w:p>
            <w:pPr>
              <w:spacing w:after="0"/>
              <w:rPr>
                <w:sz w:val="24"/>
                <w:szCs w:val="24"/>
                <w:color w:val="auto"/>
              </w:rPr>
            </w:pPr>
          </w:p>
        </w:tc>
        <w:tc>
          <w:tcPr>
            <w:tcW w:w="5460" w:type="dxa"/>
            <w:vAlign w:val="bottom"/>
            <w:gridSpan w:val="10"/>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Fifth Amendment to the Amended and Restated Bylaws of LSB Industries,</w:t>
              </w:r>
            </w:hyperlink>
          </w:p>
        </w:tc>
        <w:tc>
          <w:tcPr>
            <w:tcW w:w="4660" w:type="dxa"/>
            <w:vAlign w:val="bottom"/>
            <w:gridSpan w:val="2"/>
          </w:tcPr>
          <w:p>
            <w:pPr>
              <w:jc w:val="center"/>
              <w:spacing w:after="0"/>
              <w:rPr>
                <w:sz w:val="20"/>
                <w:szCs w:val="20"/>
                <w:color w:val="auto"/>
              </w:rPr>
            </w:pPr>
            <w:r>
              <w:rPr>
                <w:rFonts w:ascii="Arial" w:cs="Arial" w:eastAsia="Arial" w:hAnsi="Arial"/>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Inc., dated as of April 26, 2015</w:t>
              </w:r>
            </w:hyperlink>
          </w:p>
        </w:tc>
        <w:tc>
          <w:tcPr>
            <w:tcW w:w="32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3(ii).3</w:t>
            </w:r>
          </w:p>
        </w:tc>
        <w:tc>
          <w:tcPr>
            <w:tcW w:w="140" w:type="dxa"/>
            <w:vAlign w:val="bottom"/>
          </w:tcPr>
          <w:p>
            <w:pPr>
              <w:spacing w:after="0"/>
              <w:rPr>
                <w:sz w:val="24"/>
                <w:szCs w:val="24"/>
                <w:color w:val="auto"/>
              </w:rPr>
            </w:pPr>
          </w:p>
        </w:tc>
        <w:tc>
          <w:tcPr>
            <w:tcW w:w="5460" w:type="dxa"/>
            <w:vAlign w:val="bottom"/>
            <w:tcBorders>
              <w:bottom w:val="single" w:sz="8" w:color="0000EE"/>
            </w:tcBorders>
            <w:gridSpan w:val="10"/>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Sixth Amendment to the Amended and Restated Bylaws of LSB Industries,</w:t>
              </w:r>
            </w:hyperlink>
          </w:p>
        </w:tc>
        <w:tc>
          <w:tcPr>
            <w:tcW w:w="46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Exhibit 3(ii) to the Company’s Form 8-K filed December 8,</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0"/>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Inc., dated as of December 2, 2015</w:t>
              </w:r>
            </w:hyperlink>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3(ii).4</w:t>
            </w:r>
          </w:p>
        </w:tc>
        <w:tc>
          <w:tcPr>
            <w:tcW w:w="140" w:type="dxa"/>
            <w:vAlign w:val="bottom"/>
          </w:tcPr>
          <w:p>
            <w:pPr>
              <w:spacing w:after="0"/>
              <w:rPr>
                <w:sz w:val="24"/>
                <w:szCs w:val="24"/>
                <w:color w:val="auto"/>
              </w:rPr>
            </w:pPr>
          </w:p>
        </w:tc>
        <w:tc>
          <w:tcPr>
            <w:tcW w:w="5460" w:type="dxa"/>
            <w:vAlign w:val="bottom"/>
            <w:tcBorders>
              <w:bottom w:val="single" w:sz="8" w:color="0000EE"/>
            </w:tcBorders>
            <w:gridSpan w:val="10"/>
          </w:tcPr>
          <w:p>
            <w:pPr>
              <w:spacing w:after="0"/>
              <w:rPr>
                <w:rFonts w:ascii="Arial" w:cs="Arial" w:eastAsia="Arial" w:hAnsi="Arial"/>
                <w:sz w:val="18"/>
                <w:szCs w:val="18"/>
                <w:color w:val="0000EE"/>
                <w:w w:val="94"/>
              </w:rPr>
            </w:pPr>
            <w:hyperlink r:id="rId76">
              <w:r>
                <w:rPr>
                  <w:rFonts w:ascii="Arial" w:cs="Arial" w:eastAsia="Arial" w:hAnsi="Arial"/>
                  <w:sz w:val="18"/>
                  <w:szCs w:val="18"/>
                  <w:color w:val="0000EE"/>
                  <w:w w:val="94"/>
                </w:rPr>
                <w:t>Seventh  Amendment  to  the  Amended  and  Restated  Bylaws  of  LSB</w:t>
              </w:r>
            </w:hyperlink>
          </w:p>
        </w:tc>
        <w:tc>
          <w:tcPr>
            <w:tcW w:w="466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Exhibit 3(ii) to the Company’s Form 8-K filed December 29,</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Industries, Inc., dated as of December 22, 2015</w:t>
              </w:r>
            </w:hyperlink>
          </w:p>
        </w:tc>
        <w:tc>
          <w:tcPr>
            <w:tcW w:w="2060" w:type="dxa"/>
            <w:vAlign w:val="bottom"/>
            <w:gridSpan w:val="4"/>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31.1(a)</w:t>
            </w:r>
          </w:p>
        </w:tc>
        <w:tc>
          <w:tcPr>
            <w:tcW w:w="140" w:type="dxa"/>
            <w:vAlign w:val="bottom"/>
          </w:tcPr>
          <w:p>
            <w:pPr>
              <w:spacing w:after="0"/>
              <w:rPr>
                <w:sz w:val="24"/>
                <w:szCs w:val="24"/>
                <w:color w:val="auto"/>
              </w:rPr>
            </w:pPr>
          </w:p>
        </w:tc>
        <w:tc>
          <w:tcPr>
            <w:tcW w:w="546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Certification of Daniel D. Greenwell, Chief Executive Officer, pursuant to</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Sarbanes-Oxley Act of 2002, Section 302</w:t>
              </w:r>
            </w:hyperlink>
          </w:p>
        </w:tc>
        <w:tc>
          <w:tcPr>
            <w:tcW w:w="24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31.2(a)</w:t>
            </w:r>
          </w:p>
        </w:tc>
        <w:tc>
          <w:tcPr>
            <w:tcW w:w="140" w:type="dxa"/>
            <w:vAlign w:val="bottom"/>
          </w:tcPr>
          <w:p>
            <w:pPr>
              <w:spacing w:after="0"/>
              <w:rPr>
                <w:sz w:val="24"/>
                <w:szCs w:val="24"/>
                <w:color w:val="auto"/>
              </w:rPr>
            </w:pPr>
          </w:p>
        </w:tc>
        <w:tc>
          <w:tcPr>
            <w:tcW w:w="54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Certification of Mark T. Behrman, Chief Financial Officer, pursuant to</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Sarbanes-Oxley Act of 2002, Section 302</w:t>
              </w:r>
            </w:hyperlink>
          </w:p>
        </w:tc>
        <w:tc>
          <w:tcPr>
            <w:tcW w:w="24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32.1(b)</w:t>
            </w:r>
          </w:p>
        </w:tc>
        <w:tc>
          <w:tcPr>
            <w:tcW w:w="140" w:type="dxa"/>
            <w:vAlign w:val="bottom"/>
          </w:tcPr>
          <w:p>
            <w:pPr>
              <w:spacing w:after="0"/>
              <w:rPr>
                <w:sz w:val="24"/>
                <w:szCs w:val="24"/>
                <w:color w:val="auto"/>
              </w:rPr>
            </w:pPr>
          </w:p>
        </w:tc>
        <w:tc>
          <w:tcPr>
            <w:tcW w:w="546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Certification of Daniel D. Greenwell, Chief Executive Officer, furnished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pursuant to Sarbanes-Oxley Act of 2002, Section 906</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32.2(b)</w:t>
            </w:r>
          </w:p>
        </w:tc>
        <w:tc>
          <w:tcPr>
            <w:tcW w:w="140" w:type="dxa"/>
            <w:vAlign w:val="bottom"/>
          </w:tcPr>
          <w:p>
            <w:pPr>
              <w:spacing w:after="0"/>
              <w:rPr>
                <w:sz w:val="24"/>
                <w:szCs w:val="24"/>
                <w:color w:val="auto"/>
              </w:rPr>
            </w:pPr>
          </w:p>
        </w:tc>
        <w:tc>
          <w:tcPr>
            <w:tcW w:w="5460" w:type="dxa"/>
            <w:vAlign w:val="bottom"/>
            <w:gridSpan w:val="10"/>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Certification  of  Mark  T.  Behrman,  Chief  Financial  Officer,  furnished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pursuant to Sarbanes-Oxley Act of 2002, Section 906</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101.INS(a)</w:t>
            </w:r>
          </w:p>
        </w:tc>
        <w:tc>
          <w:tcPr>
            <w:tcW w:w="140" w:type="dxa"/>
            <w:vAlign w:val="bottom"/>
          </w:tcPr>
          <w:p>
            <w:pPr>
              <w:spacing w:after="0"/>
              <w:rPr>
                <w:sz w:val="24"/>
                <w:szCs w:val="24"/>
                <w:color w:val="auto"/>
              </w:rPr>
            </w:pPr>
          </w:p>
        </w:tc>
        <w:tc>
          <w:tcPr>
            <w:tcW w:w="37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XBRL Instance Document</w:t>
            </w:r>
          </w:p>
        </w:tc>
        <w:tc>
          <w:tcPr>
            <w:tcW w:w="17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101.SCH(a)</w:t>
            </w:r>
          </w:p>
        </w:tc>
        <w:tc>
          <w:tcPr>
            <w:tcW w:w="140" w:type="dxa"/>
            <w:vAlign w:val="bottom"/>
          </w:tcPr>
          <w:p>
            <w:pPr>
              <w:spacing w:after="0"/>
              <w:rPr>
                <w:sz w:val="24"/>
                <w:szCs w:val="24"/>
                <w:color w:val="auto"/>
              </w:rPr>
            </w:pPr>
          </w:p>
        </w:tc>
        <w:tc>
          <w:tcPr>
            <w:tcW w:w="54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101.CAL(a)</w:t>
            </w:r>
          </w:p>
        </w:tc>
        <w:tc>
          <w:tcPr>
            <w:tcW w:w="140" w:type="dxa"/>
            <w:vAlign w:val="bottom"/>
          </w:tcPr>
          <w:p>
            <w:pPr>
              <w:spacing w:after="0"/>
              <w:rPr>
                <w:sz w:val="24"/>
                <w:szCs w:val="24"/>
                <w:color w:val="auto"/>
              </w:rPr>
            </w:pPr>
          </w:p>
        </w:tc>
        <w:tc>
          <w:tcPr>
            <w:tcW w:w="54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101.DEF(a)</w:t>
            </w:r>
          </w:p>
        </w:tc>
        <w:tc>
          <w:tcPr>
            <w:tcW w:w="140" w:type="dxa"/>
            <w:vAlign w:val="bottom"/>
          </w:tcPr>
          <w:p>
            <w:pPr>
              <w:spacing w:after="0"/>
              <w:rPr>
                <w:sz w:val="24"/>
                <w:szCs w:val="24"/>
                <w:color w:val="auto"/>
              </w:rPr>
            </w:pPr>
          </w:p>
        </w:tc>
        <w:tc>
          <w:tcPr>
            <w:tcW w:w="54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101.LAB(a)</w:t>
            </w:r>
          </w:p>
        </w:tc>
        <w:tc>
          <w:tcPr>
            <w:tcW w:w="140" w:type="dxa"/>
            <w:vAlign w:val="bottom"/>
          </w:tcPr>
          <w:p>
            <w:pPr>
              <w:spacing w:after="0"/>
              <w:rPr>
                <w:sz w:val="24"/>
                <w:szCs w:val="24"/>
                <w:color w:val="auto"/>
              </w:rPr>
            </w:pPr>
          </w:p>
        </w:tc>
        <w:tc>
          <w:tcPr>
            <w:tcW w:w="546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101.PRE(a)</w:t>
            </w:r>
          </w:p>
        </w:tc>
        <w:tc>
          <w:tcPr>
            <w:tcW w:w="140" w:type="dxa"/>
            <w:vAlign w:val="bottom"/>
          </w:tcPr>
          <w:p>
            <w:pPr>
              <w:spacing w:after="0"/>
              <w:rPr>
                <w:sz w:val="24"/>
                <w:szCs w:val="24"/>
                <w:color w:val="auto"/>
              </w:rPr>
            </w:pPr>
          </w:p>
        </w:tc>
        <w:tc>
          <w:tcPr>
            <w:tcW w:w="54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467"/>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25</w:t>
      </w:r>
      <w:r>
        <w:rPr>
          <w:rFonts w:ascii="Arial" w:cs="Arial" w:eastAsia="Arial" w:hAnsi="Arial"/>
          <w:sz w:val="15"/>
          <w:szCs w:val="15"/>
          <w:color w:val="auto"/>
        </w:rPr>
        <w:t>th</w:t>
      </w:r>
      <w:r>
        <w:rPr>
          <w:rFonts w:ascii="Arial" w:cs="Arial" w:eastAsia="Arial" w:hAnsi="Arial"/>
          <w:sz w:val="18"/>
          <w:szCs w:val="18"/>
          <w:color w:val="auto"/>
        </w:rPr>
        <w:t xml:space="preserve"> day of July 2018.</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Greenwell,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President, Chief Executive Officer andChairman of</w:t>
      </w:r>
    </w:p>
    <w:p>
      <w:pPr>
        <w:spacing w:after="0"/>
        <w:rPr>
          <w:sz w:val="20"/>
          <w:szCs w:val="20"/>
          <w:color w:val="auto"/>
        </w:rPr>
      </w:pPr>
      <w:r>
        <w:rPr>
          <w:rFonts w:ascii="Arial" w:cs="Arial" w:eastAsia="Arial" w:hAnsi="Arial"/>
          <w:sz w:val="22"/>
          <w:szCs w:val="22"/>
          <w:color w:val="auto"/>
        </w:rPr>
        <w:t>the Board of Directors</w:t>
      </w:r>
    </w:p>
    <w:p>
      <w:pPr>
        <w:sectPr>
          <w:pgSz w:w="11900" w:h="16838" w:orient="portrait"/>
          <w:cols w:equalWidth="0" w:num="1">
            <w:col w:w="11420"/>
          </w:cols>
          <w:pgMar w:left="240" w:top="33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2018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33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2018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upperLetter"/>
      <w:start w:val="1"/>
    </w:lvl>
  </w:abstractNum>
  <w:abstractNum w:abstractNumId="6">
    <w:nsid w:val="62BBD95A"/>
    <w:multiLevelType w:val="hybridMultilevel"/>
    <w:lvl w:ilvl="0">
      <w:lvlJc w:val="left"/>
      <w:lvlText w:val="(%1)"/>
      <w:numFmt w:val="upperLetter"/>
      <w:start w:val="2"/>
    </w:lvl>
  </w:abstractNum>
  <w:abstractNum w:abstractNumId="7">
    <w:nsid w:val="436C6125"/>
    <w:multiLevelType w:val="hybridMultilevel"/>
    <w:lvl w:ilvl="0">
      <w:lvlJc w:val="left"/>
      <w:lvlText w:val="(%1)"/>
      <w:numFmt w:val="upperLetter"/>
      <w:start w:val="3"/>
    </w:lvl>
  </w:abstractNum>
  <w:abstractNum w:abstractNumId="8">
    <w:nsid w:val="628C895D"/>
    <w:multiLevelType w:val="hybridMultilevel"/>
    <w:lvl w:ilvl="0">
      <w:lvlJc w:val="left"/>
      <w:lvlText w:val="•"/>
      <w:numFmt w:val="bullet"/>
      <w:start w:val="1"/>
    </w:lvl>
    <w:lvl w:ilvl="1">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2"/>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72" Type="http://schemas.openxmlformats.org/officeDocument/2006/relationships/hyperlink" Target="http://www.sec.gov/Archives/edgar/data/60714/000119312513084410/d447083dex3i1.htm" TargetMode="External"/><Relationship Id="rId73" Type="http://schemas.openxmlformats.org/officeDocument/2006/relationships/hyperlink" Target="http://www.sec.gov/Archives/edgar/data/60714/000119312514323405/d781455dex3ii.htm" TargetMode="External"/><Relationship Id="rId74" Type="http://schemas.openxmlformats.org/officeDocument/2006/relationships/hyperlink" Target="http://www.sec.gov/Archives/edgar/data/60714/000119312515161375/d918969dex3ii.htm" TargetMode="External"/><Relationship Id="rId75" Type="http://schemas.openxmlformats.org/officeDocument/2006/relationships/hyperlink" Target="http://www.sec.gov/Archives/edgar/data/60714/000119312515397856/d22963dex3ii.htm" TargetMode="External"/><Relationship Id="rId76" Type="http://schemas.openxmlformats.org/officeDocument/2006/relationships/hyperlink" Target="http://www.sec.gov/Archives/edgar/data/60714/000119312515415325/d102136dex3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2019-12-28T20:42:05Z</dcterms:created>
  <dcterms:modified xsi:type="dcterms:W3CDTF">2019-12-28T20:42:05Z</dcterms:modified>
</cp:coreProperties>
</file>