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40630.htm"/>
      <w:bookmarkStart w:id="1" w:name="kslxu202406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June 30, 2024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(405) 235-4546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color w:val="000000"/>
              </w:rPr>
            </w:pPr>
            <w:r>
              <w:rPr>
                <w:color w:val="000000"/>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71,621,131 shares as of July 26, 2024.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7336" w:type="dxa"/>
            <w:tcBorders/>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we refer to "us", "we", "our", "Company" or "LSB" we are describing LSB Industries, Inc. and its subsidiaries.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June 30, 2024 is unaudited)</w:t>
      </w:r>
    </w:p>
    <w:tbl>
      <w:tblPr>
        <w:tblW w:w="10205" w:type="dxa"/>
        <w:jc w:val="left"/>
        <w:tblInd w:w="0" w:type="dxa"/>
        <w:tblLayout w:type="fixed"/>
        <w:tblCellMar>
          <w:top w:w="28" w:type="dxa"/>
          <w:left w:w="28" w:type="dxa"/>
          <w:bottom w:w="28" w:type="dxa"/>
          <w:right w:w="28" w:type="dxa"/>
        </w:tblCellMar>
      </w:tblPr>
      <w:tblGrid>
        <w:gridCol w:w="6752"/>
        <w:gridCol w:w="146"/>
        <w:gridCol w:w="211"/>
        <w:gridCol w:w="931"/>
        <w:gridCol w:w="166"/>
        <w:gridCol w:w="146"/>
        <w:gridCol w:w="211"/>
        <w:gridCol w:w="931"/>
        <w:gridCol w:w="711"/>
      </w:tblGrid>
      <w:tr>
        <w:trPr/>
        <w:tc>
          <w:tcPr>
            <w:tcW w:w="6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11" w:type="dxa"/>
            <w:tcBorders/>
            <w:shd w:fill="FFFFFF" w:val="clear"/>
            <w:vAlign w:val="center"/>
          </w:tcPr>
          <w:p>
            <w:pPr>
              <w:pStyle w:val="TableContents"/>
              <w:bidi w:val="0"/>
              <w:spacing w:before="0" w:after="283"/>
              <w:jc w:val="center"/>
              <w:rPr/>
            </w:pPr>
            <w:r>
              <w:rPr/>
              <w:t> </w:t>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711" w:type="dxa"/>
            <w:tcBorders/>
            <w:shd w:fill="FFFFFF" w:val="clear"/>
            <w:vAlign w:val="center"/>
          </w:tcPr>
          <w:p>
            <w:pPr>
              <w:pStyle w:val="TableContents"/>
              <w:bidi w:val="0"/>
              <w:spacing w:before="0" w:after="283"/>
              <w:jc w:val="center"/>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216,257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207,434</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40,749</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40,385</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14,846</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w:t>
            </w:r>
          </w:p>
        </w:tc>
        <w:tc>
          <w:tcPr>
            <w:tcW w:w="711" w:type="dxa"/>
            <w:tcBorders/>
            <w:shd w:fill="CFF0FC" w:val="cle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67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5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436,742</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830,077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835,298</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1,189,058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68,323</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118,529</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711" w:type="dxa"/>
            <w:tcBorders/>
            <w:shd w:fill="CFF0FC" w:val="cle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68,853</w:t>
            </w:r>
          </w:p>
        </w:tc>
        <w:tc>
          <w:tcPr>
            <w:tcW w:w="711" w:type="dxa"/>
            <w:tcBorders/>
            <w:shd w:fill="FFFFFF" w:val="clear"/>
            <w:vAlign w:val="center"/>
          </w:tcPr>
          <w:p>
            <w:pPr>
              <w:pStyle w:val="TableContents"/>
              <w:bidi w:val="0"/>
              <w:spacing w:before="0" w:after="283"/>
              <w:jc w:val="left"/>
              <w:rPr/>
            </w:pPr>
            <w:r>
              <w:rPr/>
              <w:t> </w:t>
            </w:r>
          </w:p>
        </w:tc>
      </w:tr>
      <w:tr>
        <w:trPr/>
        <w:tc>
          <w:tcPr>
            <w:tcW w:w="67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$.10 par value; 150 million shares authorized, 91.2 </w:t>
              <w:br/>
              <w:t>   million shares issued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6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501,026</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737,158</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300"/>
              <w:jc w:val="right"/>
              <w:rPr/>
            </w:pPr>
            <w:r>
              <w:rPr/>
              <w:t> </w:t>
            </w:r>
          </w:p>
        </w:tc>
      </w:tr>
      <w:tr>
        <w:trPr/>
        <w:tc>
          <w:tcPr>
            <w:tcW w:w="67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Common stock, 19.5 million shares (18.1 million shares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218,827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518,331</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1,189,058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1,298,184</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302" w:type="dxa"/>
        <w:jc w:val="left"/>
        <w:tblInd w:w="0" w:type="dxa"/>
        <w:tblLayout w:type="fixed"/>
        <w:tblCellMar>
          <w:top w:w="28" w:type="dxa"/>
          <w:left w:w="28" w:type="dxa"/>
          <w:bottom w:w="28" w:type="dxa"/>
          <w:right w:w="28" w:type="dxa"/>
        </w:tblCellMar>
      </w:tblPr>
      <w:tblGrid>
        <w:gridCol w:w="3661"/>
        <w:gridCol w:w="146"/>
        <w:gridCol w:w="211"/>
        <w:gridCol w:w="781"/>
        <w:gridCol w:w="166"/>
        <w:gridCol w:w="146"/>
        <w:gridCol w:w="211"/>
        <w:gridCol w:w="781"/>
        <w:gridCol w:w="166"/>
        <w:gridCol w:w="146"/>
        <w:gridCol w:w="211"/>
        <w:gridCol w:w="781"/>
        <w:gridCol w:w="166"/>
        <w:gridCol w:w="146"/>
        <w:gridCol w:w="211"/>
        <w:gridCol w:w="781"/>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4" w:type="dxa"/>
            <w:gridSpan w:val="14"/>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 Share Amounts)</w:t>
            </w:r>
          </w:p>
        </w:tc>
        <w:tc>
          <w:tcPr>
            <w:tcW w:w="591" w:type="dxa"/>
            <w:tcBorders/>
            <w:shd w:fill="FFFFFF" w:val="cle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346,809</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77,637</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24,048</w:t>
            </w:r>
          </w:p>
        </w:tc>
        <w:tc>
          <w:tcPr>
            <w:tcW w:w="59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49,867</w:t>
            </w:r>
          </w:p>
        </w:tc>
        <w:tc>
          <w:tcPr>
            <w:tcW w:w="59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per common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6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6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6"/>
        <w:gridCol w:w="146"/>
        <w:gridCol w:w="146"/>
        <w:gridCol w:w="605"/>
        <w:gridCol w:w="146"/>
        <w:gridCol w:w="146"/>
        <w:gridCol w:w="146"/>
        <w:gridCol w:w="661"/>
        <w:gridCol w:w="166"/>
        <w:gridCol w:w="146"/>
        <w:gridCol w:w="208"/>
        <w:gridCol w:w="543"/>
        <w:gridCol w:w="146"/>
        <w:gridCol w:w="146"/>
        <w:gridCol w:w="196"/>
        <w:gridCol w:w="691"/>
        <w:gridCol w:w="166"/>
        <w:gridCol w:w="146"/>
        <w:gridCol w:w="253"/>
        <w:gridCol w:w="896"/>
        <w:gridCol w:w="146"/>
        <w:gridCol w:w="146"/>
        <w:gridCol w:w="196"/>
        <w:gridCol w:w="751"/>
        <w:gridCol w:w="166"/>
        <w:gridCol w:w="146"/>
        <w:gridCol w:w="196"/>
        <w:gridCol w:w="691"/>
        <w:gridCol w:w="212"/>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91" w:type="dxa"/>
            <w:gridSpan w:val="2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2" w:type="dxa"/>
            <w:tcBorders/>
            <w:shd w:fill="FFFFFF" w:val="clear"/>
            <w:vAlign w:val="center"/>
          </w:tcPr>
          <w:p>
            <w:pPr>
              <w:pStyle w:val="TableContents"/>
              <w:bidi w:val="0"/>
              <w:spacing w:before="0" w:after="283"/>
              <w:jc w:val="center"/>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518,331</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2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518,185</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2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br/>
              <w:t>  and ESPP participants</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restricted stock</w:t>
              <w:br/>
              <w:t>  units vesting</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522,793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(189,515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515,873</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(191,374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529,952</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25,095</w:t>
            </w:r>
          </w:p>
        </w:tc>
        <w:tc>
          <w:tcPr>
            <w:tcW w:w="212"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(17,218</w:t>
            </w:r>
          </w:p>
        </w:tc>
        <w:tc>
          <w:tcPr>
            <w:tcW w:w="2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br/>
              <w:t>  and ESPP participants</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12"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restricted stock</w:t>
              <w:br/>
              <w:t>  units vesting</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539,797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84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6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short 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provided (used) by changes in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102,949</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(201,751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30,208</w:t>
            </w:r>
          </w:p>
        </w:tc>
        <w:tc>
          <w:tcPr>
            <w:tcW w:w="6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debt-related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(151,854</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2023 (our “2023 Form 10-K”), filed with the SEC on March 6, 2024. The accompanying unaudited interim financial statements in this report reflect all adjustments that are, in the opinion of management, necessary for a fair statement of the Company’s results of operations and cash flows for the three and six months ended June 30, 2024 and 2023 and the Company’s financial position as of June 30, 2024.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and its subsidiaries are consolidated in the accompanying condensed consolidated financial statements. LSB is a holding company with no significant operations or assets other than cash, cash equivalents, short-term investments and investments in its subsidiaries. All intercompany accounts and transactions have been eliminated. Certain prior period amounts reported in our condensed consolidated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UAN for agricultural applications, high purity and commercial grade ammonia, high purity ammonium nitrate, sulfuric acids, concentrated, blended and regular nitric acid, mixed nitrating acids, carbon dioxide, and diesel exhaust fluid for industrial applications, and industrial grade ammonium nitrate (“LDAN”) and ammonium nitrate (“AN”) solutions for mining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Sales to customers include farmers, ranchers, fertilizer dealers and distributors primarily in the ranch land and grain production markets in the United States (“U.S.”); industrial users of acids throughout the U.S. and parts of Canada; and explosive manufacturers in the U.S. and other parts of North America.</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00" w:after="283"/>
        <w:jc w:val="left"/>
        <w:rPr>
          <w:rFonts w:ascii="Times New Roman" w:hAnsi="Times New Roman"/>
          <w:sz w:val="20"/>
        </w:rPr>
      </w:pPr>
      <w:r>
        <w:rPr>
          <w:rFonts w:ascii="Times New Roman" w:hAnsi="Times New Roman"/>
          <w:b/>
          <w:color w:val="000000"/>
          <w:sz w:val="20"/>
        </w:rPr>
        <w:t>Repurchase Program –</w:t>
      </w:r>
      <w:r>
        <w:rPr>
          <w:rFonts w:ascii="Times New Roman" w:hAnsi="Times New Roman"/>
          <w:color w:val="000000"/>
          <w:sz w:val="20"/>
        </w:rPr>
        <w:t xml:space="preserve"> In May 2023, our Board of Directors (our “Board”) authorized a $150 million stock repurchase program. Total repurchase authority remaining under the repurchase program was approximately $109 million as of June 30, 2024.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During the three months ended June 30, 2024, we repurchased approximately 0.8 million shares of common stock at an average cost of $8.40 per share for a total of approximately $6.7 million. During the six months ended June 30, 2024, we repurchased approximately 1.5 million shares of common stock at an average cost of $8.13 per share for a total of approximately $12.1 million. </w:t>
      </w:r>
    </w:p>
    <w:p>
      <w:pPr>
        <w:pStyle w:val="TextBody"/>
        <w:bidi w:val="0"/>
        <w:spacing w:before="100" w:after="120"/>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 We classify cash that has been segregated or is otherwise limited in use as restricted. Our restricted cash as of June 30, 2024 and December 31, 2023, relates primarily to certain cash collateral held by Wells Fargo under our prior revolving credit facility, terminated in December 2023 and discussed in Note 4 – Long-Term Debt, for letters of credit outstanding as we transition these items to our current revolving credit facility (the “Revolving Credit Facility) pursuant to that credit agreement, dated December 21, 2023, between us and the lenders identified on the signature pages thereof and JPMorgan Chase Bank, N.A, as administrative agent. All of our restricted cash is classified as a current asset and is separately presented on the face of our consolidated balance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00" w:after="120"/>
        <w:jc w:val="left"/>
        <w:rPr>
          <w:rFonts w:ascii="Times New Roman" w:hAnsi="Times New Roman"/>
          <w:color w:val="000000"/>
          <w:sz w:val="20"/>
        </w:rPr>
      </w:pPr>
      <w:r>
        <w:rPr>
          <w:rFonts w:ascii="Times New Roman" w:hAnsi="Times New Roman"/>
          <w:color w:val="000000"/>
          <w:sz w:val="20"/>
        </w:rPr>
        <w:t>sheet. The following table provides a reconciliation of cash and cash equivalents and restricted cash reported within the consolidated balance sheet to the total of the same such amounts shown in the condensed consolidated statement of cash flows:</w:t>
      </w:r>
    </w:p>
    <w:tbl>
      <w:tblPr>
        <w:tblW w:w="9516" w:type="dxa"/>
        <w:jc w:val="left"/>
        <w:tblInd w:w="0" w:type="dxa"/>
        <w:tblLayout w:type="fixed"/>
        <w:tblCellMar>
          <w:top w:w="28" w:type="dxa"/>
          <w:left w:w="28" w:type="dxa"/>
          <w:bottom w:w="28" w:type="dxa"/>
          <w:right w:w="28" w:type="dxa"/>
        </w:tblCellMar>
      </w:tblPr>
      <w:tblGrid>
        <w:gridCol w:w="6946"/>
        <w:gridCol w:w="211"/>
        <w:gridCol w:w="781"/>
        <w:gridCol w:w="146"/>
        <w:gridCol w:w="146"/>
        <w:gridCol w:w="233"/>
        <w:gridCol w:w="862"/>
        <w:gridCol w:w="191"/>
      </w:tblGrid>
      <w:tr>
        <w:trPr/>
        <w:tc>
          <w:tcPr>
            <w:tcW w:w="6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2379"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1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the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bills with an original maturity at the time of purchase between four months to 12 months, are considered short-term investments and are classified as Level 1. We have a history of holding investments to maturity. U.S. treasury bills with an original maturity at the time of purchase of three month or less are included in cash and cash equivalents. Due to the nature of these investments as U.S. treasury securities, no impairment is anticipated.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xml:space="preserve">– Our accounts receivable are presented at net realizable value. This value includes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 looking assessment, where applicable.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 </w:t>
      </w:r>
      <w:r>
        <w:rPr>
          <w:rFonts w:ascii="Times New Roman" w:hAnsi="Times New Roman"/>
          <w:color w:val="000000"/>
          <w:sz w:val="20"/>
        </w:rPr>
        <w:t xml:space="preserve">– </w:t>
      </w:r>
      <w:r>
        <w:rPr>
          <w:rFonts w:ascii="Times New Roman" w:hAnsi="Times New Roman"/>
          <w:b/>
          <w:color w:val="000000"/>
          <w:sz w:val="20"/>
        </w:rPr>
        <w:t xml:space="preserve">Lived Assets </w:t>
      </w:r>
      <w:r>
        <w:rPr>
          <w:rFonts w:ascii="Times New Roman" w:hAnsi="Times New Roman"/>
          <w:color w:val="000000"/>
          <w:sz w:val="20"/>
        </w:rPr>
        <w:t>–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assets are reviewed for impairment on a facility-by-facility basis (such as the Cherokee Facility, El Dorado Facility or Pryor Facility) unless it is determined that the asset being evaluated will generate cash flows that are independent from the rest of the facility.</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 each November.</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xml:space="preserve">– Periodically, we entered into certain forward natural gas contracts. Whenever we have such derivative contracts outstanding that are subject to derivative accounting, they are recognized in the balance sheet and measured at fair value. Changes in fair value of derivatives are recorded in results of operations unless the normal purchase or sale exceptions apply, or hedge accounting is elected.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8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8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 term basis to other parties. The income for these subleases is recorded as a component of "Other (income) expense, net" in our condensed consolidated statement of operations. For the three and six months ended June 30, 2024, sublease income was $0.1 million and $0.8 million, respectively. For the three and six months ended June 30, 2023, sublease income was $1.4 million and $1.8 million, respectively.</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2023-07 - </w:t>
      </w:r>
      <w:r>
        <w:rPr>
          <w:rFonts w:ascii="Times New Roman" w:hAnsi="Times New Roman"/>
          <w:color w:val="000000"/>
          <w:sz w:val="20"/>
        </w:rPr>
        <w:t xml:space="preserve">In November 2023, the Financial Accounting Standards Board (“FASB”) issued ASU 2023-07, </w:t>
      </w:r>
      <w:r>
        <w:rPr>
          <w:rFonts w:ascii="Times New Roman" w:hAnsi="Times New Roman"/>
          <w:i/>
          <w:color w:val="000000"/>
          <w:sz w:val="20"/>
        </w:rPr>
        <w:t>Segment Reporting (Topic 280)—Improvements to Reportable Segment Disclosures,</w:t>
      </w:r>
      <w:r>
        <w:rPr>
          <w:rFonts w:ascii="Times New Roman" w:hAnsi="Times New Roman"/>
          <w:color w:val="000000"/>
          <w:sz w:val="20"/>
        </w:rPr>
        <w:t xml:space="preserve"> which improves reportable segment disclosure requirements through enhanced disclosures about significant segment expenses. The amendments include a new requirement to disclose significant segment expenses regularly provided to the chief operating decision maker (“CODM”), extend certain annual disclosures to interim periods, clarify single reportable segment entities must apply Accounting Standard Codification (“ASC”) 280 in its entirety, permit more than one measure of segment profit or loss to be reported under certain conditions and require disclosure of the title and position of the CODM. This update is effective for public entities fiscal years beginning after December 15, 2023, and interim periods within fiscal years beginning after December 15, 2024. Early adoption is permitted. We currently expect the update to result in additional disclosures within our consolidated financial statements and related disclosures but do not expect it to impact our results of operations or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2024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Income per Common Share</w:t>
      </w:r>
      <w:r>
        <w:rPr>
          <w:rFonts w:ascii="Times New Roman" w:hAnsi="Times New Roman"/>
          <w:color w:val="000000"/>
          <w:sz w:val="20"/>
        </w:rPr>
        <w:t xml:space="preserve"> </w:t>
      </w:r>
    </w:p>
    <w:tbl>
      <w:tblPr>
        <w:tblW w:w="9597" w:type="dxa"/>
        <w:jc w:val="left"/>
        <w:tblInd w:w="0" w:type="dxa"/>
        <w:tblLayout w:type="fixed"/>
        <w:tblCellMar>
          <w:top w:w="28" w:type="dxa"/>
          <w:left w:w="28" w:type="dxa"/>
          <w:bottom w:w="28" w:type="dxa"/>
          <w:right w:w="28" w:type="dxa"/>
        </w:tblCellMar>
      </w:tblPr>
      <w:tblGrid>
        <w:gridCol w:w="4036"/>
        <w:gridCol w:w="146"/>
        <w:gridCol w:w="211"/>
        <w:gridCol w:w="676"/>
        <w:gridCol w:w="146"/>
        <w:gridCol w:w="146"/>
        <w:gridCol w:w="211"/>
        <w:gridCol w:w="676"/>
        <w:gridCol w:w="146"/>
        <w:gridCol w:w="146"/>
        <w:gridCol w:w="211"/>
        <w:gridCol w:w="676"/>
        <w:gridCol w:w="146"/>
        <w:gridCol w:w="146"/>
        <w:gridCol w:w="211"/>
        <w:gridCol w:w="676"/>
        <w:gridCol w:w="9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24" w:type="dxa"/>
            <w:gridSpan w:val="14"/>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 Share Amounts)</w:t>
            </w:r>
          </w:p>
        </w:tc>
        <w:tc>
          <w:tcPr>
            <w:tcW w:w="991" w:type="dxa"/>
            <w:tcBorders/>
            <w:shd w:fill="FFFFFF" w:val="cle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income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jc w:val="righ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200"/>
              <w:jc w:val="righ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basic net income per </w:t>
              <w:br/>
              <w:t>   common share - adjusted weighted-average</w:t>
              <w:br/>
              <w:t>   shares (1)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600"/>
              <w:jc w:val="right"/>
              <w:rPr/>
            </w:pPr>
            <w:r>
              <w:rPr/>
              <w:t> </w:t>
            </w:r>
          </w:p>
        </w:tc>
      </w:tr>
      <w:tr>
        <w:trPr/>
        <w:tc>
          <w:tcPr>
            <w:tcW w:w="403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03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Denominator for diluted net income per </w:t>
              <w:br/>
              <w:t xml:space="preserve">   common share - adjusted weighted-average </w:t>
              <w:br/>
              <w:t>   shares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75,986</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All periods exclude the weighted-average shares of unvested restricted stock that are contingently issuable.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weighted-average shares of securities were not included in the computation of diluted net income per common share as their effect would have been antidilutive:</w:t>
      </w:r>
    </w:p>
    <w:tbl>
      <w:tblPr>
        <w:tblW w:w="7622" w:type="dxa"/>
        <w:jc w:val="left"/>
        <w:tblInd w:w="0" w:type="dxa"/>
        <w:tblLayout w:type="fixed"/>
        <w:tblCellMar>
          <w:top w:w="28" w:type="dxa"/>
          <w:left w:w="28" w:type="dxa"/>
          <w:bottom w:w="28" w:type="dxa"/>
          <w:right w:w="28" w:type="dxa"/>
        </w:tblCellMar>
      </w:tblPr>
      <w:tblGrid>
        <w:gridCol w:w="2701"/>
        <w:gridCol w:w="146"/>
        <w:gridCol w:w="146"/>
        <w:gridCol w:w="781"/>
        <w:gridCol w:w="146"/>
        <w:gridCol w:w="146"/>
        <w:gridCol w:w="146"/>
        <w:gridCol w:w="781"/>
        <w:gridCol w:w="146"/>
        <w:gridCol w:w="146"/>
        <w:gridCol w:w="146"/>
        <w:gridCol w:w="781"/>
        <w:gridCol w:w="146"/>
        <w:gridCol w:w="146"/>
        <w:gridCol w:w="146"/>
        <w:gridCol w:w="78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515,687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6632" w:type="dxa"/>
        <w:jc w:val="left"/>
        <w:tblInd w:w="0" w:type="dxa"/>
        <w:tblLayout w:type="fixed"/>
        <w:tblCellMar>
          <w:top w:w="28" w:type="dxa"/>
          <w:left w:w="28" w:type="dxa"/>
          <w:bottom w:w="28" w:type="dxa"/>
          <w:right w:w="28" w:type="dxa"/>
        </w:tblCellMar>
      </w:tblPr>
      <w:tblGrid>
        <w:gridCol w:w="3901"/>
        <w:gridCol w:w="146"/>
        <w:gridCol w:w="211"/>
        <w:gridCol w:w="676"/>
        <w:gridCol w:w="146"/>
        <w:gridCol w:w="146"/>
        <w:gridCol w:w="288"/>
        <w:gridCol w:w="927"/>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4"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31,484</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6912" w:type="dxa"/>
        <w:jc w:val="left"/>
        <w:tblInd w:w="0" w:type="dxa"/>
        <w:tblLayout w:type="fixed"/>
        <w:tblCellMar>
          <w:top w:w="28" w:type="dxa"/>
          <w:left w:w="28" w:type="dxa"/>
          <w:bottom w:w="28" w:type="dxa"/>
          <w:right w:w="28" w:type="dxa"/>
        </w:tblCellMar>
      </w:tblPr>
      <w:tblGrid>
        <w:gridCol w:w="4036"/>
        <w:gridCol w:w="146"/>
        <w:gridCol w:w="211"/>
        <w:gridCol w:w="781"/>
        <w:gridCol w:w="166"/>
        <w:gridCol w:w="146"/>
        <w:gridCol w:w="258"/>
        <w:gridCol w:w="957"/>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19"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Secured Notes due 2028, with an interest </w:t>
              <w:br/>
              <w:t>   rate of 6.25% (B)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Financing due 2025, with an interest</w:t>
              <w:br/>
              <w:t>   rate of 8.75% (C)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21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581,721</w:t>
            </w:r>
          </w:p>
        </w:tc>
        <w:tc>
          <w:tcPr>
            <w:tcW w:w="21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Debt issuance costs as of June 30, 2024 and December 31, 2023 of approximately</w:t>
      </w:r>
      <w:r>
        <w:rPr>
          <w:rFonts w:ascii="Times New Roman" w:hAnsi="Times New Roman"/>
          <w:color w:val="000000"/>
          <w:sz w:val="20"/>
        </w:rPr>
        <w:t xml:space="preserve"> </w:t>
      </w:r>
      <w:r>
        <w:rPr>
          <w:rFonts w:ascii="Times New Roman" w:hAnsi="Times New Roman"/>
          <w:color w:val="000000"/>
          <w:sz w:val="16"/>
        </w:rPr>
        <w:t>$0.8</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provides for borrowings up to an initial maximum of $75 million, with an option to increase the maximum by an additional $25 million (which amount is uncommitted). Availability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June 30, 2024, our Revolving Credit Facility was undrawn and had approximately $39.4 million of availability, based on our eligible collateral. The maturity date of the Revolving Credit Facility is on the earlier of (i) the date that is 90 days prior to the earliest stated maturity date of the Senior Secured Notes, which is currently October 15, 2028, (unless refinanced or repaid) and (ii) December 21, 2028. The Revolving Credit Facility contains a financial covenant, which requires that, solely if we elect to remove the $7.5 million availability block, we must maintain a minimum fixed charge coverage ratio of not less than 1.00:1.00. The financial covenant, if triggered, is tested monthly. The financial covenant was not triggered as of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accrues on outstanding borrowings under the Revolving Credit Facility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issued at par an aggregate total of $700 million principal value of our Senior Secured Notes due 2028 (“Senior Secured Notes”). The Senior Secured Notes, which mature in October 2028, bear interest at a rate of 6.25% paid in arrears on May 15 and October 15. Please see Note 5 in our 2023 Form 10-K for further discussion of the Senior Secured Notes. From time to time, we have engaged in open market repurchases to extinguish a portion of the outstanding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we repurchased $63.7 million in principal amount of our Senior Secured Notes for approximately $60.9 million, which was accounted for as an extinguishment of debt. Including our write-off of the associated remaining portion of unamortized debt issuance costs, we recognized a gain on extinguishment of approximately $1.9 million. During the six months ended June 30, 2024, we repurchased $96.6 million in principal amount of our Senior Secured Notes for approximately $92.2 million which was accounted for as an extinguishment of debt. Including our write-off of the associated remaining portion of unamortized debt issuance costs, we recognized a gain on extinguishment of approximately $3.0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$30 million secured financing arrangement with an affiliate of Eldridge Industries, L.L.C.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Report was submitted to the ADEQ and the ADEQ approved the report. In August 2023, the Company received a Notice of Violation (“NOV”) for wastewater discharges from our El Dorado Facility. We have been in discussions with the ADEQ about our response to the NOV and the potential for financial penalties associated with the NOV. As of the date of this report, the ADEQ has provided no written indication or details regarding the financial penalty. No liability has been established as of June 30, 2024, in connection with this ADEQ matter.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received a NOV for ten findings identified from an inspection conducted by the U.S. Environmental Protection Agency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for which we accrued an estimate as of December 31, 2023.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West Fertilizer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2013, an explosion and fire occurred at the West Fertilizer Company (“West Fertilizer”) located in West, Texas, causing death, bodily injury and substantial property damage. West Fertilizer is not owned or controlled by us, but West Fertilizer was a customer of EDC and purchased HDAN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2014, EDC and LSB were named as defendants, together with other AN manufacturers and brokers that arranged the transport and delivery of AN to West Fertilizer, in the case styled </w:t>
      </w:r>
      <w:r>
        <w:rPr>
          <w:rFonts w:ascii="Times New Roman" w:hAnsi="Times New Roman"/>
          <w:i/>
          <w:color w:val="000000"/>
          <w:sz w:val="20"/>
        </w:rPr>
        <w:t>City of West, Texas vs. CF Industries, Inc., et al.</w:t>
      </w:r>
      <w:r>
        <w:rPr>
          <w:rFonts w:ascii="Times New Roman" w:hAnsi="Times New Roman"/>
          <w:color w:val="000000"/>
          <w:sz w:val="20"/>
        </w:rPr>
        <w:t xml:space="preserve">,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liability insurance policies have aggregate limits of general liability totaling $100 million, with a self-insured retention of $0.3 million, which retention limit has been met relating to the West Fertilizer matter. In August 2015, the trial court dismissed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negligence claims against us and EDC based on a duty to inspect but allowed the plaintiffs to proceed on claims for design defect and failure to warn.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more than ten years of active litigation, we and EDC (with approval of our insurance carriers) have secured, in writing, the release of nearly all the plaintiffs asserting personal injury and property damage claimants and the release of all subrogation carriers.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left only with a handful of personnel injury claimants, none of whom suffered serious injuries, and all of whom have failed to meaningfully prosecute their claims. As of June 30, 2024, no liability reserve has been established in connection with these claims.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Global Industrial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2015, we and EDA received written notice from Global Industrial, Inc. (“Global”) of Global’s intention to assert mechanic liens for labor, service, or materials furnished under certain subcontract agreements for the improvement of the ammonia plant (“Ammonia Plant”) at our El Dorado Facility. Global was a subcontractor of Leidos Constructors, LLC (“Leidos”), the general contractor for EDA for the construction of the Ammonia Plant. Leidos terminated the services of Global with respect to their work performed at our El Dorado Facility.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hAnsi="Times New Roman"/>
          <w:i/>
          <w:color w:val="000000"/>
          <w:sz w:val="20"/>
        </w:rPr>
        <w:t>Global Industrial, Inc. d/b/a Global Turnaround vs. Leidos Constructors,</w:t>
      </w:r>
      <w:r>
        <w:rPr>
          <w:rFonts w:ascii="Times New Roman" w:hAnsi="Times New Roman"/>
          <w:color w:val="000000"/>
          <w:sz w:val="20"/>
        </w:rPr>
        <w:t xml:space="preserve"> </w:t>
      </w:r>
      <w:r>
        <w:rPr>
          <w:rFonts w:ascii="Times New Roman" w:hAnsi="Times New Roman"/>
          <w:i/>
          <w:color w:val="000000"/>
          <w:sz w:val="20"/>
        </w:rPr>
        <w:t xml:space="preserve">LLC et al., </w:t>
      </w:r>
      <w:r>
        <w:rPr>
          <w:rFonts w:ascii="Times New Roman" w:hAnsi="Times New Roman"/>
          <w:color w:val="000000"/>
          <w:sz w:val="20"/>
        </w:rPr>
        <w:t>in the Circuit Court of Union County, Arkansas (the “Union County Trial Court”), wherein Global sought damages under breach of contract and other claims. At the time of the summons, our accounts payable included invoices totaling approximately $3.5 million related to work performed by Global that is the subject of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2018, the Union County Trial Court bifurcated the case into: (1) Global’s claims against Leidos and LSB and (2) the cross-claims between Leidos and LSB. Part (1) of the case was tried in the Union County Trial Court. In March 2020, the Union County 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will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in 2023, we reversed approximately $9.8 million of payables and accrued liabilities, which related to approximately $2.4 million in pre and post-judgement accrued interest and $7.4 million of gross plant, property and equipment. These adjustments also impacted our results of operations for the twelve months ending December 31, 2023, through the reversals of approximately $2.4 million of interest expense and of approximately $1.8 million in previously recognized depreciation expense (a component of cost of sales) on the related plant,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retains all of its claims against Leidos and intends to vigorously prosecute those claims and vigorously contest the cross-claims in Part (2) of the matter referred to above. We expect the trial to be set for early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liability was established as of June 30, 2024, in connection with the cross-claims in Part (2) of the matter, except for certain invoices held in accounts payable.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Section 382 Rights Plan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putative stockholder class action complaint, styled as </w:t>
      </w:r>
      <w:r>
        <w:rPr>
          <w:rFonts w:ascii="Times New Roman" w:hAnsi="Times New Roman"/>
          <w:i/>
          <w:color w:val="000000"/>
          <w:sz w:val="20"/>
        </w:rPr>
        <w:t>Witmer v. Golsen, et al</w:t>
      </w:r>
      <w:r>
        <w:rPr>
          <w:rFonts w:ascii="Times New Roman" w:hAnsi="Times New Roman"/>
          <w:color w:val="000000"/>
          <w:sz w:val="20"/>
        </w:rPr>
        <w:t xml:space="preserve">., C.A. No. 2024-035-PAF (the “Action”) was filed on April 3, 2024 in the Delaware Court of Chancery (the “Court of Chancery”). The plaintiff claimed, among other things, that the Board breached its fiduciary duty by adopting an Internal Revenue Code (“IRC”) Section 382 stockholder rights plan with antitakeover and entrenching measures designed to protect the Board’s incumbency. Specifically, the plaintiff alleged that the Company’s Section 382 rights plan (the “Amended NOL Rights Agreement”) was not narrowly tailored as it carried a 4.9% trigger and an allegedly overbroad definition of “Beneficial Ownership” that aggregated shares subject to “agreements, arrangements or understandings” between stockholders related to voting or influencing the Company. The plaintiff further alleged that the Board also issued a false and misleading proxy statement when soliciting stockholder approval of the Amended NOL Rights Agreement. The Company disagreed with plaintiff’s allegations, and asserts that terms of the Amended NOL Rights Agreement, including the definition of Beneficial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is a proportionate response to the threat of the occurrence of an “ownership change” under Section 382 of the IRC and the resulting risk of substantial impairment to its ability to benefit from its net operating loss carryforwards and its other tax attributes.</w:t>
      </w:r>
    </w:p>
    <w:p>
      <w:pPr>
        <w:pStyle w:val="TextBody"/>
        <w:bidi w:val="0"/>
        <w:jc w:val="left"/>
        <w:rPr>
          <w:rFonts w:ascii="Times New Roman" w:hAnsi="Times New Roman"/>
          <w:sz w:val="20"/>
        </w:rPr>
      </w:pPr>
      <w:r>
        <w:rPr>
          <w:rFonts w:ascii="Times New Roman" w:hAnsi="Times New Roman"/>
          <w:color w:val="000000"/>
          <w:sz w:val="20"/>
        </w:rPr>
        <w:t>On May 14, 2024, the parties stipulated to dismissal of the Action after the Company voluntarily made limited technical amendments to the Amended NOL Rights Agreement and amendments to its proxy statement. The Company issued the amended proxy statement on May 3, 2024. The Court of Chancery dismissed the Action and retained jurisdiction solely for the purpose of deciding any application of the plaintiff’s counsel for an award of attorneys’ fees and expenses. On May 31, 2024, plaintiff’s counsel filed their motion for an award of attorneys’ fee and expenses in the amount of $2.4 million. The Company and the defendants in the Action oppose such relief and will file a brief in opposition to the Fee Application on or before August 2, 2024. The plaintiff’s reply brief in further support of the Fee Application is due on September 17, 2024. The Court has scheduled a hearing to consider the Fee Application on October 4, 2024</w:t>
      </w:r>
      <w:r>
        <w:rPr>
          <w:rFonts w:ascii="Times New Roman" w:hAnsi="Times New Roman"/>
          <w:i/>
          <w:color w:val="000000"/>
          <w:sz w:val="20"/>
        </w:rPr>
        <w:t xml:space="preserve">. </w:t>
      </w:r>
      <w:r>
        <w:rPr>
          <w:rFonts w:ascii="Times New Roman" w:hAnsi="Times New Roman"/>
          <w:color w:val="000000"/>
          <w:sz w:val="20"/>
        </w:rPr>
        <w:t>As of June 30, 2024, no liability reserve has been established in connection with this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are not designated as hedging instruments. At June 30, 2024 and December 31, 2023, we had no outstanding natural gas contracts accounted for as derivatives. When present, the valuations of the natural gas contracts are classified as Level 2.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2024 and December 31, 2023,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short-term investments are a Level 1. The fair value of financial instruments is not indicative of the overall fair value of our assets and liabilities since financial instruments do not include all assets, including intangibles and all liabilities.</w:t>
      </w:r>
    </w:p>
    <w:tbl>
      <w:tblPr>
        <w:tblW w:w="6268" w:type="dxa"/>
        <w:jc w:val="left"/>
        <w:tblInd w:w="0" w:type="dxa"/>
        <w:tblLayout w:type="fixed"/>
        <w:tblCellMar>
          <w:top w:w="28" w:type="dxa"/>
          <w:left w:w="28" w:type="dxa"/>
          <w:bottom w:w="28" w:type="dxa"/>
          <w:right w:w="28" w:type="dxa"/>
        </w:tblCellMar>
      </w:tblPr>
      <w:tblGrid>
        <w:gridCol w:w="1861"/>
        <w:gridCol w:w="146"/>
        <w:gridCol w:w="252"/>
        <w:gridCol w:w="484"/>
        <w:gridCol w:w="146"/>
        <w:gridCol w:w="146"/>
        <w:gridCol w:w="292"/>
        <w:gridCol w:w="563"/>
        <w:gridCol w:w="146"/>
        <w:gridCol w:w="146"/>
        <w:gridCol w:w="252"/>
        <w:gridCol w:w="484"/>
        <w:gridCol w:w="152"/>
        <w:gridCol w:w="152"/>
        <w:gridCol w:w="292"/>
        <w:gridCol w:w="563"/>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r>
          </w:p>
        </w:tc>
        <w:tc>
          <w:tcPr>
            <w:tcW w:w="152"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Estimated</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0" w:type="dxa"/>
            <w:gridSpan w:val="14"/>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sz w:val="20"/>
        </w:rPr>
      </w:pPr>
      <w:r>
        <w:rPr>
          <w:rFonts w:ascii="Times New Roman" w:hAnsi="Times New Roman"/>
          <w:color w:val="000000"/>
          <w:sz w:val="18"/>
        </w:rPr>
        <w:t>Based on a quoted price of</w:t>
      </w:r>
      <w:r>
        <w:rPr>
          <w:rFonts w:ascii="Times New Roman" w:hAnsi="Times New Roman"/>
          <w:color w:val="000000"/>
          <w:sz w:val="20"/>
        </w:rPr>
        <w:t xml:space="preserve"> </w:t>
      </w:r>
      <w:r>
        <w:rPr>
          <w:rFonts w:ascii="Times New Roman" w:hAnsi="Times New Roman"/>
          <w:color w:val="000000"/>
          <w:sz w:val="18"/>
        </w:rPr>
        <w:t>96.0</w:t>
      </w:r>
      <w:r>
        <w:rPr>
          <w:rFonts w:ascii="Times New Roman" w:hAnsi="Times New Roman"/>
          <w:color w:val="000000"/>
          <w:sz w:val="20"/>
        </w:rPr>
        <w:t xml:space="preserve"> </w:t>
      </w:r>
      <w:r>
        <w:rPr>
          <w:rFonts w:ascii="Times New Roman" w:hAnsi="Times New Roman"/>
          <w:color w:val="000000"/>
          <w:sz w:val="18"/>
        </w:rPr>
        <w:t>at June 30, 2024</w:t>
      </w:r>
      <w:r>
        <w:rPr>
          <w:rFonts w:ascii="Times New Roman" w:hAnsi="Times New Roman"/>
          <w:color w:val="000000"/>
          <w:sz w:val="20"/>
        </w:rPr>
        <w:t xml:space="preserve"> </w:t>
      </w:r>
      <w:r>
        <w:rPr>
          <w:rFonts w:ascii="Times New Roman" w:hAnsi="Times New Roman"/>
          <w:color w:val="000000"/>
          <w:sz w:val="18"/>
        </w:rPr>
        <w:t>and 94.5</w:t>
      </w:r>
      <w:r>
        <w:rPr>
          <w:rFonts w:ascii="Times New Roman" w:hAnsi="Times New Roman"/>
          <w:color w:val="000000"/>
          <w:sz w:val="20"/>
        </w:rPr>
        <w:t xml:space="preserve"> </w:t>
      </w:r>
      <w:r>
        <w:rPr>
          <w:rFonts w:ascii="Times New Roman" w:hAnsi="Times New Roman"/>
          <w:color w:val="000000"/>
          <w:sz w:val="18"/>
        </w:rPr>
        <w:t>at December 31, 2023. Also see discussion in Note 4</w:t>
      </w:r>
      <w:r>
        <w:rPr>
          <w:rFonts w:ascii="Times New Roman" w:hAnsi="Times New Roman"/>
          <w:color w:val="000000"/>
          <w:sz w:val="20"/>
        </w:rPr>
        <w:t xml:space="preserve"> </w:t>
      </w:r>
      <w:r>
        <w:rPr>
          <w:rFonts w:ascii="Times New Roman" w:hAnsi="Times New Roman"/>
          <w:color w:val="000000"/>
          <w:sz w:val="18"/>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 for income taxes is as follows: </w:t>
      </w:r>
    </w:p>
    <w:p>
      <w:pPr>
        <w:pStyle w:val="TextBody"/>
        <w:bidi w:val="0"/>
        <w:jc w:val="both"/>
        <w:rPr/>
      </w:pPr>
      <w:r>
        <w:rPr/>
        <w:t> </w:t>
      </w:r>
    </w:p>
    <w:tbl>
      <w:tblPr>
        <w:tblW w:w="8047" w:type="dxa"/>
        <w:jc w:val="left"/>
        <w:tblInd w:w="0" w:type="dxa"/>
        <w:tblLayout w:type="fixed"/>
        <w:tblCellMar>
          <w:top w:w="28" w:type="dxa"/>
          <w:left w:w="28" w:type="dxa"/>
          <w:bottom w:w="28" w:type="dxa"/>
          <w:right w:w="28" w:type="dxa"/>
        </w:tblCellMar>
      </w:tblPr>
      <w:tblGrid>
        <w:gridCol w:w="2881"/>
        <w:gridCol w:w="146"/>
        <w:gridCol w:w="211"/>
        <w:gridCol w:w="571"/>
        <w:gridCol w:w="166"/>
        <w:gridCol w:w="146"/>
        <w:gridCol w:w="211"/>
        <w:gridCol w:w="631"/>
        <w:gridCol w:w="166"/>
        <w:gridCol w:w="146"/>
        <w:gridCol w:w="211"/>
        <w:gridCol w:w="571"/>
        <w:gridCol w:w="166"/>
        <w:gridCol w:w="146"/>
        <w:gridCol w:w="211"/>
        <w:gridCol w:w="676"/>
        <w:gridCol w:w="7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29" w:type="dxa"/>
            <w:gridSpan w:val="14"/>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791" w:type="dxa"/>
            <w:tcBorders/>
            <w:shd w:fill="FFFFFF" w:val="cle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8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provision for the six months ended June 30, 2024, was $1.9 million (10.9% provision on pre-tax income). The tax provision for the six months ended June 30, 2023, was $8.9 million (17.8% provision on pre-tax income). For 2024, the effective tax rate was lower than the statutory tax rate primarily due to nondeductible compensation expense and state taxes including deferred benefits from state law changes. For 2023, the effective tax rate is lower than the statutory tax rate primarily due to deferred benefits from state tax law changes, partially offset by state taxes, including state valuation allowances on certain newly generated state tax attributes.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$0.6 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and certain of its subsidiaries file income tax returns in the U.S. federal jurisdiction and various state jurisdictions. With few exceptions, the 2020-2023 years remain open for all purposes of examination by the U.S. Internal Revenue Service (“IRS”) and other major tax jurisdictions. Additionally, the 2013-2019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principal product types:</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14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44" w:type="dxa"/>
            <w:gridSpan w:val="14"/>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127,833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most of our contracts have an original expected duration of one year or less, for our contracts with a duration greater than one year at contract inception, the average remaining expected duration was approximately 37 months at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We had approximately $0.1 million and $1.0 million of contract liabilities as of June 30, 2024 and December 31, 2023, respectively. For the three and six months ended June 30, 2024, revenues of $2.3 million and $0.8 million, respectively, were recognized and included in the balances as of March 31, 2024 and December 31, 2023. For the three and six months ended June 30, 2023, revenues of $3.2 million and $1.5 million, respectively, were recognized and included in the balances as of March 31, 2023 and December 31, 2022. Our contract assets consist of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June 30, 2024,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$88.8 million, of which approximately 54% of this amount relates to 2024 through 2026, approximately 19% relates to 2027 through 2028, with the remainder thereafter.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2024, we had one outstanding financing arrangement with an affiliate of Eldridge as discussed in footnote (C) of Note 4. An affiliate of Eldridge holds $30 million of the Senior Secured Notes.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Supplemental Cash Flow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8859" w:type="dxa"/>
        <w:jc w:val="left"/>
        <w:tblInd w:w="0" w:type="dxa"/>
        <w:tblLayout w:type="fixed"/>
        <w:tblCellMar>
          <w:top w:w="28" w:type="dxa"/>
          <w:left w:w="28" w:type="dxa"/>
          <w:bottom w:w="28" w:type="dxa"/>
          <w:right w:w="28" w:type="dxa"/>
        </w:tblCellMar>
      </w:tblPr>
      <w:tblGrid>
        <w:gridCol w:w="6216"/>
        <w:gridCol w:w="146"/>
        <w:gridCol w:w="211"/>
        <w:gridCol w:w="676"/>
        <w:gridCol w:w="166"/>
        <w:gridCol w:w="146"/>
        <w:gridCol w:w="211"/>
        <w:gridCol w:w="676"/>
        <w:gridCol w:w="4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411" w:type="dxa"/>
            <w:tcBorders/>
            <w:shd w:fill="FFFFFF" w:val="cle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411" w:type="dxa"/>
            <w:tcBorders/>
            <w:shd w:fill="FFFFFF" w:val="clear"/>
            <w:vAlign w:val="center"/>
          </w:tcPr>
          <w:p>
            <w:pPr>
              <w:pStyle w:val="TableContents"/>
              <w:bidi w:val="0"/>
              <w:spacing w:before="0" w:after="283"/>
              <w:jc w:val="left"/>
              <w:rPr/>
            </w:pPr>
            <w:r>
              <w:rPr/>
              <w:t> </w:t>
            </w:r>
          </w:p>
        </w:tc>
      </w:tr>
      <w:tr>
        <w:trPr/>
        <w:tc>
          <w:tcPr>
            <w:tcW w:w="6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associated with debt-related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a review of the other Items included in this Form 10-Q and our June 30, 2024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industrial and mining markets. We own and operate three multi-plant facilities in Cherokee, Alabama, El Dorado, Arkansas and Pryor, Oklahoma and operate a facility on behalf of Covestro in Baytown, Texas. Our products are sold through distributors and directly to end customers primarily throughout the U.S. and other parts of North America.</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Key Operating Initiatives for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2023 our Total Recordable Injury Rate was 0.33, a significant improvement from previous years. In 2024, we remain focused on our efforts to further the progress we have made with our safety programs to move closer to attaining zero injuries. We have been investing and plan to continue to invest additional capital at all three of our facilities during 2024 to build upon the success we have had in implementing enhanced safety programs during the last several years.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Continue Optimization and Increase the Breadth of Distribution of our Product Mix. </w:t>
      </w:r>
      <w:r>
        <w:rPr>
          <w:rFonts w:ascii="Times New Roman" w:hAnsi="Times New Roman"/>
          <w:color w:val="000000"/>
          <w:sz w:val="20"/>
        </w:rPr>
        <w:t>We have initiatives underway to increase the distribution of 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are advancing several capital improvement projects with the intention of increasing our sales volumes of higher value downstream products resulting in improvements in our overall profit margins.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Development of Low Carbon Ammonia and Clean Energy Projects.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Low-carbon ammonia can be used as a coal and natural gas substitute in power generation, a zero-carbon fuel in the maritime sector, and as a carbon free fertilizer. If ammonia were to be adopted for these and other energy needs globally, some studies have indicated that future demand could increase from current levels of global annual production of ammonia.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are currently evaluating and developing projects that could enable us to become a producer and marketer of low-carbon ammonia and other derivative products. These include a low-carbon ammonia project at our El Dorado facility in collaboration with Lapis Energy and a low-carbon ammonia project on the Houston Ship Channel in conjunction with INPEX Corporation (“INPEX”), Air Liquide Group (“Air Liquide”) and Vopak Exolum Houston LLC (f/k/a Vopak Moda Houston LLC), a joint venture between Royal Vopak and Exolum (“Vopak Exolum”). Low-carbon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power generation, marine, industrial, mining and agricultural customers seeking to reduce their carbon footprint and potentially capitalize on government incentives.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we are well-positioned to capitalize on this opportunity and become a market leader given our potential to retrofit our existing plants, which we believe can reduce our time to market for low-carbon ammonia and also reduce the upfront capital expenditures necessary to enable us to produce this product. Additionally, we are collaborating with other energy-related companies to develop greenfield projects where we expect to mitigate risk through shared investment of capital as well as by negotiating potential offtake agreements from customers for the output of these plants.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have elected to put the El Dorado expansion projects on hold for the current year and will reevaluate the prospects of moving forward with one or more of them in 2025.</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several smaller, more near-term projects currently underway that we expect to enhance our profitability beginning in the second half of 2024 with relatively minimal capital investment. These projects include: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Construction of additional AN solution storage and new AN solution rail loading capability at our El Dorado facility to significantly increase the volume of AN solution sales and increase product optionality at the site;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to help us optimize our product sales mix;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Expansion of our urea capacity at our Pryor facility, to enable to use a portion of the facility’s ammonia output to upgrade to approximately 75,000 additional tons of UAN per year.</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Advanced Low-Carbon Ammonia Initiatives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2024, we announced an agreement to supply up to 150,000 short tons per year of low carbon ammonium nitrate solution (“ANS”) to Freeport Minerals Corporation (“Freeport”). LSB will supply the ANS from its El Dorado, Arkansas facility for 5 years commencing January 1, 2025, with a phasing in of the low carbon contracted volume. Freeport intends to use the low carbon ANS purchased from LSB for its United States copper mining operations.</w:t>
      </w:r>
    </w:p>
    <w:p>
      <w:pPr>
        <w:pStyle w:val="TextBody"/>
        <w:bidi w:val="0"/>
        <w:jc w:val="left"/>
        <w:rPr>
          <w:rFonts w:ascii="Times New Roman" w:hAnsi="Times New Roman"/>
          <w:color w:val="000000"/>
          <w:sz w:val="20"/>
        </w:rPr>
      </w:pPr>
      <w:r>
        <w:rPr>
          <w:rFonts w:ascii="Times New Roman" w:hAnsi="Times New Roman"/>
          <w:color w:val="000000"/>
          <w:sz w:val="20"/>
        </w:rPr>
        <w:t>In October 2023, we announced a collaboration with INPEX, Air Liquide and Vopak Exolum to conduct a pre-FEED for the development of a large-scale, low-carbon ammonia production and export project on the Houston Ship Channel. If the development proceeds, the project’s first phase is targeted to produce more than 1.1 million metric tons per year of low-carbon ammonia by early 2029, with options for future production expansions.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parties completed a feasibility study on the project during the first quarter of 2023 and the proposed facility’s location on the Houston Ship Channel, the second largest petrochemical corridor in the world, leverages existing infrastructure assets. Vopak Exolum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project partners will bring complementary expertise to the production, operation, storage and export for the advancement of low-carbon ammonia production in the US:</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rPr>
        <w:t>Air Liquide, a world leader in industrial gas production, and INPEX, Japan’s largest energy exploration and production company, would collaborate on low-carbon hydrogen production. Air Liquide would supply its Autothermal Reforming (“ATR”) technology, an ideal solution for large-scale hydrogen production projects, combined with its proprietary carbon capture technology. The combination of ATR technology with carbon capture aims to capture at least 95% of direct CO</w:t>
      </w:r>
      <w:r>
        <w:rPr>
          <w:rFonts w:ascii="Times New Roman" w:hAnsi="Times New Roman"/>
          <w:color w:val="000000"/>
          <w:sz w:val="13"/>
        </w:rPr>
        <w:t xml:space="preserve">2 </w:t>
      </w:r>
      <w:r>
        <w:rPr>
          <w:rFonts w:ascii="Times New Roman" w:hAnsi="Times New Roman"/>
          <w:color w:val="000000"/>
          <w:sz w:val="20"/>
        </w:rPr>
        <w:t>emissions from hydrogen production with approximately 1.6 million metric tons per year of CO</w:t>
      </w:r>
      <w:r>
        <w:rPr>
          <w:rFonts w:ascii="Times New Roman" w:hAnsi="Times New Roman"/>
          <w:color w:val="000000"/>
          <w:sz w:val="13"/>
        </w:rPr>
        <w:t>2</w:t>
      </w:r>
      <w:r>
        <w:rPr>
          <w:color w:val="000000"/>
        </w:rPr>
        <w:t xml:space="preserve"> </w:t>
      </w:r>
      <w:r>
        <w:rPr>
          <w:rFonts w:ascii="Times New Roman" w:hAnsi="Times New Roman"/>
          <w:color w:val="000000"/>
          <w:sz w:val="20"/>
        </w:rPr>
        <w:t xml:space="preserve">captured and permanently sequestered from this project. Air Liquide would also be responsible for onsite nitrogen and oxygen production, using its proprietary Air Separation Unit technology.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INPEX and LSB would collaborate on low-carbon ammonia production. LSB led the selection of KBR Inc. as the ammonia loop technology provider, and will lead the pre-FEED, engineering, procurement and construction of the facility. LSB would also be responsible for the day-to-day operation of the ammonia loop.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INPEX and LSB would sell the low-carbon ammonia and finalize off-take agreements with the numerous parties that have expressed interest and could also further partner in the project. The majority of the product would be used for power generation in Asia with volumes also going to Europe and the U.S. INPEX, with stakes in both hydrogen and ammonia production, will likely be the largest investor in the overall project across the entire value chain, from production to export.</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Vopak Exolum currently operates ammonia storage and handling infrastructure from its Very Large Gas Carriers-capable deepwater berth located in the deepest part of the Houston Ship Channel. Vopak Exolum will maintain its ownership of the existing infrastructure and plans to build additional storage capacity as required to handle the low-carbon ammonia production from the proposed new facility.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2023, we entered into a non-binding memorandum of understanding (the "MOU") with Amogy Inc. (“Amogy”) aimed at developing the adoption of low-carbon ammonia as a marine fuel, initially for the U.S. inland waterways transportation sector. Through joint efforts, we and Amogy will focus on advancing the understanding, utilization, and advocacy of low-carbon ammonia as a sustainable fuel. Pursuant to the MOU, the companies will collaborate on the evaluation and development of a pilot program that integrates our low-carbon ammonia and Amogy’s ammonia-to-power solution. Upon successful completion of the evaluation and pilot program, the companies expect to further collaborate at a larger-scale, including exploration of opportunities for development of an end-to-end supply chain of low-carbon ammonia and deployment of Amogy technology across multiple applications, including maritime vessels. The evaluation and pilot program includes potential engagement with other parties across the ammonia value chain. We will also collaborate on various advocacy, education, and outreach efforts regarding the use of ammonia as a fuel.</w:t>
      </w:r>
    </w:p>
    <w:p>
      <w:pPr>
        <w:pStyle w:val="TextBody"/>
        <w:bidi w:val="0"/>
        <w:spacing w:before="0" w:after="120"/>
        <w:jc w:val="left"/>
        <w:rPr>
          <w:rFonts w:ascii="Times New Roman" w:hAnsi="Times New Roman"/>
          <w:sz w:val="20"/>
        </w:rPr>
      </w:pPr>
      <w:r>
        <w:rPr>
          <w:rFonts w:ascii="Times New Roman" w:hAnsi="Times New Roman"/>
          <w:color w:val="000000"/>
          <w:sz w:val="20"/>
        </w:rPr>
        <w:t>In April 2022, we entered into an agreement with Lapis Energy to develop a project to capture and sequester CO</w:t>
      </w:r>
      <w:r>
        <w:rPr>
          <w:rFonts w:ascii="Times New Roman" w:hAnsi="Times New Roman"/>
          <w:color w:val="000000"/>
          <w:sz w:val="13"/>
        </w:rPr>
        <w:t xml:space="preserve">2 </w:t>
      </w:r>
      <w:r>
        <w:rPr>
          <w:rFonts w:ascii="Times New Roman" w:hAnsi="Times New Roman"/>
          <w:color w:val="000000"/>
          <w:sz w:val="20"/>
        </w:rPr>
        <w:t>at our El Dorado, Arkansas facility. Lapis, backed by Cresta Fund Management, a Dallas-based middle-market infrastructure investment firm, will invest the majority of the capital required for project development. The project is expected to be completed and operational by early 2026,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per year in underground saline aquifers. The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sequestered. Lapis, as the majority owner of the carbon capture and sequestration equipment, will earn the 45Q tax credits and will pay us a fee for each ton of CO</w:t>
      </w:r>
      <w:r>
        <w:rPr>
          <w:rFonts w:ascii="Times New Roman" w:hAnsi="Times New Roman"/>
          <w:color w:val="000000"/>
          <w:sz w:val="13"/>
        </w:rPr>
        <w:t xml:space="preserve">2 </w:t>
      </w:r>
      <w:r>
        <w:rPr>
          <w:rFonts w:ascii="Times New Roman" w:hAnsi="Times New Roman"/>
          <w:color w:val="000000"/>
          <w:sz w:val="20"/>
        </w:rPr>
        <w:t>captured and sequestered beginning in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LSB’s overall scope 1 GHG emissions by approximately 25% from current levels. In addition, sequestering approximately 400,000 to 500,000 metric tons of CO</w:t>
      </w:r>
      <w:r>
        <w:rPr>
          <w:rFonts w:ascii="Times New Roman" w:hAnsi="Times New Roman"/>
          <w:color w:val="000000"/>
          <w:sz w:val="13"/>
        </w:rPr>
        <w:t xml:space="preserve">2 </w:t>
      </w:r>
      <w:r>
        <w:rPr>
          <w:rFonts w:ascii="Times New Roman" w:hAnsi="Times New Roman"/>
          <w:color w:val="000000"/>
          <w:sz w:val="20"/>
        </w:rPr>
        <w:t>annually is expected to enable LSB to produce approximately 305,000 to 380,000 metric tons of low-carbon ammonia annually, a product that could potentially be sold at higher price levels than conventional ammonia. In February 2023, a key milestone was achieved in the advancement of our low-carbon ammonia project at El Dorado by filing a pre-construction Class VI permit application with the U.S. Environmental Protection Agency (the “EPA”). The EPA recognized the application as complete in March 2023 and is currently in the review process.</w:t>
      </w:r>
    </w:p>
    <w:p>
      <w:pPr>
        <w:pStyle w:val="TextBody"/>
        <w:bidi w:val="0"/>
        <w:spacing w:before="0" w:after="120"/>
        <w:jc w:val="left"/>
        <w:rPr>
          <w:rFonts w:ascii="Times New Roman" w:hAnsi="Times New Roman"/>
          <w:i/>
          <w:color w:val="000000"/>
          <w:sz w:val="20"/>
          <w:u w:val="single"/>
        </w:rPr>
      </w:pPr>
      <w:r>
        <w:rPr>
          <w:rFonts w:ascii="Times New Roman" w:hAnsi="Times New Roman"/>
          <w:i/>
          <w:color w:val="000000"/>
          <w:sz w:val="20"/>
          <w:u w:val="single"/>
        </w:rPr>
        <w:t>Lower Natural Gas Input Costs Offset by Modestly Lower Selling Prices and Weather-Effected Sales Volume Declines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Second quarter results benefited from lower natural gas feedstock costs relative to the second quarter of 2023. Selling prices were down compared to the prior year second quarter; however, the impact of year-over-year pricing declines was significantly smaller than it had been in the previous five quarters due, in part, to a stabilization of supply-demand dynamics. Sales volumes of our products decreased in the second quarter of 2024 as compared to the same quarter of 2023 as a result of lower sales volumes of HDAN resulting from wet weather in key markets for this product in late May and June, in addition to timing of agricultural ammonia demand, which was heavier than average in the first quarter of 2024, translating into lower orders during the second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Nitrogen chemical prices declined from 2022 peak levels through much of 2023 due to a variety of domestic and international factors. One of the most significant of these factors was the decline in natural gas costs in Europe. Natural gas is the primary feedstock for the production of ammonia and a key driver of ammonia selling prices globally. During the second half of 2022 and first half of 2023, natural gas prices in Europe dropped as relatively warm winter temperatures reduced demand, which, combined with a rise in imports of liquified natural gas from the U.S., resulted in ample supply and high gas storage inventories. After having production largely curtailed for much of 2022 due to the high input costs, lower natural gas prices enabled a majority of European ammonia facilities to resume operations over the course of 2023, increasing global supply for nitrogen products. These gas supply dynamics persisted in the first half of 2024, keeping natural gas costs in Europe at levels similar to much of 2023. However, natural gas prices in Europe remain significantly higher than those in the U.S., making European operators the high cost, or marginal producers, of ammonia globally.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slowdown in Far East Asian industrial activity combined with lower demand for phosphate products also contributed to lower nitrogen prices during much of 2023 and the first half of 2024. Ammonia is a feedstock for various downstream chemicals that are produced in Asia, such as polyurethane, caprolactam and acrylonitrile, and markets for these products continue to be weak, resulting in reduced ammonia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pressures on nitrogen pricing, ammonia prices thus far in 2024 have been significantly above lows reached in July 2023, supported by a combination of global factors, including: strong U.S. demand for nitrogen fertilizers in the fourth quarter of 2023 and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first half of 2024; multiple unplanned production outages in the U.S. due to cold weather events; constraints in global supply do to an extended turnaround at a large Saudi Arabian facility and natural gas curtailments in Trinidad and Egypt; constrained ammonia imports into Europe from the Middle East due to the disruption of shipping through the Suez canal; and the delayed start-up of new production capacity. We believe ammonia pricing could moderate over the balance of 2024 for a variety of reasons, including: the start-up of new production capacity during the second half of the year, an increase in Russian exports during the second half of the year, and continued muted demand for nitrogen products from the global industrial sector, particularly in Asia. Upside to our 2024 pricing expectations could be driven by a variety of factors, including: an increase in energy prices, a strengthening Chinese economy driving increased industrial market demand, further delays in new production capacity coming online, ongoing gas curtailments in regions exporting ammonia, a lower interest rate environment and supportive weather dynamics.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is stable despite persistent global economic challenges. Nitric acid demand has been steady, reflecting the strength of the U.S. economy and robust consumer spending levels. Demand for AN for use in mining applications has been bolstered by positive exposure to copper, gold and iron ore, as well as continued attractive market fundamentals for aggregate production relating to infrastructure construction. While some degree of economic uncertainty persists, we believe that we have a meaningful degree of downside protection in our industrial business given our diverse customer base, the nature of our contracts and our ability to shift our production mix to products where demand and pricing are strongest.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trends in our agricultural markets, corn prices have declined since early 2023 due largely to rising stocks-to-use ratios. The increased corn supply reflects lower demand from large corn consuming countries, such as China, and increased global competition from other corn producing nations, along with a multi-year high U.S. corn harvest in 2023, among other factors. Additionally, the USDA is currently estimating that U.S. farmers planted approximately 91.5 million acres of corn during the Spring 2024 planting season, down slightly from 2023, but at a level that would further increase corn supplies. Recently, weather trends in certain corn growing regions of the U.S. have been such that 2024 corn yields could be adversely affected, which could translate into stronger corn prices later this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July 12, 2024 (“July Report”), farmers planted approximately 91.5 million acres of corn in 2024, down 3.3% compared to the 2023 planting season. In addition, the U.S. Department of Agriculture (“USDA”) estimates the U.S. ending stocks for the 2024 Harvest will be approximately 53.3 million metric tons, a 11.7% increase from the 2023 Harvest. The USDA's expected yield for the 2024 Harvest is 181.0, up approximately 2.1% from a year ago.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July 2024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22"/>
        <w:gridCol w:w="146"/>
        <w:gridCol w:w="211"/>
        <w:gridCol w:w="984"/>
        <w:gridCol w:w="146"/>
        <w:gridCol w:w="146"/>
        <w:gridCol w:w="211"/>
        <w:gridCol w:w="984"/>
        <w:gridCol w:w="146"/>
        <w:gridCol w:w="146"/>
        <w:gridCol w:w="218"/>
        <w:gridCol w:w="698"/>
        <w:gridCol w:w="325"/>
        <w:gridCol w:w="211"/>
        <w:gridCol w:w="984"/>
        <w:gridCol w:w="146"/>
        <w:gridCol w:w="146"/>
        <w:gridCol w:w="218"/>
        <w:gridCol w:w="698"/>
        <w:gridCol w:w="319"/>
      </w:tblGrid>
      <w:tr>
        <w:trPr/>
        <w:tc>
          <w:tcPr>
            <w:tcW w:w="3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25" w:type="dxa"/>
            <w:tcBorders/>
            <w:shd w:fill="FFFFFF" w:val="clear"/>
            <w:vAlign w:val="center"/>
          </w:tcPr>
          <w:p>
            <w:pPr>
              <w:pStyle w:val="TableContents"/>
              <w:bidi w:val="0"/>
              <w:spacing w:before="0" w:after="283"/>
              <w:jc w:val="center"/>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r>
      <w:tr>
        <w:trPr/>
        <w:tc>
          <w:tcPr>
            <w:tcW w:w="31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5" w:type="dxa"/>
            <w:tcBorders/>
            <w:shd w:fill="FFFFFF" w:val="clear"/>
            <w:vAlign w:val="center"/>
          </w:tcPr>
          <w:p>
            <w:pPr>
              <w:pStyle w:val="TableContents"/>
              <w:bidi w:val="0"/>
              <w:spacing w:before="0" w:after="283"/>
              <w:jc w:val="center"/>
              <w:rPr/>
            </w:pPr>
            <w:r>
              <w:rPr/>
              <w:t> </w:t>
            </w:r>
          </w:p>
        </w:tc>
        <w:tc>
          <w:tcPr>
            <w:tcW w:w="11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9" w:type="dxa"/>
            <w:tcBorders/>
            <w:shd w:fill="FFFFFF" w:val="clear"/>
            <w:vAlign w:val="center"/>
          </w:tcPr>
          <w:p>
            <w:pPr>
              <w:pStyle w:val="TableContents"/>
              <w:bidi w:val="0"/>
              <w:spacing w:before="0" w:after="283"/>
              <w:jc w:val="center"/>
              <w:rPr/>
            </w:pPr>
            <w:r>
              <w:rPr/>
              <w:t> </w:t>
            </w:r>
          </w:p>
        </w:tc>
      </w:tr>
      <w:tr>
        <w:trPr/>
        <w:tc>
          <w:tcPr>
            <w:tcW w:w="3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July Report for the 2024/2025 ("2025 Crop"), 2023/2024 (“2024 Crop”) and 2022/2023 (“2023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2024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2023 Crop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USDA corn outlook for the U.S. calls for larger supplies, greater domestic use and exports, and lower ending stocks. Corn production is forecast up on greater planted and harvested area from the USDA June Acreage Report. Yield is unchanged at 181 bushels an acre, and ending stocks are down. From a demand perspective, corn prices have declined since early 2023 due largely to rising stocks-to-use ratios.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Demand for our industrial products has remained stable despite persistent global economic challenges in the second quarter of 2024. Nitric acid demand has been steady, reflecting the strength of the U.S. economy and robust consumer spending levels. Our sales prices generally vary with the market price of ammonia or natural gas, as applicable, in our pricing arrangements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mining products are LDAN and AN solution, which are primarily used as AN fuel oil and specialty emulsions for usage in the quarry and the construction industries, for metals mining and to a lesser extent, for coal. Demand for AN for use in mining applications has been bolstered by positive exposure to copper, gold and iron ore, as well as continued attractive market fundamentals for aggregate production relating to infrastructure construction.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some degree of economic uncertainty persists for 2024, we believe that we have a meaningful degree of downside protection in our industrial business given our diverse customer base, the nature of our contracts and our ability to shift our production mix to products where demand and pricing are strongest.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volume of natural gas purchased and the average cost per MMBtu:</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3526"/>
        <w:gridCol w:w="146"/>
        <w:gridCol w:w="232"/>
        <w:gridCol w:w="514"/>
        <w:gridCol w:w="161"/>
        <w:gridCol w:w="161"/>
        <w:gridCol w:w="232"/>
        <w:gridCol w:w="514"/>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91" w:type="dxa"/>
            <w:tcBorders/>
            <w:shd w:fill="FFFFFF" w:val="cle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Turnarounds, are mitigated through a diligent planning process that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lost fixed cost absorption and increased repair and maintenance costs, which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Pryor Facility is currently on a two-year ammonia plant Turnaround cycle with the next ammonia plant Turnaround planned in the third quarter of 2024. Our Cherokee Facility is currently on a three-year ammonia plant Turnaround cycle with the next ammonia plant Turnaround planned in the fourth quarter of 2024. Our El Dorado Facility is currently on a three-year ammonia plant Turnaround cycle with the next ammonia plant Turnaround planned in the third quarter of 2025.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is the basic product used to produce all of our upgraded products. The ammonia production rates of our plants affect the total cost per ton of each product produced and the overall sales of our products. For 2024, we are targeting total ammonia production of approximately 780,000 tons to 800,000 tons.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90 days.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second quarter of 2024 were $140.1 million compared to $165.8 million for the same period in 2023. Our consolidated operating income for the second quarter of 2024 was $14.4 million compared to operating income of $27.5 million for the same period in 2023.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Second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quarter of 2024, average selling prices for our key products decreased compared to the second quarter of 2023, however, the impact of year-over-year pricing declines was significantly smaller than it had been in the previous five quarters due, in part, to a stabilization of supply-demand dynamics. As discussed above under “Recent Business Developments,” declining European natural gas prices resulted in ammonia production costs in Europe declining substantially, translating into increased global supply and lower selling prices for ammonia and ammonia derivative fertilizers.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Gain on Extinguishment of Senior Secured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2024 we repurchased $63.7 million in principal amount of our Senior Secured Notes for approximately $60.9 million. Including our write-off of the associated remaining portion of unamortized debt issuance costs, we recognized a gain on extinguishment of approximately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2023 we repurchased $125 million in principal amount of our Senior Secured Notes for approximately $114.3 million. Including our write-off of the associated remaining portion of unamortized debt issuance costs, we recognized a gain on extinguishment of approximately $8.6 million.</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Results of Operations should be read in conjunction with our condensed consolidated financial statements for the three months ended June 30, 2024 and 2023 and accompanying notes and the discussions under “Overview” and “Liquidity and Capital Resources” included in this MD&amp;A.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June 30, 2024 Compared to Three Months Ended June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contains certain financial information: </w:t>
      </w:r>
    </w:p>
    <w:tbl>
      <w:tblPr>
        <w:tblW w:w="985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736"/>
        <w:gridCol w:w="331"/>
        <w:gridCol w:w="146"/>
        <w:gridCol w:w="230"/>
        <w:gridCol w:w="761"/>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69,561</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52,949</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w:t>
      </w:r>
    </w:p>
    <w:tbl>
      <w:tblPr>
        <w:tblW w:w="8341" w:type="dxa"/>
        <w:jc w:val="left"/>
        <w:tblInd w:w="0" w:type="dxa"/>
        <w:tblLayout w:type="fixed"/>
        <w:tblCellMar>
          <w:top w:w="28" w:type="dxa"/>
          <w:left w:w="28" w:type="dxa"/>
          <w:bottom w:w="28" w:type="dxa"/>
          <w:right w:w="28" w:type="dxa"/>
        </w:tblCellMar>
      </w:tblPr>
      <w:tblGrid>
        <w:gridCol w:w="2796"/>
        <w:gridCol w:w="146"/>
        <w:gridCol w:w="146"/>
        <w:gridCol w:w="781"/>
        <w:gridCol w:w="146"/>
        <w:gridCol w:w="146"/>
        <w:gridCol w:w="146"/>
        <w:gridCol w:w="781"/>
        <w:gridCol w:w="146"/>
        <w:gridCol w:w="146"/>
        <w:gridCol w:w="146"/>
        <w:gridCol w:w="736"/>
        <w:gridCol w:w="166"/>
        <w:gridCol w:w="146"/>
        <w:gridCol w:w="277"/>
        <w:gridCol w:w="714"/>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8033" w:type="dxa"/>
        <w:jc w:val="left"/>
        <w:tblInd w:w="0" w:type="dxa"/>
        <w:tblLayout w:type="fixed"/>
        <w:tblCellMar>
          <w:top w:w="28" w:type="dxa"/>
          <w:left w:w="28" w:type="dxa"/>
          <w:bottom w:w="28" w:type="dxa"/>
          <w:right w:w="28" w:type="dxa"/>
        </w:tblCellMar>
      </w:tblPr>
      <w:tblGrid>
        <w:gridCol w:w="3166"/>
        <w:gridCol w:w="146"/>
        <w:gridCol w:w="246"/>
        <w:gridCol w:w="491"/>
        <w:gridCol w:w="170"/>
        <w:gridCol w:w="170"/>
        <w:gridCol w:w="246"/>
        <w:gridCol w:w="491"/>
        <w:gridCol w:w="146"/>
        <w:gridCol w:w="146"/>
        <w:gridCol w:w="264"/>
        <w:gridCol w:w="472"/>
        <w:gridCol w:w="166"/>
        <w:gridCol w:w="146"/>
        <w:gridCol w:w="346"/>
        <w:gridCol w:w="645"/>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28" w:type="dxa"/>
        <w:jc w:val="left"/>
        <w:tblInd w:w="0" w:type="dxa"/>
        <w:tblLayout w:type="fixed"/>
        <w:tblCellMar>
          <w:top w:w="28" w:type="dxa"/>
          <w:left w:w="28" w:type="dxa"/>
          <w:bottom w:w="28" w:type="dxa"/>
          <w:right w:w="28" w:type="dxa"/>
        </w:tblCellMar>
      </w:tblPr>
      <w:tblGrid>
        <w:gridCol w:w="3046"/>
        <w:gridCol w:w="146"/>
        <w:gridCol w:w="246"/>
        <w:gridCol w:w="491"/>
        <w:gridCol w:w="170"/>
        <w:gridCol w:w="170"/>
        <w:gridCol w:w="246"/>
        <w:gridCol w:w="491"/>
        <w:gridCol w:w="146"/>
        <w:gridCol w:w="146"/>
        <w:gridCol w:w="294"/>
        <w:gridCol w:w="442"/>
        <w:gridCol w:w="166"/>
        <w:gridCol w:w="146"/>
        <w:gridCol w:w="313"/>
        <w:gridCol w:w="678"/>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814"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decreased during the second quarter of 2024 compared to the prior year period driven by the impact of lower selling prices for acids and UAN and lower volumes for acids and ammonia relative to the second quarter of 2023. Also impacting sales volumes was lower sales volumes of HDAN resulting from wet weather in key markets for this product in late May and June, in addition to timing of agricultural ammonia demand, which was heavier than average in the first quarter of 2024, translating into lower orders during the second quarter. Partially offsetting this decrease was improved pricing for ammonia and increased UAN sales volumes. Additionally, we benefited from a healthy increase in downstream production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remains stable despite continued global economic challenges. In some cases, our contractual agreements with industrial customers specify minimum volumes and our product mix flexibility helps us mitigate the impact of a reduction in demand from certain end markets by shifting production to products with stronger demand.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profit of $27.4 million for the second quarter of 2024 compared to $36.0 million for the same period in 2023, or an $8.6 million reduction. Overall, our gross profit percentage was 19.6% compared to a gross profit percentage of 21.7% for the same period in 2023. Our adjusted gross profit percentage increased to 35.4% for the second quarter of 2024 from 31.9% for the second quarter of 2023. Our overall gross profit for the second quarter of 2024 is primarily lower compared to the same period of 2023 due to overall lower sales prices and volume for our products, turnaround expenses and higher depreciation partially offset by lower natural gas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$11.5 million for the second quarter of 2024, an increase of $2.1 million compared to the same period in 2023. The net increase was primarily driven by increases in professional fees and payroll related items partially offset by a reduction in depreciation and amortization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second quarter of 2024 was $8.4 million compared to $11.8 million for the same period in 2023. The decrease primarily relates to reduced interest expense as a result of the lower outstanding balance on our 6.25% Senior Secured Notes as a result of recent repurchases along with a lower outstanding principal balance our Secured Financing due 2025 as a result of repayments.</w:t>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we repurchased $63.7 million of our Senior Secured Notes through open market transactions for approximately $60.9 million. As a result, we recognized a gain on extinguishment of debt, net of issuance costs, of approximately $1.9 million. During the second quarter of 2023 we repurchased $125 million of our Senior Secured Notes through open market transactions for approximately $114.3 million. As a result, we recognized a gain on extinguishment of debt net of issuance costs of approximately $8.6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(income), net during the second quarter of 2024 and 2023 primarily relates to losses from disposal or abandonment of assets no longer being used in operations offset by short-term rental income from railcar subleases. The losses were higher and rental income was lower in the current quarter compared to the prior year quarter.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second quarter of 2024 was $2.9 million compared to $3.8 million for the same period of 2023,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the second quarter of 2024 was $1.3 million compared to $3.0 million for the same period of 2023. The resulting effective tax rate for the second quarter of 2024 was 11.6% compared to 10.6% for the same period of 2023. For the second quarter of 2024, the effective tax rate is lower than the statutory rate primarily due to nondeductible compensation and deferred benefits from state tax law changes. For the second quarter of 2023, the effective tax rate is less than the statutory rate primarily due to deferred benefits from state tax law changes. See discussion in Note 7.</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Six Months Ended June 30, 2024 Compared to Six Months Ended June 30, 2023</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contains certain financial information: </w:t>
      </w:r>
    </w:p>
    <w:p>
      <w:pPr>
        <w:pStyle w:val="TextBody"/>
        <w:bidi w:val="0"/>
        <w:jc w:val="both"/>
        <w:rPr/>
      </w:pPr>
      <w:r>
        <w:rPr/>
        <w:t> </w:t>
      </w:r>
    </w:p>
    <w:tbl>
      <w:tblPr>
        <w:tblW w:w="985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736"/>
        <w:gridCol w:w="331"/>
        <w:gridCol w:w="146"/>
        <w:gridCol w:w="197"/>
        <w:gridCol w:w="794"/>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127,833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346,809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37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24,048</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w:t>
      </w:r>
    </w:p>
    <w:tbl>
      <w:tblPr>
        <w:tblW w:w="8341" w:type="dxa"/>
        <w:jc w:val="left"/>
        <w:tblInd w:w="0" w:type="dxa"/>
        <w:tblLayout w:type="fixed"/>
        <w:tblCellMar>
          <w:top w:w="28" w:type="dxa"/>
          <w:left w:w="28" w:type="dxa"/>
          <w:bottom w:w="28" w:type="dxa"/>
          <w:right w:w="28" w:type="dxa"/>
        </w:tblCellMar>
      </w:tblPr>
      <w:tblGrid>
        <w:gridCol w:w="2796"/>
        <w:gridCol w:w="146"/>
        <w:gridCol w:w="146"/>
        <w:gridCol w:w="781"/>
        <w:gridCol w:w="146"/>
        <w:gridCol w:w="146"/>
        <w:gridCol w:w="146"/>
        <w:gridCol w:w="781"/>
        <w:gridCol w:w="146"/>
        <w:gridCol w:w="146"/>
        <w:gridCol w:w="146"/>
        <w:gridCol w:w="736"/>
        <w:gridCol w:w="166"/>
        <w:gridCol w:w="146"/>
        <w:gridCol w:w="277"/>
        <w:gridCol w:w="714"/>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both"/>
        <w:rPr/>
      </w:pPr>
      <w:r>
        <w:rPr/>
        <w:t> </w:t>
      </w:r>
    </w:p>
    <w:tbl>
      <w:tblPr>
        <w:tblW w:w="7837" w:type="dxa"/>
        <w:jc w:val="left"/>
        <w:tblInd w:w="0" w:type="dxa"/>
        <w:tblLayout w:type="fixed"/>
        <w:tblCellMar>
          <w:top w:w="28" w:type="dxa"/>
          <w:left w:w="28" w:type="dxa"/>
          <w:bottom w:w="28" w:type="dxa"/>
          <w:right w:w="28" w:type="dxa"/>
        </w:tblCellMar>
      </w:tblPr>
      <w:tblGrid>
        <w:gridCol w:w="3166"/>
        <w:gridCol w:w="146"/>
        <w:gridCol w:w="219"/>
        <w:gridCol w:w="438"/>
        <w:gridCol w:w="152"/>
        <w:gridCol w:w="152"/>
        <w:gridCol w:w="219"/>
        <w:gridCol w:w="438"/>
        <w:gridCol w:w="146"/>
        <w:gridCol w:w="146"/>
        <w:gridCol w:w="224"/>
        <w:gridCol w:w="512"/>
        <w:gridCol w:w="166"/>
        <w:gridCol w:w="146"/>
        <w:gridCol w:w="277"/>
        <w:gridCol w:w="714"/>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618"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8"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76"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tbl>
      <w:tblPr>
        <w:tblW w:w="7732" w:type="dxa"/>
        <w:jc w:val="left"/>
        <w:tblInd w:w="0" w:type="dxa"/>
        <w:tblLayout w:type="fixed"/>
        <w:tblCellMar>
          <w:top w:w="28" w:type="dxa"/>
          <w:left w:w="28" w:type="dxa"/>
          <w:bottom w:w="28" w:type="dxa"/>
          <w:right w:w="28" w:type="dxa"/>
        </w:tblCellMar>
      </w:tblPr>
      <w:tblGrid>
        <w:gridCol w:w="3046"/>
        <w:gridCol w:w="146"/>
        <w:gridCol w:w="219"/>
        <w:gridCol w:w="438"/>
        <w:gridCol w:w="152"/>
        <w:gridCol w:w="152"/>
        <w:gridCol w:w="219"/>
        <w:gridCol w:w="438"/>
        <w:gridCol w:w="146"/>
        <w:gridCol w:w="146"/>
        <w:gridCol w:w="264"/>
        <w:gridCol w:w="472"/>
        <w:gridCol w:w="166"/>
        <w:gridCol w:w="146"/>
        <w:gridCol w:w="277"/>
        <w:gridCol w:w="714"/>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18"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618" w:type="dxa"/>
            <w:gridSpan w:val="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Percentage</w:t>
            </w:r>
          </w:p>
        </w:tc>
        <w:tc>
          <w:tcPr>
            <w:tcW w:w="591"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decreased during the first half of 2024 compared to the prior year period driven by the impact of lower selling prices relative to the first half of 2023 for all of our products and lower sales volumes for acid products and ammonia. Partially offsetting weaker pricing was an increase in UAN sales volume driven by strong demand for fertilizers enhanced by our strategic commercial efforts. Additionally, we benefited from a healthy increase in downstream production volumes.</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profit of $49.7 million for the first half of 2024 compared to $77.6 million for the same period in 2023, or a $27.9 million reduction. Overall, our gross profit percentage was 17.9% compared to a gross profit percentage of 22.4% for the same period in 2023. Our adjusted gross profit percentage was 32.3% for the first half of 2024 and 2023. Our overall gross profit for the first half of 2024 is lower compared to the same period of 2023 by overall lower sales prices for our products, turnaround expenses and higher depreciation partially offset by lower natural gas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$21.8 million for the first half of 2024, an increase of $2.5 million compared to the same period in 2023. The net increase was primarily driven by increases in professional fees and payroll related items partially offset by a reduction in expense relating to insurance, other miscellaneous expenses and depreciation and amortization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half of 2024 was $18.1 million compared to $24.0 million for the same period in 2023. The decrease primarily relates to reduced interest expense as a result of the repurchase of our 6.25% Senior Secured Notes made beginning in the second quarter of 2023 and during 2024 along with a lower outstanding principal balance our Secured Financing due 2025.</w:t>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half of 2024, we repurchased $96.6 million of our Senior Secured Notes through open market transactions for approximately $92.2 million. As a result, we recognized a gain on extinguishment of debt, net of issuance costs, of approximately $3.0 million. During the first half of 2023, we repurchased $125.0 million of our Senior Secured Notes through open market transactions for approximately $114.3 million. As a result, we recognized a gain on extinguishment of debt, net of issuance costs, of approximately $8.6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during the first half of 2024 and 2023 consists primarily of losses from disposal or abandonment of assets no longer being used in operations partially offset by short-term rental income from railcar subleases. The losses were higher and rental income was lower in the current year compared to the prior year.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first half of 2024 was $6.5 million compared to $7.2 million for the same period of 2023,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the first half of 2024 was $1.9 million compared to $8.9 million for the same period of 2023. The resulting effective tax rate for the first half 2024 was 10.9% compared to 17.8% for the same period of 2023. For the first half of 2024, the effective tax rate is lower than the statutory rate primarily due to nondeductible compensation and deferred benefits from state tax law changes. For the first half of 2023, the effective tax rate is less than the statutory rate primarily due to deferred benefits from state tax law changes. See discussion in Note 7.</w:t>
      </w:r>
    </w:p>
    <w:p>
      <w:pPr>
        <w:pStyle w:val="TextBody"/>
        <w:bidi w:val="0"/>
        <w:spacing w:before="120" w:after="283"/>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six months ended June 30:</w:t>
      </w:r>
    </w:p>
    <w:p>
      <w:pPr>
        <w:pStyle w:val="TextBody"/>
        <w:bidi w:val="0"/>
        <w:jc w:val="both"/>
        <w:rPr/>
      </w:pPr>
      <w:r>
        <w:rPr/>
        <w:t> </w:t>
      </w:r>
    </w:p>
    <w:tbl>
      <w:tblPr>
        <w:tblW w:w="7408"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11"/>
        <w:gridCol w:w="841"/>
        <w:gridCol w:w="166"/>
        <w:gridCol w:w="146"/>
        <w:gridCol w:w="211"/>
        <w:gridCol w:w="78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0"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$65.5 million for the first six months ended 2024 compared to $102.9 million for the same period of 2023, a change of $37.5 million. The decrease was primarily a result of a reduction in net sales, working capital changes and reduced interest income from short-term investments and partially offset by lower cost of sales.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$168.8 million for the first six months ended 2024 compared to net cash provided of $30.2 million for the same period of 2023, a change of $138.6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ended 2024, the net cash provided primarily relates to proceeds from short-term investments of $236.5 million, partially offset by purchases of short-term investments of $34.7 million and expenditures for PP&amp;E of $33.0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first six months ended 2023, the net cash provided primarily relates to proceeds from short-term investments of $264.2 million, partially offset by purchases of short-term investments of $201.7 million and expenditures for PP&amp;E of $32.3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$119.0 million for the first six months ended 2024 compared to net cash used of $151.9 million for the same period of 2023, a change of $32.9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ended 2024, the net cash used primarily consists of repurchases of our 6.25% Senior Secured Notes of $92.2 million, payments on other long-term debt and short-term financing of $11.8 million and repurchases of $14.2 million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ended 2023, the net cash used primarily consists of repurchases of our 6.25% Senior Secured Notes of $114.3 million, payments on other long-term debt and short-term financing of $17.8 million and repurchases of $19.8 million of common stock.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our total cash and cash equivalents, short-term investments, long-term debt and stockholders’ equity as of June 30, 2024 and December 31, 2023, respectively:</w:t>
      </w:r>
    </w:p>
    <w:p>
      <w:pPr>
        <w:pStyle w:val="TextBody"/>
        <w:bidi w:val="0"/>
        <w:jc w:val="both"/>
        <w:rPr/>
      </w:pPr>
      <w:r>
        <w:rPr/>
        <w:t> </w:t>
      </w:r>
    </w:p>
    <w:tbl>
      <w:tblPr>
        <w:tblW w:w="7482" w:type="dxa"/>
        <w:jc w:val="left"/>
        <w:tblInd w:w="0" w:type="dxa"/>
        <w:tblLayout w:type="fixed"/>
        <w:tblCellMar>
          <w:top w:w="28" w:type="dxa"/>
          <w:left w:w="28" w:type="dxa"/>
          <w:bottom w:w="28" w:type="dxa"/>
          <w:right w:w="28" w:type="dxa"/>
        </w:tblCellMar>
      </w:tblPr>
      <w:tblGrid>
        <w:gridCol w:w="4636"/>
        <w:gridCol w:w="146"/>
        <w:gridCol w:w="211"/>
        <w:gridCol w:w="571"/>
        <w:gridCol w:w="166"/>
        <w:gridCol w:w="146"/>
        <w:gridCol w:w="327"/>
        <w:gridCol w:w="888"/>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9"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due 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June 30, 2024 and December 31, 2023 of approximately $0.8 million and $0.5 million, respectively, relating to our Revolving Credit Facility are not included in Unamortized debt issuance cost. They are included in our condensed consolidated balance sheet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that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June 30, 2024, our Revolving Credit Facility was undrawn and had approximately $39.4 million of availability. See Note 4 for further discussion on the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full year of 2024, we expect capital expenditures to be approximately $60 million to $80 million. This capital spending is primarily planned for reliability and maintenance capital projects. </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we had approximately $216.3 million of cash.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on hand, short-term investments, the availability on our Revolving Credit Facility and our cash flow from operations will be sufficient to fund our anticipated liquidity needs for the next twelve months.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 - 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requires, among other things, that we meet a financial covenant. The Revolving Credit Facility does not include financial covenant requirements unless a defined covenant trigger event has occurred and is continuing. As of June 30, 2024,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has $478.4 million aggregate principal amount of the 6.25% Senior Secured Notes outstanding as of June 30, 2024.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20"/>
        </w:rPr>
        <w:t xml:space="preserve">, maturing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We are a party to a $30 million secured financing arrangement with an affiliate of Eldridge. Principal and interest are payable in 60 equal monthly installments with a final balloon payment of approximately $5 million due in August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June 30, 2024, our Revolving Credit Facility was undrawn and had approximately $39.4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Six Months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six months of 2024, capital expenditures relating to PP&amp;E were $33.0 million.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expected capital expenditures.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and debt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our Board authorized a $150 million stock repurchase program. The program is intended as a means to maximize shareholder value by returning capital to shareholders.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we repurchased approximately 0.8 million shares of common stock at an average cost of $8.40 per share for a total of approximately $6.7 million. During the six months ended June 30, 2024, we repurchased approximately 1.5 million shares of common stock at an average cost of $8.13 per share for a total of approximately $12.1 million. Total repurchase authority remaining under the repurchase program was approximately $109 million as of June 30, 2024. The repurchase program may be suspended, terminated or modified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we repurchased $63.7 million in principal amount of our Senior Secured Notes for approximately $60.9 million and during the six months ended June 30, 2024, we repurchased $96.6 million in principal amount of our Senior Secured Notes for approximately $92.2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$3.0 million for the first six months ended June 30, 2024 in connection with environmental projects. For the remainder of 2024, we expect to incur expenses ranging from $1.8 million to $2.2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fertilizer products sold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2024, we have agreed to indemnify the sureties for payments, up to $9.7 million, made by them in respect of such bonds. All of these insurance bonds are expected to expire or be renewed in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2023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June 30, 2024,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Exchange Act.</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At June 30, 2024, we had no embedded losses associated with sales commitments with firm sales prices.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June 30, 2024,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June 30, 2024, we had no outstanding borrowings on this credit facility and no other variable rate borrowings. We currently do not hedge our interest rate risk associated with our variable interest loan.</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2024. Based on this evaluation, the Company's Chief Executive Officer and Chief Financial Officer have concluded that the Company's disclosure controls and procedures were effective as of June 30, 2024, at the reasonable assurance level. There were no changes to our internal control over financial reporting (as such term is defined in Rules 13a-15(f) and 15d-15(f) under the Securities Exchange Act of 1934) during the quarter ended June 30, 2024,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Any such forward-looking statements are not guarantees of future performance and involve risks and uncertainties, many of which are difficult to predict and are generally outside the Company’s control, that could cause actual results to differ materially from those expressed in, or implied of projected by, such forward-looking statements. Forward-Looking Statements contained herein, and the associated risks, uncertainties, assumptions and other important factors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ongoing initiatives to increase the distribution of our products within our industrial end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execution and success of our advanced low-carbon ammonia initiatives;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belief as to whether we have sufficient sources for materials and components;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beliefs regarding our estimates and contingencies with respect claims and legal actions in the ordinary course of our business and their effect on our business, financial condition, results of operations or cash flows;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development of the market and demand for low-carbon ammonia;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litigation and other contingencies, including the potential financial penalties associated with the NOV from ADEQ regarding wastewater discharges from our El Dorado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effects of the ongoing COVID-19 pandemic and related response;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beliefs as to whether we can meet all required covenant tests for the next twelve months.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cost to maintain internal controls over financial reporting;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factors described in the MD&amp;A 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factors described in “Risk Factors” in our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list of terms used in this report.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1"/>
        <w:gridCol w:w="526"/>
        <w:gridCol w:w="7688"/>
      </w:tblGrid>
      <w:tr>
        <w:trPr/>
        <w:tc>
          <w:tcPr>
            <w:tcW w:w="19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Arkansas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Report</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World Agricultural Supply and Demand Estimates Report dated April 11, 2024.</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Standard Updates.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ATR</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AutoThermal Reforming.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CAO</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consent administrative order.</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Cherokee, Alabama.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Chevron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Chevron Environmental Management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COVID-19</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novel coronavirus disease of 2019.</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Ammonia L.L.C.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Chemical Company (now merged into LSB Chemical, L.L.C. a subsidiary of 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 Dorado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El Dorado, Arkansas.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Eldridge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Eldridge Industries,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Environmental and Health Laws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Numerous federal, state and local environmental, health and safety laws.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Environmental Use Control.</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FASB</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Accounting Standards Board.</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Front end engineering design.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Global</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Global Industrial, Inc., a subcontractor asserting mechanics liens for work rendered to the Company.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Hallowell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chemical facility previously owned by two of our subsidiaries located in Kansas.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 density ammonium nitrate prills used in the agricultural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Internal Revenue Service.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KDHE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Kansas Department of Health and Environment.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LDAN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Low density ammonium nitrate prills used in the mining industry.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Leidos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Leidos Constructors L.L.C.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LSB</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LSB Industries, Inc.</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MD&amp;A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MMBtu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Million British thermal units.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MOU</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Memorandum of understanding.</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note in the accompanying notes to the condensed consolidated financial statements.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ODEQ</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Oklahoma Department of Environmental Quality.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PP&amp;E</w:t>
            </w:r>
          </w:p>
        </w:tc>
        <w:tc>
          <w:tcPr>
            <w:tcW w:w="526" w:type="dxa"/>
            <w:tcBorders/>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pBdr/>
              <w:bidi w:val="0"/>
              <w:spacing w:before="0" w:after="283"/>
              <w:ind w:left="0" w:right="0" w:hanging="360"/>
              <w:jc w:val="both"/>
              <w:rPr>
                <w:rFonts w:ascii="Times New Roman" w:hAnsi="Times New Roman"/>
                <w:color w:val="000000"/>
                <w:sz w:val="20"/>
              </w:rPr>
            </w:pPr>
            <w:r>
              <w:rPr>
                <w:rFonts w:ascii="Times New Roman" w:hAnsi="Times New Roman"/>
                <w:color w:val="000000"/>
                <w:sz w:val="20"/>
              </w:rPr>
              <w:t>Plant, property and equipment.</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center"/>
              <w:rPr/>
            </w:pPr>
            <w:r>
              <w:rPr/>
              <w:t> </w:t>
            </w:r>
          </w:p>
        </w:tc>
        <w:tc>
          <w:tcPr>
            <w:tcW w:w="7688" w:type="dxa"/>
            <w:tcBorders/>
            <w:vAlign w:val="center"/>
          </w:tcPr>
          <w:p>
            <w:pPr>
              <w:pStyle w:val="TableContents"/>
              <w:pBdr/>
              <w:bidi w:val="0"/>
              <w:spacing w:before="0" w:after="283"/>
              <w:ind w:left="0" w:right="0" w:hanging="360"/>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Pryor Facility</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Pryor, Oklahoma.</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U.S. Securities and Exchange Commission.</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2025</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secured financing arrangement between EDA and an affiliate of Eldridge which matures in August 2025.</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Senior Secured Notes</w:t>
            </w:r>
            <w:r>
              <w:rPr>
                <w:rFonts w:ascii="Times New Roman" w:hAnsi="Times New Roman"/>
                <w:color w:val="000000"/>
                <w:sz w:val="20"/>
              </w:rPr>
              <w:t xml:space="preserve">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senior secured notes issued on October 14, 2021 and the senior secured notes issued March 8, 2022, taken together both due on October 15, 2028 with a stated interest rates of 6.25% maturing in October 2028.</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SG&amp;A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Selling, general and administrative expense.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left"/>
              <w:rPr>
                <w:rFonts w:ascii="Times New Roman" w:hAnsi="Times New Roman"/>
                <w:color w:val="111111"/>
                <w:sz w:val="20"/>
              </w:rPr>
            </w:pPr>
            <w:r>
              <w:rPr>
                <w:rFonts w:ascii="Times New Roman" w:hAnsi="Times New Roman"/>
                <w:color w:val="111111"/>
                <w:sz w:val="20"/>
              </w:rPr>
              <w:t>A unit of weight equal to 2,000 pounds.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Turnaround</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planned major maintenance activity.</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UAN</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Urea ammonium nitrate.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r>
        <w:trPr/>
        <w:tc>
          <w:tcPr>
            <w:tcW w:w="199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USDA</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68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 Department of Agriculture.</w:t>
            </w:r>
          </w:p>
        </w:tc>
      </w:tr>
      <w:tr>
        <w:trPr/>
        <w:tc>
          <w:tcPr>
            <w:tcW w:w="1991"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t> </w:t>
            </w:r>
          </w:p>
        </w:tc>
        <w:tc>
          <w:tcPr>
            <w:tcW w:w="7688"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9"/>
        <w:gridCol w:w="166"/>
        <w:gridCol w:w="8500"/>
      </w:tblGrid>
      <w:tr>
        <w:trPr/>
        <w:tc>
          <w:tcPr>
            <w:tcW w:w="1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500" w:type="dxa"/>
            <w:tcBorders/>
            <w:vAlign w:val="center"/>
          </w:tcPr>
          <w:p>
            <w:pPr>
              <w:pStyle w:val="TableContents"/>
              <w:bidi w:val="0"/>
              <w:spacing w:before="0" w:after="283"/>
              <w:jc w:val="left"/>
              <w:rPr>
                <w:sz w:val="4"/>
                <w:szCs w:val="4"/>
              </w:rPr>
            </w:pPr>
            <w:r>
              <w:rPr>
                <w:sz w:val="4"/>
                <w:szCs w:val="4"/>
              </w:rPr>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West Fertilizer</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West Fertilizer Company.</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Revolving Credit Facility</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secured revolving credit facility pursuant to that credit agreement, dated December 21, 2023, between us and the lenders identified on the signature pages thereof and JPMorgan Chase Bank, N.A, as administrative agent.</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2022 and will ended in 2023 and primarily relates to corn planted and harvested in 2022.</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2023 and will end in 2024 and primarily relates to corn planted and harvested in 2023.</w:t>
            </w:r>
          </w:p>
        </w:tc>
      </w:tr>
      <w:tr>
        <w:trPr/>
        <w:tc>
          <w:tcPr>
            <w:tcW w:w="153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center"/>
              <w:rPr/>
            </w:pPr>
            <w:r>
              <w:rPr/>
              <w:t> </w:t>
            </w:r>
          </w:p>
        </w:tc>
        <w:tc>
          <w:tcPr>
            <w:tcW w:w="8500" w:type="dxa"/>
            <w:tcBorders/>
            <w:vAlign w:val="center"/>
          </w:tcPr>
          <w:p>
            <w:pPr>
              <w:pStyle w:val="TableContents"/>
              <w:bidi w:val="0"/>
              <w:spacing w:before="0" w:after="283"/>
              <w:jc w:val="both"/>
              <w:rPr/>
            </w:pPr>
            <w:r>
              <w:rPr/>
              <w:t> </w:t>
            </w:r>
          </w:p>
        </w:tc>
      </w:tr>
      <w:tr>
        <w:trPr/>
        <w:tc>
          <w:tcPr>
            <w:tcW w:w="153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 Crop</w:t>
            </w:r>
          </w:p>
        </w:tc>
        <w:tc>
          <w:tcPr>
            <w:tcW w:w="1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50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2024 and will end in 2025 and primarily relates to corn planted and harvested in 2024.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subject to various legal proceedings and claims arising in the ordinary course of business, including, but not limited to, examinations by the Internal Revenue Service. For further discussion of our legal matters, see “Note 5. Commitments and Contingencies—Legal Matters” in the notes to the Condensed Consolidated Financial Statements in this Form 10-Q.</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Item 1A of our Form 10-K for the year ended December 31, 2023, filed with the SEC on March 6, 2024. There are no material changes from the risk factors disclosed in our 2023 Form 10-K.</w:t>
      </w:r>
    </w:p>
    <w:p>
      <w:pPr>
        <w:pStyle w:val="TextBody"/>
        <w:bidi w:val="0"/>
        <w:spacing w:before="120" w:after="283"/>
        <w:jc w:val="left"/>
        <w:rPr>
          <w:rFonts w:ascii="Times New Roman" w:hAnsi="Times New Roman"/>
          <w:b/>
          <w:color w:val="000000"/>
          <w:sz w:val="20"/>
          <w:u w:val="single"/>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purchase of its common stock for the quarter ended June 30, 2024:</w:t>
      </w:r>
    </w:p>
    <w:tbl>
      <w:tblPr>
        <w:tblW w:w="10205" w:type="dxa"/>
        <w:jc w:val="left"/>
        <w:tblInd w:w="0" w:type="dxa"/>
        <w:tblLayout w:type="fixed"/>
        <w:tblCellMar>
          <w:top w:w="28" w:type="dxa"/>
          <w:left w:w="28" w:type="dxa"/>
          <w:bottom w:w="28" w:type="dxa"/>
          <w:right w:w="28" w:type="dxa"/>
        </w:tblCellMar>
      </w:tblPr>
      <w:tblGrid>
        <w:gridCol w:w="1035"/>
        <w:gridCol w:w="223"/>
        <w:gridCol w:w="1194"/>
        <w:gridCol w:w="146"/>
        <w:gridCol w:w="354"/>
        <w:gridCol w:w="782"/>
        <w:gridCol w:w="146"/>
        <w:gridCol w:w="403"/>
        <w:gridCol w:w="2158"/>
        <w:gridCol w:w="146"/>
        <w:gridCol w:w="534"/>
        <w:gridCol w:w="2889"/>
        <w:gridCol w:w="195"/>
      </w:tblGrid>
      <w:tr>
        <w:trPr/>
        <w:tc>
          <w:tcPr>
            <w:tcW w:w="10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35"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w:t>
            </w:r>
          </w:p>
        </w:tc>
        <w:tc>
          <w:tcPr>
            <w:tcW w:w="1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shd w:fill="FFFFFF" w:val="clear"/>
            <w:vAlign w:val="center"/>
          </w:tcPr>
          <w:p>
            <w:pPr>
              <w:pStyle w:val="TableContents"/>
              <w:bidi w:val="0"/>
              <w:spacing w:before="0" w:after="283"/>
              <w:jc w:val="center"/>
              <w:rPr/>
            </w:pPr>
            <w:r>
              <w:rPr/>
              <w:t> </w:t>
            </w:r>
          </w:p>
        </w:tc>
        <w:tc>
          <w:tcPr>
            <w:tcW w:w="25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(or Units) Purchased as Part of Publicly Announced Plans or Program (1)</w:t>
            </w:r>
          </w:p>
        </w:tc>
        <w:tc>
          <w:tcPr>
            <w:tcW w:w="146" w:type="dxa"/>
            <w:tcBorders/>
            <w:shd w:fill="FFFFFF" w:val="clear"/>
            <w:vAlign w:val="center"/>
          </w:tcPr>
          <w:p>
            <w:pPr>
              <w:pStyle w:val="TableContents"/>
              <w:bidi w:val="0"/>
              <w:spacing w:before="0" w:after="283"/>
              <w:jc w:val="center"/>
              <w:rPr/>
            </w:pPr>
            <w:r>
              <w:rPr/>
              <w:t> </w:t>
            </w:r>
          </w:p>
        </w:tc>
        <w:tc>
          <w:tcPr>
            <w:tcW w:w="342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Number (or Approximate Dollar Value) of Shares (or Units) that May Yet Be Purchased Under the Plans or Program</w:t>
            </w:r>
          </w:p>
        </w:tc>
        <w:tc>
          <w:tcPr>
            <w:tcW w:w="195" w:type="dxa"/>
            <w:tcBorders/>
            <w:shd w:fill="FFFFFF" w:val="clear"/>
            <w:vAlign w:val="center"/>
          </w:tcPr>
          <w:p>
            <w:pPr>
              <w:pStyle w:val="TableContents"/>
              <w:bidi w:val="0"/>
              <w:spacing w:before="0" w:after="283"/>
              <w:jc w:val="center"/>
              <w:rPr/>
            </w:pPr>
            <w:r>
              <w:rPr/>
              <w:t> </w:t>
            </w:r>
          </w:p>
        </w:tc>
      </w:tr>
      <w:tr>
        <w:trPr/>
        <w:tc>
          <w:tcPr>
            <w:tcW w:w="103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30, 2024</w:t>
            </w:r>
          </w:p>
        </w:tc>
        <w:tc>
          <w:tcPr>
            <w:tcW w:w="223"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801,659</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215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801,659</w:t>
            </w:r>
          </w:p>
        </w:tc>
        <w:tc>
          <w:tcPr>
            <w:tcW w:w="146"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109,359,096</w:t>
            </w:r>
          </w:p>
        </w:tc>
        <w:tc>
          <w:tcPr>
            <w:tcW w:w="195" w:type="dxa"/>
            <w:tcBorders/>
            <w:shd w:fill="CCEEFF" w:val="cle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 2024</w:t>
            </w:r>
          </w:p>
        </w:tc>
        <w:tc>
          <w:tcPr>
            <w:tcW w:w="223"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21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109,359,096</w:t>
            </w:r>
          </w:p>
        </w:tc>
        <w:tc>
          <w:tcPr>
            <w:tcW w:w="195" w:type="dxa"/>
            <w:tcBorders/>
            <w:shd w:fill="FFFFFF" w:val="clear"/>
            <w:vAlign w:val="center"/>
          </w:tcPr>
          <w:p>
            <w:pPr>
              <w:pStyle w:val="TableContents"/>
              <w:bidi w:val="0"/>
              <w:spacing w:before="0" w:after="283"/>
              <w:jc w:val="left"/>
              <w:rPr/>
            </w:pPr>
            <w:r>
              <w:rPr/>
              <w:t> </w:t>
            </w:r>
          </w:p>
        </w:tc>
      </w:tr>
      <w:tr>
        <w:trPr/>
        <w:tc>
          <w:tcPr>
            <w:tcW w:w="103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 2024</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109,359,096</w:t>
            </w:r>
          </w:p>
        </w:tc>
        <w:tc>
          <w:tcPr>
            <w:tcW w:w="1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109,359,096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80" w:after="283"/>
        <w:jc w:val="left"/>
        <w:rPr/>
      </w:pPr>
      <w:r>
        <w:rPr>
          <w:rFonts w:ascii="Times New Roman" w:hAnsi="Times New Roman"/>
          <w:color w:val="000000"/>
          <w:sz w:val="18"/>
        </w:rPr>
        <w:t>In May 2023, our Board authorized a $150 million stock repurchase program. The stock repurchase program is discussed in</w:t>
      </w:r>
      <w:r>
        <w:rPr>
          <w:color w:val="000000"/>
        </w:rPr>
        <w:t xml:space="preserve"> </w:t>
      </w:r>
      <w:r>
        <w:rPr>
          <w:rFonts w:ascii="Times New Roman" w:hAnsi="Times New Roman"/>
          <w:i/>
          <w:color w:val="000000"/>
          <w:sz w:val="18"/>
        </w:rPr>
        <w:t>Management’s Discussion and Analysis of Financial Condition and Results of Operations – Liquidity and Capital Resources – Capitalization</w:t>
      </w:r>
      <w:r>
        <w:rPr>
          <w:color w:val="000000"/>
        </w:rPr>
        <w:t xml:space="preserve"> </w:t>
      </w:r>
      <w:r>
        <w:rPr>
          <w:rFonts w:ascii="Times New Roman" w:hAnsi="Times New Roman"/>
          <w:color w:val="000000"/>
          <w:sz w:val="18"/>
        </w:rPr>
        <w:t>and in Note 1 – Summary of Significant Accounting Policies. The repurchase program does not have an expiration date and can be discontinued at any time.</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fiscal quarter ended June 30, 2024, the directors and officers (as defined in Rule 16a-1(f) under the Securities Exchange Act of 1934, as amended (the “Exchange Act”)) identified below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 T. Behrman, President and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 2024, Mark T. Behrman, our President and Chief Executive Officer and a member of our board of directors, entered into a Rule 10b5-1 trading plan providing that Mr. Behrman, acting through a broker, may sell up to an aggregate of 250,000 shares of our common stock. As of June 30, 2024, Mr. Behrman held securities representing an aggregate of 1,963,925 vested and unvested shares of common stock. Sales of shares under the plan may only occur from August 6, 2024 to August 1, 2025 and the plan is scheduled to terminate on August 1, 2025, subject to earlier termination upon the sale of all shares subject to the plan or the expiration of all sale orders under the plan, upon termination by Mr. Behrman or the broker, or as otherwise provided in the plan.</w:t>
      </w:r>
    </w:p>
    <w:p>
      <w:pPr>
        <w:pStyle w:val="TextBody"/>
        <w:bidi w:val="0"/>
        <w:spacing w:before="120" w:after="283"/>
        <w:jc w:val="left"/>
        <w:rPr>
          <w:rFonts w:ascii="Times New Roman" w:hAnsi="Times New Roman"/>
          <w:sz w:val="20"/>
        </w:rPr>
      </w:pPr>
      <w:r>
        <w:rPr>
          <w:rFonts w:ascii="Times New Roman" w:hAnsi="Times New Roman"/>
          <w:i/>
          <w:color w:val="000000"/>
          <w:sz w:val="20"/>
        </w:rPr>
        <w:t>Cheryl A. Maguire, Executive Vice President and Chief Financial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22, 2024, Cheryl A. Maguire, our Executive Vice President and Chief Financial Officer, entered into a Rule 10b5-1 trading plan providing that Ms. Maguire, acting through a broker, may sell up to an aggregate of 85,000 shares of our common stock. As of June 30, 2024, Ms. Maguire held securities representing an aggregate of 337,017 vested and unvested shares of common stock. Sales of shares under the plan may occur from August 21, 2024 to May 22, 2025 and the plan is scheduled to terminate on May 22,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earlier termination upon the sale of all shares subject to the plan or the expiration of all sale orders under the plan, upon termination by Ms. Maguire or the broker, or as otherwise provided in the plan.</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37. </w:t>
      </w:r>
    </w:p>
    <w:p>
      <w:pPr>
        <w:pStyle w:val="TextBody"/>
        <w:bidi w:val="0"/>
        <w:jc w:val="both"/>
        <w:rPr/>
      </w:pPr>
      <w:r>
        <w:rPr/>
        <w:t> </w:t>
      </w:r>
    </w:p>
    <w:p>
      <w:pPr>
        <w:pStyle w:val="TextBody"/>
        <w:bidi w:val="0"/>
        <w:jc w:val="both"/>
        <w:rPr>
          <w:rFonts w:ascii="Times New Roman" w:hAnsi="Times New Roman"/>
          <w:sz w:val="20"/>
        </w:rPr>
      </w:pPr>
      <w:bookmarkStart w:id="19" w:name="index_item_6"/>
      <w:bookmarkStart w:id="20" w:name="item_5_or_information"/>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5762"/>
        <w:gridCol w:w="146"/>
        <w:gridCol w:w="3327"/>
      </w:tblGrid>
      <w:tr>
        <w:trPr/>
        <w:tc>
          <w:tcPr>
            <w:tcW w:w="8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27" w:type="dxa"/>
            <w:tcBorders/>
            <w:shd w:fill="FFFFFF" w:val="clear"/>
            <w:vAlign w:val="center"/>
          </w:tcPr>
          <w:p>
            <w:pPr>
              <w:pStyle w:val="TableContents"/>
              <w:bidi w:val="0"/>
              <w:spacing w:before="0" w:after="283"/>
              <w:jc w:val="left"/>
              <w:rPr>
                <w:sz w:val="4"/>
                <w:szCs w:val="4"/>
              </w:rPr>
            </w:pPr>
            <w:r>
              <w:rPr>
                <w:sz w:val="4"/>
                <w:szCs w:val="4"/>
              </w:rPr>
            </w:r>
          </w:p>
        </w:tc>
      </w:tr>
      <w:tr>
        <w:trPr/>
        <w:tc>
          <w:tcPr>
            <w:tcW w:w="82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LSB Industries, Inc., dated July 19, 2021</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the Company’s Form 8-K filed July 20, 2021</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First Amendment to Amended and Restated Section 382 Rights Agreement between LSB Industries, Inc. and Computershare Trust Company, N.A., as rights agent, dated as of May 2, 2024</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 to the Company’s Form 8-K filed May 3, 2024</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r>
        <w:trPr/>
        <w:tc>
          <w:tcPr>
            <w:tcW w:w="82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146" w:type="dxa"/>
            <w:tcBorders/>
            <w:vAlign w:val="center"/>
          </w:tcPr>
          <w:p>
            <w:pPr>
              <w:pStyle w:val="TableContents"/>
              <w:bidi w:val="0"/>
              <w:spacing w:before="0" w:after="283"/>
              <w:jc w:val="left"/>
              <w:rPr/>
            </w:pPr>
            <w:r>
              <w:rPr/>
              <w:t> </w:t>
            </w:r>
          </w:p>
        </w:tc>
        <w:tc>
          <w:tcPr>
            <w:tcW w:w="576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3327"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Filed herewith or furnished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Exchange Act of 1934, as amended, the Company has caused the undersigned, duly authorized, to sign this report on its behalf on this 1</w:t>
      </w:r>
      <w:r>
        <w:rPr>
          <w:rFonts w:ascii="Times New Roman" w:hAnsi="Times New Roman"/>
          <w:color w:val="000000"/>
          <w:sz w:val="13"/>
        </w:rPr>
        <w:t>st</w:t>
      </w:r>
      <w:r>
        <w:rPr>
          <w:rFonts w:ascii="Times New Roman" w:hAnsi="Times New Roman"/>
          <w:color w:val="000000"/>
          <w:sz w:val="20"/>
        </w:rPr>
        <w:t xml:space="preserve"> day of August 2024.</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4456" w:type="dxa"/>
            <w:tcBorders/>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1, 2024</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1, 2024</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2024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August 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2024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24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August 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119312521219140/d189542dex31.htm" TargetMode="External"/><Relationship Id="rId5" Type="http://schemas.openxmlformats.org/officeDocument/2006/relationships/hyperlink" Target="https://www.sec.gov/Archives/edgar/data/60714/000119312524130861/d808850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23022</Words>
  <Characters>124574</Characters>
  <CharactersWithSpaces>148925</CharactersWithSpaces>
  <Paragraphs>6192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