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140" w:type="dxa"/>
            <w:vAlign w:val="bottom"/>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7140" w:type="dxa"/>
            <w:vAlign w:val="bottom"/>
          </w:tcPr>
          <w:p>
            <w:pPr>
              <w:jc w:val="right"/>
              <w:ind w:right="1320"/>
              <w:spacing w:after="0"/>
              <w:rPr>
                <w:sz w:val="20"/>
                <w:szCs w:val="20"/>
                <w:color w:val="auto"/>
              </w:rPr>
            </w:pPr>
            <w:r>
              <w:rPr>
                <w:rFonts w:ascii="Arial" w:cs="Arial" w:eastAsia="Arial" w:hAnsi="Arial"/>
                <w:sz w:val="18"/>
                <w:szCs w:val="18"/>
                <w:b w:val="1"/>
                <w:bCs w:val="1"/>
                <w:color w:val="auto"/>
              </w:rPr>
              <w:t>(405) 235-4546</w:t>
            </w:r>
          </w:p>
        </w:tc>
        <w:tc>
          <w:tcPr>
            <w:tcW w:w="1480" w:type="dxa"/>
            <w:vAlign w:val="bottom"/>
          </w:tcPr>
          <w:p>
            <w:pPr>
              <w:spacing w:after="0"/>
              <w:rPr>
                <w:sz w:val="22"/>
                <w:szCs w:val="22"/>
                <w:color w:val="auto"/>
              </w:rPr>
            </w:pPr>
          </w:p>
        </w:tc>
      </w:tr>
      <w:tr>
        <w:trPr>
          <w:trHeight w:val="186"/>
        </w:trPr>
        <w:tc>
          <w:tcPr>
            <w:tcW w:w="7140" w:type="dxa"/>
            <w:vAlign w:val="bottom"/>
          </w:tcPr>
          <w:p>
            <w:pPr>
              <w:jc w:val="center"/>
              <w:ind w:left="3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Yes  o No</w:t>
      </w:r>
    </w:p>
    <w:p>
      <w:pPr>
        <w:spacing w:after="0" w:line="6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Yes  o No</w:t>
      </w:r>
    </w:p>
    <w:p>
      <w:pPr>
        <w:spacing w:after="0" w:line="67" w:lineRule="exact"/>
        <w:rPr>
          <w:sz w:val="24"/>
          <w:szCs w:val="24"/>
          <w:color w:val="auto"/>
        </w:rPr>
      </w:pPr>
    </w:p>
    <w:p>
      <w:pPr>
        <w:ind w:right="2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55"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4">
            <w:col w:w="1620" w:space="460"/>
            <w:col w:w="5680" w:space="720"/>
            <w:col w:w="1880" w:space="720"/>
            <w:col w:w="340"/>
          </w:cols>
          <w:pgMar w:left="240" w:top="355" w:right="23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102" w:lineRule="exact"/>
        <w:rPr>
          <w:sz w:val="24"/>
          <w:szCs w:val="24"/>
          <w:color w:val="auto"/>
        </w:rPr>
      </w:pPr>
    </w:p>
    <w:p>
      <w:pPr>
        <w:sectPr>
          <w:pgSz w:w="11900" w:h="16838" w:orient="portrait"/>
          <w:cols w:equalWidth="0" w:num="4">
            <w:col w:w="1540" w:space="540"/>
            <w:col w:w="5680" w:space="720"/>
            <w:col w:w="1960" w:space="640"/>
            <w:col w:w="340"/>
          </w:cols>
          <w:pgMar w:left="240" w:top="355"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o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was 27,935,492 shares as of August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4"/>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r>
        <w:trPr>
          <w:trHeight w:val="858"/>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2016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5"/>
          </w:tcPr>
          <w:p>
            <w:pPr>
              <w:ind w:left="92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22,836</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43,410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Finished goods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720"/>
              <w:spacing w:after="0"/>
              <w:rPr>
                <w:sz w:val="20"/>
                <w:szCs w:val="20"/>
                <w:color w:val="auto"/>
              </w:rPr>
            </w:pPr>
            <w:r>
              <w:rPr>
                <w:rFonts w:ascii="Arial" w:cs="Arial" w:eastAsia="Arial" w:hAnsi="Arial"/>
                <w:sz w:val="18"/>
                <w:szCs w:val="18"/>
                <w:color w:val="auto"/>
              </w:rPr>
              <w:t>Total inventories, net</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18,790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Supplies, prepaid items and other:</w:t>
            </w: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Precious metals</w:t>
            </w: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Supplies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refundable income taxes</w:t>
            </w: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w:t>
            </w:r>
          </w:p>
        </w:tc>
        <w:tc>
          <w:tcPr>
            <w:tcW w:w="2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5,718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assets held for sale</w:t>
            </w:r>
          </w:p>
        </w:tc>
        <w:tc>
          <w:tcPr>
            <w:tcW w:w="2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114,468</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252,549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332,697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1,093,609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978,709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Intangible and other, net</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15,756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 held for sale</w:t>
            </w:r>
          </w:p>
        </w:tc>
        <w:tc>
          <w:tcPr>
            <w:tcW w:w="2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bottom w:val="single" w:sz="8" w:color="CFF0FC"/>
            </w:tcBorders>
            <w:shd w:val="clear" w:color="auto" w:fill="CFF0FC"/>
          </w:tcPr>
          <w:p>
            <w:pPr>
              <w:spacing w:after="0"/>
              <w:rPr>
                <w:sz w:val="19"/>
                <w:szCs w:val="19"/>
                <w:color w:val="auto"/>
              </w:rPr>
            </w:pPr>
          </w:p>
        </w:tc>
        <w:tc>
          <w:tcPr>
            <w:tcW w:w="2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1,361,914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1,361,827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2016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June 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5"/>
          </w:tcPr>
          <w:p>
            <w:pPr>
              <w:ind w:left="94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0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72,987</w:t>
            </w:r>
          </w:p>
        </w:tc>
        <w:tc>
          <w:tcPr>
            <w:tcW w:w="4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Revolving credit facility</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long-term debt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liabilities held for sale</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497,954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held for sale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31,681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210,000 shares issued and outstanding; aggregate liquidation preference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of $227,266,000 ($212,287,000 at December 31, 2015)</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196,735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 shares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issued and outstanding</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7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 31,280,685 shares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issued (27,131,724 shares at December 31, 2015)</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228,837</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427,117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3,317,503 shares (3,735,503 shares at December 31, 2015)</w:t>
            </w:r>
          </w:p>
        </w:tc>
        <w:tc>
          <w:tcPr>
            <w:tcW w:w="7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21,972</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405,145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1,361,914</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1,361,827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20" w:type="dxa"/>
            <w:vAlign w:val="bottom"/>
            <w:gridSpan w:val="7"/>
          </w:tcPr>
          <w:p>
            <w:pPr>
              <w:jc w:val="right"/>
              <w:ind w:right="60"/>
              <w:spacing w:after="0"/>
              <w:rPr>
                <w:sz w:val="20"/>
                <w:szCs w:val="20"/>
                <w:color w:val="auto"/>
              </w:rPr>
            </w:pPr>
            <w:r>
              <w:rPr>
                <w:rFonts w:ascii="Arial" w:cs="Arial" w:eastAsia="Arial" w:hAnsi="Arial"/>
                <w:sz w:val="16"/>
                <w:szCs w:val="16"/>
                <w:color w:val="auto"/>
                <w:w w:val="91"/>
              </w:rPr>
              <w:t>(In Thousands, Except Per Share Amounts)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109,982</w:t>
            </w: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208,954</w:t>
            </w:r>
          </w:p>
        </w:tc>
        <w:tc>
          <w:tcPr>
            <w:tcW w:w="20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107,853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112,887</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21,768</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(8,883)</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(26,192)</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Non-operating other income, net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(3,970)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(2,014)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9"/>
        </w:trPr>
        <w:tc>
          <w:tcPr>
            <w:tcW w:w="59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provision</w:t>
            </w: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(benefit) for income taxes</w:t>
            </w:r>
          </w:p>
        </w:tc>
        <w:tc>
          <w:tcPr>
            <w:tcW w:w="2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(11,359)</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(3,781)</w:t>
            </w:r>
          </w:p>
        </w:tc>
        <w:tc>
          <w:tcPr>
            <w:tcW w:w="2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(31,974)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(3,671)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(907)</w:t>
            </w:r>
          </w:p>
        </w:tc>
        <w:tc>
          <w:tcPr>
            <w:tcW w:w="2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(8,521)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(7,688)</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(2,874)</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(23,453)</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including taxes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Dividends on convertible preferred stocks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Dividend on Series E redeemable preferred stock</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Accretion of Series E redeemable preferred stock</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participating securities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(19,463)</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including taxes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(0.70)</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(1.81)</w:t>
            </w: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including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2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6"/>
              </w:rPr>
              <w:t>Redeemable</w:t>
            </w:r>
          </w:p>
        </w:tc>
        <w:tc>
          <w:tcPr>
            <w:tcW w:w="2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Capital in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Treasury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7"/>
              </w:rPr>
              <w:t>Preferred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Excess of</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Retained</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8"/>
              </w:rPr>
              <w:t>Par Value</w:t>
            </w: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Par Value</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Common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04"/>
        </w:trPr>
        <w:tc>
          <w:tcPr>
            <w:tcW w:w="44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6"/>
                <w:szCs w:val="16"/>
                <w:color w:val="auto"/>
                <w:w w:val="96"/>
              </w:rPr>
              <w:t>(In Thousands)</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192,249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248,150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421,580</w:t>
            </w:r>
          </w:p>
        </w:tc>
        <w:tc>
          <w:tcPr>
            <w:tcW w:w="120" w:type="dxa"/>
            <w:vAlign w:val="bottom"/>
            <w:shd w:val="clear" w:color="auto" w:fill="CFF0FC"/>
          </w:tcPr>
          <w:p>
            <w:pPr>
              <w:spacing w:after="0"/>
              <w:rPr>
                <w:sz w:val="20"/>
                <w:szCs w:val="20"/>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 stock</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(14,979)</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(14,979)</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(4,484)</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(4,484)</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Restricted stock granted from treasury stock</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(2,971)</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detriment associated</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stock-based compensation</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at June 30, 2016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192,152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228,837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405,145</w:t>
            </w: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91"/>
              </w:rPr>
              <w:t>Six Months Ended</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2016</w:t>
            </w:r>
          </w:p>
        </w:tc>
        <w:tc>
          <w:tcPr>
            <w:tcW w:w="1440" w:type="dxa"/>
            <w:vAlign w:val="bottom"/>
            <w:gridSpan w:val="3"/>
          </w:tcPr>
          <w:p>
            <w:pPr>
              <w:jc w:val="center"/>
              <w:spacing w:after="0"/>
              <w:rPr>
                <w:sz w:val="20"/>
                <w:szCs w:val="20"/>
                <w:color w:val="auto"/>
              </w:rPr>
            </w:pPr>
            <w:r>
              <w:rPr>
                <w:rFonts w:ascii="Arial" w:cs="Arial" w:eastAsia="Arial" w:hAnsi="Arial"/>
                <w:sz w:val="18"/>
                <w:szCs w:val="18"/>
                <w:color w:val="auto"/>
                <w:w w:val="86"/>
              </w:rPr>
              <w:t>June 30,</w:t>
            </w:r>
          </w:p>
        </w:tc>
        <w:tc>
          <w:tcPr>
            <w:tcW w:w="1020" w:type="dxa"/>
            <w:vAlign w:val="bottom"/>
            <w:vMerge w:val="restart"/>
          </w:tcPr>
          <w:p>
            <w:pPr>
              <w:jc w:val="right"/>
              <w:ind w:right="539"/>
              <w:spacing w:after="0"/>
              <w:rPr>
                <w:sz w:val="20"/>
                <w:szCs w:val="20"/>
                <w:color w:val="auto"/>
              </w:rPr>
            </w:pPr>
            <w:r>
              <w:rPr>
                <w:rFonts w:ascii="Arial" w:cs="Arial" w:eastAsia="Arial" w:hAnsi="Arial"/>
                <w:sz w:val="18"/>
                <w:szCs w:val="18"/>
                <w:color w:val="auto"/>
                <w:w w:val="94"/>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1"/>
              </w:rPr>
              <w:t>(In Thousands)</w:t>
            </w: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operating activities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2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150</w:t>
            </w:r>
          </w:p>
        </w:tc>
        <w:tc>
          <w:tcPr>
            <w:tcW w:w="280" w:type="dxa"/>
            <w:vAlign w:val="bottom"/>
          </w:tcPr>
          <w:p>
            <w:pPr>
              <w:spacing w:after="0"/>
              <w:rPr>
                <w:sz w:val="18"/>
                <w:szCs w:val="18"/>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continuing operating</w:t>
            </w:r>
          </w:p>
        </w:tc>
        <w:tc>
          <w:tcPr>
            <w:tcW w:w="1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80" w:type="dxa"/>
            <w:vAlign w:val="bottom"/>
            <w:shd w:val="clear" w:color="auto" w:fill="CFF0FC"/>
          </w:tcPr>
          <w:p>
            <w:pPr>
              <w:ind w:left="100"/>
              <w:spacing w:after="0"/>
              <w:rPr>
                <w:sz w:val="20"/>
                <w:szCs w:val="20"/>
                <w:color w:val="auto"/>
              </w:rPr>
            </w:pPr>
            <w:r>
              <w:rPr>
                <w:rFonts w:ascii="Arial" w:cs="Arial" w:eastAsia="Arial" w:hAnsi="Arial"/>
                <w:sz w:val="16"/>
                <w:szCs w:val="16"/>
                <w:color w:val="auto"/>
              </w:rPr>
              <w:t>activities:</w:t>
            </w:r>
          </w:p>
        </w:tc>
        <w:tc>
          <w:tcPr>
            <w:tcW w:w="1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Income from discontinued operations, including taxes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(23,603)</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(5,703)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(8,633)</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Depreciation, depletion and amortization of property, plant and equipment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24,618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Cash provided (used) by changes in assets and liabilities (net of effects of</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360"/>
              <w:spacing w:after="0"/>
              <w:rPr>
                <w:sz w:val="20"/>
                <w:szCs w:val="20"/>
                <w:color w:val="auto"/>
              </w:rPr>
            </w:pPr>
            <w:r>
              <w:rPr>
                <w:rFonts w:ascii="Arial" w:cs="Arial" w:eastAsia="Arial" w:hAnsi="Arial"/>
                <w:sz w:val="16"/>
                <w:szCs w:val="16"/>
                <w:color w:val="auto"/>
              </w:rPr>
              <w:t>discontinued operations):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receivable</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(4,233)</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480"/>
              <w:spacing w:after="0"/>
              <w:rPr>
                <w:sz w:val="20"/>
                <w:szCs w:val="20"/>
                <w:color w:val="auto"/>
              </w:rPr>
            </w:pPr>
            <w:r>
              <w:rPr>
                <w:rFonts w:ascii="Arial" w:cs="Arial" w:eastAsia="Arial" w:hAnsi="Arial"/>
                <w:sz w:val="16"/>
                <w:szCs w:val="16"/>
                <w:color w:val="auto"/>
              </w:rPr>
              <w:t>Inventories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7,352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insurance</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480"/>
              <w:spacing w:after="0"/>
              <w:rPr>
                <w:sz w:val="20"/>
                <w:szCs w:val="20"/>
                <w:color w:val="auto"/>
              </w:rPr>
            </w:pPr>
            <w:r>
              <w:rPr>
                <w:rFonts w:ascii="Arial" w:cs="Arial" w:eastAsia="Arial" w:hAnsi="Arial"/>
                <w:sz w:val="16"/>
                <w:szCs w:val="16"/>
                <w:color w:val="auto"/>
              </w:rPr>
              <w:t>Prepaid and accrued income taxes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(576)</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supplies, prepaid items and other</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(561)</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17,664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(3,292)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Customer deposits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(558)</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Other current and noncurrent liabilities</w:t>
            </w:r>
          </w:p>
        </w:tc>
        <w:tc>
          <w:tcPr>
            <w:tcW w:w="12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6,783</w:t>
            </w: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continuing operating activities</w:t>
            </w:r>
          </w:p>
        </w:tc>
        <w:tc>
          <w:tcPr>
            <w:tcW w:w="1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24,244</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investing activities</w:t>
            </w:r>
          </w:p>
        </w:tc>
        <w:tc>
          <w:tcPr>
            <w:tcW w:w="1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(170,057)</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(156,981)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short-term investments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Purchases of short-term investments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noncurrent restricted cash and cash equivalents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Proceeds from noncurrent restricted investments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investing activities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6"/>
                <w:szCs w:val="16"/>
                <w:color w:val="auto"/>
              </w:rPr>
              <w:t>Net cash used by continuing investing activities</w:t>
            </w:r>
          </w:p>
        </w:tc>
        <w:tc>
          <w:tcPr>
            <w:tcW w:w="1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0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(168,999)</w:t>
            </w:r>
          </w:p>
        </w:tc>
        <w:tc>
          <w:tcPr>
            <w:tcW w:w="5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(97,078)</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5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6"/>
                <w:szCs w:val="16"/>
                <w:b w:val="1"/>
                <w:bCs w:val="1"/>
                <w:color w:val="auto"/>
              </w:rPr>
              <w:t>Cash flows from continuing financing activities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revolving debt facility</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55,907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Payments on revolving debt facility</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(25,000)</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other long-term debt, net of fees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Payments on other long-term debt</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(7,639)</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of debt issuance costs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(543)</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Payments of issuance costs relating to preferred stocks and warrants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(785)</w:t>
            </w:r>
          </w:p>
        </w:tc>
        <w:tc>
          <w:tcPr>
            <w:tcW w:w="5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short-term financing</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(4,783)</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Proceeds from exercises of stock options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Excess income tax benefit associated with stock-based compensation</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Dividends paid on convertible preferred stocks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continuing financing activities</w:t>
            </w:r>
          </w:p>
        </w:tc>
        <w:tc>
          <w:tcPr>
            <w:tcW w:w="126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32,279</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gridSpan w:val="2"/>
          </w:tcPr>
          <w:p>
            <w:pPr>
              <w:spacing w:after="0"/>
              <w:rPr>
                <w:sz w:val="20"/>
                <w:szCs w:val="20"/>
                <w:color w:val="auto"/>
              </w:rPr>
            </w:pPr>
            <w:r>
              <w:rPr>
                <w:rFonts w:ascii="Arial" w:cs="Arial" w:eastAsia="Arial" w:hAnsi="Arial"/>
                <w:sz w:val="16"/>
                <w:szCs w:val="16"/>
                <w:color w:val="auto"/>
              </w:rPr>
              <w:t>Cash flows of discontinued operations: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tcPr>
          <w:p>
            <w:pPr>
              <w:ind w:left="240"/>
              <w:spacing w:after="0"/>
              <w:rPr>
                <w:sz w:val="20"/>
                <w:szCs w:val="20"/>
                <w:color w:val="auto"/>
              </w:rPr>
            </w:pPr>
            <w:r>
              <w:rPr>
                <w:rFonts w:ascii="Arial" w:cs="Arial" w:eastAsia="Arial" w:hAnsi="Arial"/>
                <w:sz w:val="16"/>
                <w:szCs w:val="16"/>
                <w:color w:val="auto"/>
              </w:rPr>
              <w:t>Net cash used by investing activities</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(1,025)</w:t>
            </w:r>
          </w:p>
        </w:tc>
        <w:tc>
          <w:tcPr>
            <w:tcW w:w="5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financing activities</w:t>
            </w:r>
          </w:p>
        </w:tc>
        <w:tc>
          <w:tcPr>
            <w:tcW w:w="1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(1,370)</w:t>
            </w:r>
          </w:p>
        </w:tc>
        <w:tc>
          <w:tcPr>
            <w:tcW w:w="5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207"/>
        </w:trPr>
        <w:tc>
          <w:tcPr>
            <w:tcW w:w="6600" w:type="dxa"/>
            <w:vAlign w:val="bottom"/>
            <w:gridSpan w:val="2"/>
          </w:tcPr>
          <w:p>
            <w:pPr>
              <w:spacing w:after="0"/>
              <w:rPr>
                <w:sz w:val="20"/>
                <w:szCs w:val="20"/>
                <w:color w:val="auto"/>
              </w:rPr>
            </w:pPr>
            <w:r>
              <w:rPr>
                <w:rFonts w:ascii="Arial" w:cs="Arial" w:eastAsia="Arial" w:hAnsi="Arial"/>
                <w:sz w:val="16"/>
                <w:szCs w:val="16"/>
                <w:color w:val="auto"/>
              </w:rPr>
              <w:t>Net cash provided by discontinued operations</w:t>
            </w:r>
          </w:p>
        </w:tc>
        <w:tc>
          <w:tcPr>
            <w:tcW w:w="1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8,117</w:t>
            </w:r>
          </w:p>
        </w:tc>
        <w:tc>
          <w:tcPr>
            <w:tcW w:w="2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12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58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0"/>
              </w:rPr>
              <w:t>(104,359)</w:t>
            </w:r>
          </w:p>
        </w:tc>
        <w:tc>
          <w:tcPr>
            <w:tcW w:w="5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(52,345)</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2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127,195</w:t>
            </w:r>
          </w:p>
        </w:tc>
        <w:tc>
          <w:tcPr>
            <w:tcW w:w="280" w:type="dxa"/>
            <w:vAlign w:val="bottom"/>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184,996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0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24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22,836</w:t>
            </w:r>
          </w:p>
        </w:tc>
        <w:tc>
          <w:tcPr>
            <w:tcW w:w="280" w:type="dxa"/>
            <w:vAlign w:val="bottom"/>
          </w:tcPr>
          <w:p>
            <w:pPr>
              <w:spacing w:after="0"/>
              <w:rPr>
                <w:sz w:val="17"/>
                <w:szCs w:val="17"/>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132,651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complete discussion of our significant accounting policies, refer to the notes to our audited consolidated financial statements included in our Form 10-K for the year ended December 31, 2015 (“2015 Form 10-K”), filed with the Securities and Exchange Commission (“SEC”) on February 29, 2016.</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 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condensed consolidated financial statements. We are engaged in the manufacture and sale of chemical products. LSB is a holding company with no significant operations or assets other than cash, cash equivalents, and investments in its subsidiaries. Our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All material intercompany accounts and transactions have been eliminated.</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11, 2016, LSB, Consolidated Industries L.L.C., a direct, wholly owned subsidiary of LSB (“Consolidated”), and Climate Control Group, Inc., a direct, wholly owned subsidiary of Consolidated and an indirect subsidiary of LSB (the “Climate Control Group”), entered into a Stock Purchase Agreement (the “Stock Purchase Agreement”) with NIBE Industrier AB (publ), and NIBE Energy Systems Inc., an indirect wholly owned subsidiary of NIBE Industrier AB (together as “NIBE”) pursuant to which LSB, through Consolidated, agreed to sell to NIBE all of the outstanding shares of stock of the Climate Control Group for a total of approximately $364 million, subject to closing and post-closing adjustments which, was completed on July 1, 2016. The Climate Control Group conducts LSB’s Climate Control Business (the “Climate Control Business”). The assets and liabilities of Climate Control Business have been segregated and reported as held for sale as of June 30, 2016. Furthermore, the operating activities of Climate Control Business have been segregated and reported as discontinued operations for all periods presented. Our financial statements and footnotes reflect our results from continuing operations unless otherwise noted. See Note 2-Discontinued Operations. In addition, see Note 15-Subsequent Event for further discussion of this sale.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unaudited condensed consolidated financial statements of the Company as of June 30, 2016 and for the three and six-month periods ended June 30, 2016 and 2015 include all adjustments and accruals, consisting of normal, recurring accrual adjustments (except otherwise disclosed),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2015 Form 10-K.</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w:t>
      </w:r>
      <w:r>
        <w:rPr>
          <w:rFonts w:ascii="Arial" w:cs="Arial" w:eastAsia="Arial" w:hAnsi="Arial"/>
          <w:sz w:val="18"/>
          <w:szCs w:val="18"/>
          <w:color w:val="auto"/>
        </w:rPr>
        <w:t>– Financial instruments relating to cash and cash equivalents potentially subject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concentrations of credit risk. All of these financial instruments were held by financial institutions within the U.S. and none of these financial instruments were in excess of the federally insured limits.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For transactions structured as a sale of assets, the deferred taxes associated with those individual assets and liabilities, as well as any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taxes associated with the outside basis difference, would continue to be classified with our other deferred tax assets and liabilities rather than in the assets and liabilities held for sale balance sheet line items as such deferred taxes are not transferred with the sale. For transactions structured as a sale of stock, the deferred taxes associated with outside basis differences are classified with our other deferred tax assets and liabilities as such deferred taxes are not transferred with the sale.</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contain contingent redemption features that are outside of our control and are classified as</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temporary/mezzanine equity. The redeemable preferred stocks were recorded at fair value upon issuance, net of issuance costs or discounts. In addition, certain embedded features included in the Series E cumulative, redeemable Class C preferred stock (the “Series E Redeemable Preferred”) required bifurcation and are classified as derivative liabilities. The carrying values of the redeemable preferred stocks are being increased by periodic accretions (including the amount for dividends earned but not yet declared or paid) so that the carrying amount will equal the redemption value as of August 2, 2019, the earliest possible redemption date by the holder. The amount of accretion was recorded to retained earnings. See Note 15-Subsequent Event.</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Income (Loss) per Common Share </w:t>
      </w:r>
      <w:r>
        <w:rPr>
          <w:rFonts w:ascii="Arial" w:cs="Arial" w:eastAsia="Arial" w:hAnsi="Arial"/>
          <w:sz w:val="16"/>
          <w:szCs w:val="16"/>
          <w:color w:val="auto"/>
        </w:rPr>
        <w:t>- Net income (loss) attributable to common stockholders is computed by adjusting net income (loss) by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 In May 2014, the Financial Accounting Standards Board (“FASB”) issued Accounting Standard Update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and 2016-12. The effective date of this ASU for us is January 1, 2018, with the option to adopt a year earlier. This ASU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first-in, first-out (“FIFO”). This ASU is effective for us on January 1, 2017. A reporting entity should apply the amendments in this ASU prospectively with earlier application permitted as of the beginning of an interim or annual reporting period. We are currently evaluating the impact of this guidance, if any, on our consolidated financial statements and related disclosures.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simplifies the presentation of deferred income taxes by eliminating the need for entities to separate deferred income tax liabilities and assets into current and noncurrent amounts in a classified statement of financial position. This ASU is effective for us on January 1, 2017 and will be applied prospectively. We currently do not expect a significant impact from adopting this ASU.</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creates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supersedes the lease requirements in Topic 840, </w:t>
      </w:r>
      <w:r>
        <w:rPr>
          <w:rFonts w:ascii="Arial" w:cs="Arial" w:eastAsia="Arial" w:hAnsi="Arial"/>
          <w:sz w:val="18"/>
          <w:szCs w:val="18"/>
          <w:i w:val="1"/>
          <w:iCs w:val="1"/>
          <w:color w:val="auto"/>
        </w:rPr>
        <w:t>Leases</w:t>
      </w:r>
      <w:r>
        <w:rPr>
          <w:rFonts w:ascii="Arial" w:cs="Arial" w:eastAsia="Arial" w:hAnsi="Arial"/>
          <w:sz w:val="18"/>
          <w:szCs w:val="18"/>
          <w:color w:val="auto"/>
        </w:rPr>
        <w:t>. Topic 842 specifies the accounting for leases. The objective of Topic 842 is to establish the principles that lessees and lessors shall apply to report</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is effective for us on January 1, 2018 but early adoption is permitted. This ASU must be adopted using a modified retrospective transition, and provides for certain practical expedients. Transition will require application of the new guidance at the beginning of the earliest comparative period presented. We are currently evaluating the impact of this guidance on our consolidated financial statements and related disclosures.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FASB issued ASU No. 2016-09, </w:t>
      </w:r>
      <w:r>
        <w:rPr>
          <w:rFonts w:ascii="Arial" w:cs="Arial" w:eastAsia="Arial" w:hAnsi="Arial"/>
          <w:sz w:val="18"/>
          <w:szCs w:val="18"/>
          <w:i w:val="1"/>
          <w:iCs w:val="1"/>
          <w:color w:val="auto"/>
        </w:rPr>
        <w:t>Compensation—Stock Compensation (Topic 718): Improvements to Employee Share Based Payment Accounting</w:t>
      </w:r>
      <w:r>
        <w:rPr>
          <w:rFonts w:ascii="Arial" w:cs="Arial" w:eastAsia="Arial" w:hAnsi="Arial"/>
          <w:sz w:val="18"/>
          <w:szCs w:val="18"/>
          <w:color w:val="auto"/>
        </w:rPr>
        <w:t>. This ASU includes multiple provisions intended to simplify various aspects of the accounting for share based payments. This ASU is effective for us on January 1, 2017 and adoption will be applied prospectively with any adjustments reflected as of the beginning of the fiscal year. We are currently evaluating the impact of this guidance, if any, on our consolidated financial statements and related disclosures.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and Reclassifications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 previously reported correction and certain reclassifications made to our condensed consolidated statement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60" w:type="dxa"/>
            <w:vAlign w:val="bottom"/>
            <w:gridSpan w:val="13"/>
          </w:tcPr>
          <w:p>
            <w:pPr>
              <w:jc w:val="center"/>
              <w:ind w:right="300"/>
              <w:spacing w:after="0"/>
              <w:rPr>
                <w:sz w:val="20"/>
                <w:szCs w:val="20"/>
                <w:color w:val="auto"/>
              </w:rPr>
            </w:pPr>
            <w:r>
              <w:rPr>
                <w:rFonts w:ascii="Arial" w:cs="Arial" w:eastAsia="Arial" w:hAnsi="Arial"/>
                <w:sz w:val="18"/>
                <w:szCs w:val="18"/>
                <w:color w:val="auto"/>
                <w:w w:val="89"/>
              </w:rPr>
              <w:t>Condensed Consolidated Statement of Operations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8"/>
                <w:szCs w:val="18"/>
                <w:color w:val="auto"/>
                <w:w w:val="89"/>
              </w:rPr>
              <w:t>Three Months Ended June 30, 2015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Adjustments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Adjustments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As Previously</w:t>
            </w:r>
          </w:p>
        </w:tc>
        <w:tc>
          <w:tcPr>
            <w:tcW w:w="1620" w:type="dxa"/>
            <w:vAlign w:val="bottom"/>
            <w:gridSpan w:val="4"/>
          </w:tcPr>
          <w:p>
            <w:pPr>
              <w:jc w:val="center"/>
              <w:spacing w:after="0"/>
              <w:rPr>
                <w:sz w:val="20"/>
                <w:szCs w:val="20"/>
                <w:color w:val="auto"/>
              </w:rPr>
            </w:pPr>
            <w:r>
              <w:rPr>
                <w:rFonts w:ascii="Arial" w:cs="Arial" w:eastAsia="Arial" w:hAnsi="Arial"/>
                <w:sz w:val="18"/>
                <w:szCs w:val="18"/>
                <w:color w:val="auto"/>
                <w:w w:val="90"/>
              </w:rPr>
              <w:t>Reclassifications</w:t>
            </w:r>
          </w:p>
        </w:tc>
        <w:tc>
          <w:tcPr>
            <w:tcW w:w="148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Reclassifications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9"/>
              </w:rPr>
              <w:t>Reported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As Adjusted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6"/>
          </w:tcPr>
          <w:p>
            <w:pPr>
              <w:jc w:val="center"/>
              <w:ind w:right="260"/>
              <w:spacing w:after="0"/>
              <w:rPr>
                <w:sz w:val="20"/>
                <w:szCs w:val="20"/>
                <w:color w:val="auto"/>
              </w:rPr>
            </w:pPr>
            <w:r>
              <w:rPr>
                <w:rFonts w:ascii="Arial" w:cs="Arial" w:eastAsia="Arial" w:hAnsi="Arial"/>
                <w:sz w:val="16"/>
                <w:szCs w:val="16"/>
                <w:color w:val="auto"/>
                <w:w w:val="91"/>
              </w:rPr>
              <w:t>(In Thousands)</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(66,842)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125,503</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Cost of sales</w:t>
            </w:r>
          </w:p>
        </w:tc>
        <w:tc>
          <w:tcPr>
            <w:tcW w:w="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390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147,777</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(46,761)</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112,887</w:t>
            </w:r>
          </w:p>
        </w:tc>
        <w:tc>
          <w:tcPr>
            <w:tcW w:w="100" w:type="dxa"/>
            <w:vAlign w:val="bottom"/>
            <w:tcBorders>
              <w:bottom w:val="single" w:sz="8" w:color="CFF0FC"/>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34,882</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12,616</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580"/>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32,025</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losses on accounts receivable</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60" w:type="dxa"/>
            <w:vAlign w:val="bottom"/>
            <w:gridSpan w:val="13"/>
          </w:tcPr>
          <w:p>
            <w:pPr>
              <w:jc w:val="center"/>
              <w:ind w:right="300"/>
              <w:spacing w:after="0"/>
              <w:rPr>
                <w:sz w:val="20"/>
                <w:szCs w:val="20"/>
                <w:color w:val="auto"/>
              </w:rPr>
            </w:pPr>
            <w:r>
              <w:rPr>
                <w:rFonts w:ascii="Arial" w:cs="Arial" w:eastAsia="Arial" w:hAnsi="Arial"/>
                <w:sz w:val="18"/>
                <w:szCs w:val="18"/>
                <w:color w:val="auto"/>
                <w:w w:val="89"/>
              </w:rPr>
              <w:t>Condensed Consolidated Statement of Operations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0"/>
              </w:rPr>
              <w:t>Six Months Ended June 30, 2015</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Adjustments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Adjustments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As Previously</w:t>
            </w:r>
          </w:p>
        </w:tc>
        <w:tc>
          <w:tcPr>
            <w:tcW w:w="1620" w:type="dxa"/>
            <w:vAlign w:val="bottom"/>
            <w:gridSpan w:val="4"/>
          </w:tcPr>
          <w:p>
            <w:pPr>
              <w:jc w:val="center"/>
              <w:spacing w:after="0"/>
              <w:rPr>
                <w:sz w:val="20"/>
                <w:szCs w:val="20"/>
                <w:color w:val="auto"/>
              </w:rPr>
            </w:pPr>
            <w:r>
              <w:rPr>
                <w:rFonts w:ascii="Arial" w:cs="Arial" w:eastAsia="Arial" w:hAnsi="Arial"/>
                <w:sz w:val="18"/>
                <w:szCs w:val="18"/>
                <w:color w:val="auto"/>
                <w:w w:val="90"/>
              </w:rPr>
              <w:t>Reclassifications</w:t>
            </w:r>
          </w:p>
        </w:tc>
        <w:tc>
          <w:tcPr>
            <w:tcW w:w="148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Reclassifications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89"/>
              </w:rPr>
              <w:t>Reported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As Adjusted</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6"/>
          </w:tcPr>
          <w:p>
            <w:pPr>
              <w:jc w:val="center"/>
              <w:ind w:right="260"/>
              <w:spacing w:after="0"/>
              <w:rPr>
                <w:sz w:val="20"/>
                <w:szCs w:val="20"/>
                <w:color w:val="auto"/>
              </w:rPr>
            </w:pPr>
            <w:r>
              <w:rPr>
                <w:rFonts w:ascii="Arial" w:cs="Arial" w:eastAsia="Arial" w:hAnsi="Arial"/>
                <w:sz w:val="16"/>
                <w:szCs w:val="16"/>
                <w:color w:val="auto"/>
                <w:w w:val="91"/>
              </w:rPr>
              <w:t>(In Thousands)</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376,517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14,626</w:t>
            </w:r>
          </w:p>
        </w:tc>
        <w:tc>
          <w:tcPr>
            <w:tcW w:w="14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(132,040)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259,103</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Cost of sales</w:t>
            </w:r>
          </w:p>
        </w:tc>
        <w:tc>
          <w:tcPr>
            <w:tcW w:w="7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3900" w:type="dxa"/>
            <w:vAlign w:val="bottom"/>
            <w:tcBorders>
              <w:bottom w:val="single" w:sz="8" w:color="CFF0FC"/>
            </w:tcBorders>
            <w:vMerge w:val="continue"/>
          </w:tcPr>
          <w:p>
            <w:pPr>
              <w:spacing w:after="0"/>
              <w:rPr>
                <w:sz w:val="21"/>
                <w:szCs w:val="21"/>
                <w:color w:val="auto"/>
              </w:rPr>
            </w:pPr>
          </w:p>
        </w:tc>
        <w:tc>
          <w:tcPr>
            <w:tcW w:w="7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299,276</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18,409</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225,688</w:t>
            </w:r>
          </w:p>
        </w:tc>
        <w:tc>
          <w:tcPr>
            <w:tcW w:w="100" w:type="dxa"/>
            <w:vAlign w:val="bottom"/>
            <w:tcBorders>
              <w:bottom w:val="single" w:sz="8" w:color="CFF0FC"/>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7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77,241</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33,415</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580"/>
              <w:spacing w:after="0"/>
              <w:rPr>
                <w:sz w:val="20"/>
                <w:szCs w:val="20"/>
                <w:color w:val="auto"/>
              </w:rPr>
            </w:pPr>
            <w:r>
              <w:rPr>
                <w:rFonts w:ascii="Arial" w:cs="Arial" w:eastAsia="Arial" w:hAnsi="Arial"/>
                <w:sz w:val="18"/>
                <w:szCs w:val="18"/>
                <w:color w:val="auto"/>
              </w:rPr>
              <w:t>Selling, general and administrative expense</w:t>
            </w:r>
          </w:p>
        </w:tc>
        <w:tc>
          <w:tcPr>
            <w:tcW w:w="9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losses on accounts receivable</w:t>
            </w:r>
          </w:p>
        </w:tc>
        <w:tc>
          <w:tcPr>
            <w:tcW w:w="7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2"/>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21" w:lineRule="exact"/>
        <w:rPr>
          <w:sz w:val="20"/>
          <w:szCs w:val="20"/>
          <w:color w:val="auto"/>
        </w:rPr>
      </w:pPr>
    </w:p>
    <w:p>
      <w:pPr>
        <w:jc w:val="both"/>
        <w:ind w:left="520" w:right="20" w:hanging="512"/>
        <w:spacing w:after="0" w:line="25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Previously Reported Correction and Reclassifications </w:t>
      </w:r>
      <w:r>
        <w:rPr>
          <w:rFonts w:ascii="Arial" w:cs="Arial" w:eastAsia="Arial" w:hAnsi="Arial"/>
          <w:sz w:val="18"/>
          <w:szCs w:val="18"/>
          <w:color w:val="auto"/>
        </w:rPr>
        <w:t>– As discussed in our significant accounting policies note to our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the 2015 Form 10-K, in the fourth quarter of 2015, we corrected and reclassified certain shipping and handling costs associated with our Chemical operation. In addition, we reclassified the provision for losses on accounts receivable to selling, general and administrative expenses (“SG&amp;A”). We revised our condensed consolidated statement of operations for the three and six months ended June 30, 2015 to conform to the current presentation as summarized in the table above.</w:t>
      </w:r>
    </w:p>
    <w:p>
      <w:pPr>
        <w:spacing w:after="0" w:line="93" w:lineRule="exact"/>
        <w:rPr>
          <w:rFonts w:ascii="Arial" w:cs="Arial" w:eastAsia="Arial" w:hAnsi="Arial"/>
          <w:sz w:val="18"/>
          <w:szCs w:val="18"/>
          <w:color w:val="auto"/>
        </w:rPr>
      </w:pPr>
    </w:p>
    <w:p>
      <w:pPr>
        <w:jc w:val="both"/>
        <w:ind w:left="520" w:right="20" w:hanging="512"/>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Discontinued Operation Reclassifications </w:t>
      </w:r>
      <w:r>
        <w:rPr>
          <w:rFonts w:ascii="Arial" w:cs="Arial" w:eastAsia="Arial" w:hAnsi="Arial"/>
          <w:sz w:val="18"/>
          <w:szCs w:val="18"/>
          <w:color w:val="auto"/>
        </w:rPr>
        <w:t>– As discussed in Note 2-Discontinued Operations, the Climate Control Business met the criteria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as held for sale during the second quarter of 2016. As a result, the activities of the Climate Control Business have been segregated from continuing operations and reported as discontinued operations for all periods presented. In the table above, we included the reclassifications associated with discontinued operations for the line items impacted by item (1) above.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Discontinued Operations</w:t>
      </w:r>
    </w:p>
    <w:p>
      <w:pPr>
        <w:spacing w:after="0" w:line="1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252525"/>
        </w:rPr>
        <w:t>As discussed in Note 1, on May 11, 2016, LSB and Consolidated entered into a definitive agreement with NIBE to sell all of the common stock of the Climate Control Group. Therefore, the assets and liabilities of the Climate Control Group are classified as held for sale at June 30, 2016. See Note 15-Subsequent Event.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jc w:val="right"/>
              <w:ind w:right="250"/>
              <w:spacing w:after="0"/>
              <w:rPr>
                <w:sz w:val="20"/>
                <w:szCs w:val="20"/>
                <w:color w:val="auto"/>
              </w:rPr>
            </w:pPr>
            <w:r>
              <w:rPr>
                <w:rFonts w:ascii="Arial" w:cs="Arial" w:eastAsia="Arial" w:hAnsi="Arial"/>
                <w:sz w:val="18"/>
                <w:szCs w:val="18"/>
                <w:color w:val="252525"/>
                <w:w w:val="91"/>
              </w:rPr>
              <w:t>The carrying amounts of the assets and liabilities of the Climate Control Group, are as follows: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7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color w:val="auto"/>
                <w:w w:val="95"/>
              </w:rPr>
              <w:t>June 30,</w:t>
            </w:r>
          </w:p>
        </w:tc>
        <w:tc>
          <w:tcPr>
            <w:tcW w:w="180" w:type="dxa"/>
            <w:vAlign w:val="bottom"/>
          </w:tcPr>
          <w:p>
            <w:pPr>
              <w:spacing w:after="0"/>
              <w:rPr>
                <w:sz w:val="24"/>
                <w:szCs w:val="24"/>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4"/>
          </w:tcPr>
          <w:p>
            <w:pPr>
              <w:jc w:val="right"/>
              <w:ind w:right="710"/>
              <w:spacing w:after="0"/>
              <w:rPr>
                <w:sz w:val="20"/>
                <w:szCs w:val="20"/>
                <w:color w:val="auto"/>
              </w:rPr>
            </w:pPr>
            <w:r>
              <w:rPr>
                <w:rFonts w:ascii="Arial" w:cs="Arial" w:eastAsia="Arial" w:hAnsi="Arial"/>
                <w:sz w:val="16"/>
                <w:szCs w:val="16"/>
                <w:color w:val="auto"/>
              </w:rPr>
              <w:t>(In Thousands)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4,368</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43,001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28,780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and other, net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assets classified as held for sale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114,468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106,777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noncurrent assets classified as held for sale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assets classified as held for sale</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114,468</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72,996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and noncurrent accrued and other liabilities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28,667</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classified as held for sale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noncurrent liabilities classified as held for sale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liabilities classified as held for sale</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47,289</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32,526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jc w:val="right"/>
              <w:ind w:right="129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1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Discontinued Operations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52525"/>
        </w:rPr>
        <w:t>Summarized results of discontinued operations are as follows for:</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9"/>
                <w:szCs w:val="19"/>
                <w:color w:val="auto"/>
              </w:rPr>
            </w:pPr>
          </w:p>
        </w:tc>
      </w:tr>
      <w:tr>
        <w:trPr>
          <w:trHeight w:val="223"/>
        </w:trPr>
        <w:tc>
          <w:tcPr>
            <w:tcW w:w="4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r>
      <w:tr>
        <w:trPr>
          <w:trHeight w:val="223"/>
        </w:trPr>
        <w:tc>
          <w:tcPr>
            <w:tcW w:w="4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9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71,982</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66,842</w:t>
            </w:r>
          </w:p>
        </w:tc>
        <w:tc>
          <w:tcPr>
            <w:tcW w:w="4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138,609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132,040</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Cost of sales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46,761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93,178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91,997</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31,200</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Transaction costs</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operations of discontinued operations</w:t>
            </w:r>
          </w:p>
        </w:tc>
        <w:tc>
          <w:tcPr>
            <w:tcW w:w="7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Provision (benefit) for income taxes (1)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(17,782)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(13,543)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from discontinued operations, including taxes</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right="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structure of the Climate Control Business sale will allow for additional tax basis to be recovered than was previously recorded as a deferred tax asset. The tax benefit associated with this additional tax basis was recorded in discontinued operations in the second quarter consistent with the period the Climate Control Business subsidiaries were designated as held for sale.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Summarized condensed cash flow information of discontinued operations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920" w:type="dxa"/>
            <w:vAlign w:val="bottom"/>
            <w:tcBorders>
              <w:bottom w:val="single" w:sz="8" w:color="auto"/>
            </w:tcBorders>
          </w:tcPr>
          <w:p>
            <w:pPr>
              <w:spacing w:after="0"/>
              <w:rPr>
                <w:sz w:val="20"/>
                <w:szCs w:val="20"/>
                <w:color w:val="auto"/>
              </w:rPr>
            </w:pPr>
          </w:p>
        </w:tc>
        <w:tc>
          <w:tcPr>
            <w:tcW w:w="174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740" w:type="dxa"/>
            <w:vAlign w:val="bottom"/>
          </w:tcPr>
          <w:p>
            <w:pPr>
              <w:spacing w:after="0"/>
              <w:rPr>
                <w:sz w:val="19"/>
                <w:szCs w:val="19"/>
                <w:color w:val="auto"/>
              </w:rPr>
            </w:pPr>
          </w:p>
        </w:tc>
      </w:tr>
      <w:tr>
        <w:trPr>
          <w:trHeight w:val="204"/>
        </w:trPr>
        <w:tc>
          <w:tcPr>
            <w:tcW w:w="17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3"/>
          </w:tcPr>
          <w:p>
            <w:pPr>
              <w:jc w:val="right"/>
              <w:ind w:right="730"/>
              <w:spacing w:after="0"/>
              <w:rPr>
                <w:sz w:val="20"/>
                <w:szCs w:val="20"/>
                <w:color w:val="auto"/>
              </w:rPr>
            </w:pPr>
            <w:r>
              <w:rPr>
                <w:rFonts w:ascii="Arial" w:cs="Arial" w:eastAsia="Arial" w:hAnsi="Arial"/>
                <w:sz w:val="16"/>
                <w:szCs w:val="16"/>
                <w:color w:val="auto"/>
              </w:rPr>
              <w:t>(In Thousands)</w:t>
            </w:r>
          </w:p>
        </w:tc>
        <w:tc>
          <w:tcPr>
            <w:tcW w:w="1740" w:type="dxa"/>
            <w:vAlign w:val="bottom"/>
          </w:tcPr>
          <w:p>
            <w:pPr>
              <w:spacing w:after="0"/>
              <w:rPr>
                <w:sz w:val="17"/>
                <w:szCs w:val="17"/>
                <w:color w:val="auto"/>
              </w:rPr>
            </w:pPr>
          </w:p>
        </w:tc>
      </w:tr>
      <w:tr>
        <w:trPr>
          <w:trHeight w:val="236"/>
        </w:trPr>
        <w:tc>
          <w:tcPr>
            <w:tcW w:w="1720" w:type="dxa"/>
            <w:vAlign w:val="bottom"/>
          </w:tcPr>
          <w:p>
            <w:pPr>
              <w:spacing w:after="0"/>
              <w:rPr>
                <w:sz w:val="20"/>
                <w:szCs w:val="20"/>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(12,809)</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740" w:type="dxa"/>
            <w:vAlign w:val="bottom"/>
          </w:tcPr>
          <w:p>
            <w:pPr>
              <w:spacing w:after="0"/>
              <w:rPr>
                <w:sz w:val="20"/>
                <w:szCs w:val="20"/>
                <w:color w:val="auto"/>
              </w:rPr>
            </w:pPr>
          </w:p>
        </w:tc>
      </w:tr>
      <w:tr>
        <w:trPr>
          <w:trHeight w:val="215"/>
        </w:trPr>
        <w:tc>
          <w:tcPr>
            <w:tcW w:w="17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Depreciation and amortization of property, plant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1,607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2,325</w:t>
            </w:r>
          </w:p>
        </w:tc>
        <w:tc>
          <w:tcPr>
            <w:tcW w:w="174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573</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740" w:type="dxa"/>
            <w:vAlign w:val="bottom"/>
          </w:tcPr>
          <w:p>
            <w:pPr>
              <w:spacing w:after="0"/>
              <w:rPr>
                <w:sz w:val="21"/>
                <w:szCs w:val="21"/>
                <w:color w:val="auto"/>
              </w:rPr>
            </w:pPr>
          </w:p>
        </w:tc>
      </w:tr>
      <w:tr>
        <w:trPr>
          <w:trHeight w:val="243"/>
        </w:trPr>
        <w:tc>
          <w:tcPr>
            <w:tcW w:w="5420" w:type="dxa"/>
            <w:vAlign w:val="bottom"/>
            <w:gridSpan w:val="2"/>
          </w:tcPr>
          <w:p>
            <w:pPr>
              <w:ind w:left="1720"/>
              <w:spacing w:after="0"/>
              <w:rPr>
                <w:sz w:val="20"/>
                <w:szCs w:val="20"/>
                <w:color w:val="auto"/>
              </w:rPr>
            </w:pPr>
            <w:r>
              <w:rPr>
                <w:rFonts w:ascii="Arial" w:cs="Arial" w:eastAsia="Arial" w:hAnsi="Arial"/>
                <w:sz w:val="18"/>
                <w:szCs w:val="18"/>
                <w:color w:val="auto"/>
                <w:w w:val="98"/>
              </w:rPr>
              <w:t>Expenditures for property, plant and equipment</w:t>
            </w:r>
          </w:p>
        </w:tc>
        <w:tc>
          <w:tcPr>
            <w:tcW w:w="1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273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w:t>
            </w: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software development costs</w:t>
            </w:r>
          </w:p>
        </w:tc>
        <w:tc>
          <w:tcPr>
            <w:tcW w:w="1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1740" w:type="dxa"/>
            <w:vAlign w:val="bottom"/>
          </w:tcPr>
          <w:p>
            <w:pPr>
              <w:spacing w:after="0"/>
              <w:rPr>
                <w:sz w:val="21"/>
                <w:szCs w:val="21"/>
                <w:color w:val="auto"/>
              </w:rPr>
            </w:pPr>
          </w:p>
        </w:tc>
      </w:tr>
      <w:tr>
        <w:trPr>
          <w:trHeight w:val="837"/>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40" w:type="dxa"/>
            <w:vAlign w:val="bottom"/>
          </w:tcPr>
          <w:p>
            <w:pPr>
              <w:jc w:val="right"/>
              <w:ind w:right="127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b w:val="1"/>
                <w:bCs w:val="1"/>
                <w:color w:val="auto"/>
              </w:rPr>
              <w:t>Note 3: Income (Loss) Per Common Share</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14"/>
          </w:tcPr>
          <w:p>
            <w:pPr>
              <w:jc w:val="right"/>
              <w:ind w:right="860"/>
              <w:spacing w:after="0"/>
              <w:rPr>
                <w:sz w:val="20"/>
                <w:szCs w:val="20"/>
                <w:color w:val="auto"/>
              </w:rPr>
            </w:pPr>
            <w:r>
              <w:rPr>
                <w:rFonts w:ascii="Arial" w:cs="Arial" w:eastAsia="Arial" w:hAnsi="Arial"/>
                <w:sz w:val="16"/>
                <w:szCs w:val="16"/>
                <w:color w:val="auto"/>
              </w:rPr>
              <w:t>(Dollars In Thousands, Except Per Share Amounts)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15,091</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9"/>
                <w:szCs w:val="19"/>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Adjustments for basic net income (loss) per common</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(14,979)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and dividend requirements on Series B</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Preferred</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tcPr>
          <w:p>
            <w:pPr>
              <w:ind w:left="500"/>
              <w:spacing w:after="0"/>
              <w:rPr>
                <w:sz w:val="20"/>
                <w:szCs w:val="20"/>
                <w:color w:val="auto"/>
              </w:rPr>
            </w:pPr>
            <w:r>
              <w:rPr>
                <w:rFonts w:ascii="Arial" w:cs="Arial" w:eastAsia="Arial" w:hAnsi="Arial"/>
                <w:sz w:val="18"/>
                <w:szCs w:val="18"/>
                <w:color w:val="auto"/>
              </w:rPr>
              <w:t>Dividend and dividend requirements on Series 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(4,484)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tcPr>
          <w:p>
            <w:pPr>
              <w:ind w:left="500"/>
              <w:spacing w:after="0"/>
              <w:rPr>
                <w:sz w:val="20"/>
                <w:szCs w:val="20"/>
                <w:color w:val="auto"/>
              </w:rPr>
            </w:pPr>
            <w:r>
              <w:rPr>
                <w:rFonts w:ascii="Arial" w:cs="Arial" w:eastAsia="Arial" w:hAnsi="Arial"/>
                <w:sz w:val="18"/>
                <w:szCs w:val="18"/>
                <w:color w:val="auto"/>
              </w:rPr>
              <w:t>Net income attributable to participating securities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4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(19,463)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tcPr>
          <w:p>
            <w:pPr>
              <w:ind w:left="500"/>
              <w:spacing w:after="0"/>
              <w:rPr>
                <w:sz w:val="20"/>
                <w:szCs w:val="20"/>
                <w:color w:val="auto"/>
              </w:rPr>
            </w:pPr>
            <w:r>
              <w:rPr>
                <w:rFonts w:ascii="Arial" w:cs="Arial" w:eastAsia="Arial" w:hAnsi="Arial"/>
                <w:sz w:val="18"/>
                <w:szCs w:val="18"/>
                <w:color w:val="auto"/>
              </w:rPr>
              <w:t>Dividends on convertible preferred stocks assumed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tcPr>
          <w:p>
            <w:pPr>
              <w:ind w:left="620"/>
              <w:spacing w:after="0"/>
              <w:rPr>
                <w:sz w:val="20"/>
                <w:szCs w:val="20"/>
                <w:color w:val="auto"/>
              </w:rPr>
            </w:pPr>
            <w:r>
              <w:rPr>
                <w:rFonts w:ascii="Arial" w:cs="Arial" w:eastAsia="Arial" w:hAnsi="Arial"/>
                <w:sz w:val="18"/>
                <w:szCs w:val="18"/>
                <w:color w:val="auto"/>
              </w:rPr>
              <w:t>to be converted, if dilutive</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4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(19,463)</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 (1)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25,240,224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22,747,925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23,822,768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22,711,534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Effect of dilutive securities:</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tcPr>
          <w:p>
            <w:pPr>
              <w:ind w:left="740"/>
              <w:spacing w:after="0"/>
              <w:rPr>
                <w:sz w:val="20"/>
                <w:szCs w:val="20"/>
                <w:color w:val="auto"/>
              </w:rPr>
            </w:pPr>
            <w:r>
              <w:rPr>
                <w:rFonts w:ascii="Arial" w:cs="Arial" w:eastAsia="Arial" w:hAnsi="Arial"/>
                <w:sz w:val="18"/>
                <w:szCs w:val="18"/>
                <w:color w:val="auto"/>
              </w:rPr>
              <w:t>Stock options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top w:val="single" w:sz="8" w:color="CFF0FC"/>
            </w:tcBorders>
            <w:gridSpan w:val="2"/>
            <w:shd w:val="clear" w:color="auto" w:fill="CFF0FC"/>
          </w:tcPr>
          <w:p>
            <w:pPr>
              <w:ind w:left="980"/>
              <w:spacing w:after="0"/>
              <w:rPr>
                <w:sz w:val="20"/>
                <w:szCs w:val="20"/>
                <w:color w:val="auto"/>
              </w:rPr>
            </w:pPr>
            <w:r>
              <w:rPr>
                <w:rFonts w:ascii="Arial" w:cs="Arial" w:eastAsia="Arial" w:hAnsi="Arial"/>
                <w:sz w:val="18"/>
                <w:szCs w:val="18"/>
                <w:color w:val="auto"/>
              </w:rPr>
              <w:t>Dilutive potential common shares</w:t>
            </w:r>
          </w:p>
        </w:tc>
        <w:tc>
          <w:tcPr>
            <w:tcW w:w="4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Denominator for dilutive net income (loss) per common</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9"/>
              </w:rPr>
              <w:t>share - adjusted weighted-average shares and assumed</w:t>
            </w: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conversions</w:t>
            </w:r>
          </w:p>
        </w:tc>
        <w:tc>
          <w:tcPr>
            <w:tcW w:w="4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25,240,224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22,747,925</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23,822,768</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22,819,685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net income (loss) per common share:</w:t>
            </w: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tcPr>
          <w:p>
            <w:pPr>
              <w:ind w:left="500"/>
              <w:spacing w:after="0"/>
              <w:rPr>
                <w:sz w:val="20"/>
                <w:szCs w:val="20"/>
                <w:color w:val="auto"/>
              </w:rPr>
            </w:pPr>
            <w:r>
              <w:rPr>
                <w:rFonts w:ascii="Arial" w:cs="Arial" w:eastAsia="Arial" w:hAnsi="Arial"/>
                <w:sz w:val="18"/>
                <w:szCs w:val="18"/>
                <w:color w:val="auto"/>
              </w:rPr>
              <w:t>Loss from continuing operations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(0.70)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Income from discontinued operations, including taxes</w:t>
            </w:r>
          </w:p>
        </w:tc>
        <w:tc>
          <w:tcPr>
            <w:tcW w:w="4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Diluted net income (loss) per common share:</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Loss from continuing operations</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(0.70)</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(1.81)</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Income from discontinued operations, including taxes</w:t>
            </w:r>
          </w:p>
        </w:tc>
        <w:tc>
          <w:tcPr>
            <w:tcW w:w="4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the weighted-average shares of unvested restricted stock that are contingently returnable during the three and six months ended June 30,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Income (Loss) Per Common Share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2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Six Months Ended</w:t>
            </w:r>
          </w:p>
        </w:tc>
      </w:tr>
      <w:tr>
        <w:trPr>
          <w:trHeight w:val="230"/>
        </w:trPr>
        <w:tc>
          <w:tcPr>
            <w:tcW w:w="5380" w:type="dxa"/>
            <w:vAlign w:val="bottom"/>
          </w:tcPr>
          <w:p>
            <w:pPr>
              <w:spacing w:after="0"/>
              <w:rPr>
                <w:sz w:val="19"/>
                <w:szCs w:val="19"/>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center"/>
              <w:ind w:left="690"/>
              <w:spacing w:after="0"/>
              <w:rPr>
                <w:sz w:val="20"/>
                <w:szCs w:val="20"/>
                <w:color w:val="auto"/>
              </w:rPr>
            </w:pPr>
            <w:r>
              <w:rPr>
                <w:rFonts w:ascii="Arial" w:cs="Arial" w:eastAsia="Arial" w:hAnsi="Arial"/>
                <w:sz w:val="18"/>
                <w:szCs w:val="18"/>
                <w:color w:val="auto"/>
                <w:w w:val="83"/>
              </w:rPr>
              <w:t>June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517,273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860,370</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538,220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698,561</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989,484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911,563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Series E Redeemable Preferred - embedded derivative</w:t>
            </w:r>
          </w:p>
        </w:tc>
        <w:tc>
          <w:tcPr>
            <w:tcW w:w="1020" w:type="dxa"/>
            <w:vAlign w:val="bottom"/>
          </w:tcPr>
          <w:p>
            <w:pPr>
              <w:jc w:val="right"/>
              <w:spacing w:after="0"/>
              <w:rPr>
                <w:sz w:val="20"/>
                <w:szCs w:val="20"/>
                <w:color w:val="auto"/>
              </w:rPr>
            </w:pPr>
            <w:r>
              <w:rPr>
                <w:rFonts w:ascii="Arial" w:cs="Arial" w:eastAsia="Arial" w:hAnsi="Arial"/>
                <w:sz w:val="18"/>
                <w:szCs w:val="18"/>
                <w:color w:val="auto"/>
              </w:rPr>
              <w:t>456,225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456,225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2,879,648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1,777,036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2,822,674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1,615,227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2016 and December 31, 2015 because costs exceeded the net realizable value, inventory adjustments were $1,146,000 and $2,832,000, respectively.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Note 5: Current and Noncurrent Accrued and Other Liabilities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79"/>
        </w:trPr>
        <w:tc>
          <w:tcPr>
            <w:tcW w:w="17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20" w:type="dxa"/>
            <w:vAlign w:val="bottom"/>
          </w:tcPr>
          <w:p>
            <w:pPr>
              <w:spacing w:after="0"/>
              <w:rPr>
                <w:sz w:val="24"/>
                <w:szCs w:val="24"/>
                <w:color w:val="auto"/>
              </w:rPr>
            </w:pPr>
          </w:p>
        </w:tc>
        <w:tc>
          <w:tcPr>
            <w:tcW w:w="1180" w:type="dxa"/>
            <w:vAlign w:val="bottom"/>
            <w:gridSpan w:val="3"/>
          </w:tcPr>
          <w:p>
            <w:pPr>
              <w:ind w:left="40"/>
              <w:spacing w:after="0"/>
              <w:rPr>
                <w:sz w:val="20"/>
                <w:szCs w:val="20"/>
                <w:color w:val="auto"/>
              </w:rPr>
            </w:pPr>
            <w:r>
              <w:rPr>
                <w:rFonts w:ascii="Arial" w:cs="Arial" w:eastAsia="Arial" w:hAnsi="Arial"/>
                <w:sz w:val="18"/>
                <w:szCs w:val="18"/>
                <w:color w:val="auto"/>
                <w:w w:val="99"/>
              </w:rPr>
              <w:t>December 31,</w:t>
            </w:r>
          </w:p>
        </w:tc>
      </w:tr>
      <w:tr>
        <w:trPr>
          <w:trHeight w:val="230"/>
        </w:trPr>
        <w:tc>
          <w:tcPr>
            <w:tcW w:w="1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gridSpan w:val="6"/>
          </w:tcPr>
          <w:p>
            <w:pPr>
              <w:ind w:left="540"/>
              <w:spacing w:after="0"/>
              <w:rPr>
                <w:sz w:val="20"/>
                <w:szCs w:val="20"/>
                <w:color w:val="auto"/>
              </w:rPr>
            </w:pPr>
            <w:r>
              <w:rPr>
                <w:rFonts w:ascii="Arial" w:cs="Arial" w:eastAsia="Arial" w:hAnsi="Arial"/>
                <w:sz w:val="16"/>
                <w:szCs w:val="16"/>
                <w:color w:val="auto"/>
              </w:rPr>
              <w:t>(In Thousands)</w:t>
            </w:r>
          </w:p>
        </w:tc>
      </w:tr>
      <w:tr>
        <w:trPr>
          <w:trHeight w:val="236"/>
        </w:trPr>
        <w:tc>
          <w:tcPr>
            <w:tcW w:w="1720" w:type="dxa"/>
            <w:vAlign w:val="bottom"/>
          </w:tcPr>
          <w:p>
            <w:pPr>
              <w:spacing w:after="0"/>
              <w:rPr>
                <w:sz w:val="20"/>
                <w:szCs w:val="20"/>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16,498</w:t>
            </w:r>
          </w:p>
        </w:tc>
        <w:tc>
          <w:tcPr>
            <w:tcW w:w="1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14,784</w:t>
            </w: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payroll and benefits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4,521</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death and other executive benefits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4,604</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health insurance and worker compensation claims</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2,130</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16,251</w:t>
            </w:r>
          </w:p>
        </w:tc>
        <w:tc>
          <w:tcPr>
            <w:tcW w:w="60" w:type="dxa"/>
            <w:vAlign w:val="bottom"/>
            <w:shd w:val="clear" w:color="auto" w:fill="CFF0FC"/>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48,594</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noncurrent portion</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8,786</w:t>
            </w:r>
          </w:p>
        </w:tc>
        <w:tc>
          <w:tcPr>
            <w:tcW w:w="60" w:type="dxa"/>
            <w:vAlign w:val="bottom"/>
            <w:shd w:val="clear" w:color="auto" w:fill="CFF0FC"/>
          </w:tcPr>
          <w:p>
            <w:pPr>
              <w:spacing w:after="0"/>
              <w:rPr>
                <w:sz w:val="19"/>
                <w:szCs w:val="19"/>
                <w:color w:val="auto"/>
              </w:rPr>
            </w:pPr>
          </w:p>
        </w:tc>
      </w:tr>
      <w:tr>
        <w:trPr>
          <w:trHeight w:val="223"/>
        </w:trPr>
        <w:tc>
          <w:tcPr>
            <w:tcW w:w="7180" w:type="dxa"/>
            <w:vAlign w:val="bottom"/>
            <w:gridSpan w:val="3"/>
          </w:tcPr>
          <w:p>
            <w:pPr>
              <w:ind w:left="1720"/>
              <w:spacing w:after="0"/>
              <w:rPr>
                <w:sz w:val="20"/>
                <w:szCs w:val="20"/>
                <w:color w:val="auto"/>
              </w:rPr>
            </w:pPr>
            <w:r>
              <w:rPr>
                <w:rFonts w:ascii="Arial" w:cs="Arial" w:eastAsia="Arial" w:hAnsi="Arial"/>
                <w:sz w:val="18"/>
                <w:szCs w:val="18"/>
                <w:color w:val="auto"/>
              </w:rPr>
              <w:t>Current portion of accrued and other liabilities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39,808</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Asset Retirement Obligations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facilities, including the disposal of waste water generated at certain of these facilities. Additionally, we have certain facilities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we own working interests in certain natural gas properties. We recognized AROs associated with the obligation to plug and abandon wells when the obligation is incurred which is typically when the well is completed. At June 30, 2016 and December 31, 2015, our accrued liability for AROs was $287,000 and $281,000,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long-term debt consists of the following:</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r>
      <w:tr>
        <w:trPr>
          <w:trHeight w:val="230"/>
        </w:trPr>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04"/>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6"/>
                <w:szCs w:val="16"/>
                <w:color w:val="auto"/>
              </w:rPr>
              <w:t>(In Thousands)</w:t>
            </w:r>
          </w:p>
        </w:tc>
      </w:tr>
      <w:tr>
        <w:trPr>
          <w:trHeight w:val="221"/>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4.00% (A)</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30,907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7.75% Senior Secured Notes due 2019 (B)</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12% Senior Secured Notes due 2019 (B)</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2017, with a current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interest rate of 3.69% (C)</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15,856</w:t>
            </w:r>
          </w:p>
        </w:tc>
        <w:tc>
          <w:tcPr>
            <w:tcW w:w="80" w:type="dxa"/>
            <w:vAlign w:val="bottom"/>
          </w:tcPr>
          <w:p>
            <w:pPr>
              <w:spacing w:after="0"/>
              <w:rPr>
                <w:sz w:val="20"/>
                <w:szCs w:val="20"/>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5.73% (D)</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rate of 5.25% (E)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16,189</w:t>
            </w:r>
          </w:p>
        </w:tc>
        <w:tc>
          <w:tcPr>
            <w:tcW w:w="80" w:type="dxa"/>
            <w:vAlign w:val="bottom"/>
          </w:tcPr>
          <w:p>
            <w:pPr>
              <w:spacing w:after="0"/>
              <w:rPr>
                <w:sz w:val="20"/>
                <w:szCs w:val="20"/>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4.72% (F)</w:t>
            </w: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0"/>
                <w:szCs w:val="20"/>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Other, with a current weighted-average interest rate of 4.50%,</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most of which is secured primarily by machinery and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7,103</w:t>
            </w:r>
          </w:p>
        </w:tc>
        <w:tc>
          <w:tcPr>
            <w:tcW w:w="80" w:type="dxa"/>
            <w:vAlign w:val="bottom"/>
          </w:tcPr>
          <w:p>
            <w:pPr>
              <w:spacing w:after="0"/>
              <w:rPr>
                <w:sz w:val="20"/>
                <w:szCs w:val="20"/>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(7,690)</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(8,726)</w:t>
            </w:r>
          </w:p>
        </w:tc>
      </w:tr>
      <w:tr>
        <w:trPr>
          <w:trHeight w:val="223"/>
        </w:trPr>
        <w:tc>
          <w:tcPr>
            <w:tcW w:w="5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559,585</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520,422</w:t>
            </w:r>
          </w:p>
        </w:tc>
        <w:tc>
          <w:tcPr>
            <w:tcW w:w="80" w:type="dxa"/>
            <w:vAlign w:val="bottom"/>
          </w:tcPr>
          <w:p>
            <w:pPr>
              <w:spacing w:after="0"/>
              <w:rPr>
                <w:sz w:val="19"/>
                <w:szCs w:val="19"/>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revolving credit facility and current portion of</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46,080</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80" w:type="dxa"/>
            <w:vAlign w:val="bottom"/>
            <w:shd w:val="clear" w:color="auto" w:fill="CFF0FC"/>
          </w:tcPr>
          <w:p>
            <w:pPr>
              <w:spacing w:after="0"/>
              <w:rPr>
                <w:sz w:val="20"/>
                <w:szCs w:val="20"/>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Long-term debt due after one year, net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513,505</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497,954</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64" w:lineRule="auto"/>
        <w:tabs>
          <w:tab w:leader="none" w:pos="30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revolving credit facility (the “Working Capital Revolver Loan”), which matures on April 13, 2018, provides advances up to $100 million, based on specific percentages of eligible accounts receivable and inventories and up to $15 million of letters of credit, the outstanding amount of which reduces the available for borrowing under the Working Capital Revolver Loan. See Note 15-Subsequent Event.</w:t>
      </w:r>
    </w:p>
    <w:p>
      <w:pPr>
        <w:spacing w:after="0" w:line="181" w:lineRule="exact"/>
        <w:rPr>
          <w:rFonts w:ascii="Arial" w:cs="Arial" w:eastAsia="Arial" w:hAnsi="Arial"/>
          <w:sz w:val="18"/>
          <w:szCs w:val="18"/>
          <w:b w:val="1"/>
          <w:bCs w:val="1"/>
          <w:color w:val="auto"/>
        </w:rPr>
      </w:pPr>
    </w:p>
    <w:p>
      <w:pPr>
        <w:jc w:val="both"/>
        <w:ind w:firstLine="8"/>
        <w:spacing w:after="0" w:line="297" w:lineRule="auto"/>
        <w:tabs>
          <w:tab w:leader="none" w:pos="291"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Senior Secured Notes mature on August 1, 2019. Interest is to be paid semiannually on February 1st and August 1st. The Senior Secured Notes are general senior secured obligations of LSB. The Senior Secured Notes are jointly and severally and fully and unconditionally guaranteed by all of LSB’s current wholly-owned subsidiaries, with all of the guarantees, except one, being senior secured guarantees and one being a senior unsecured guarantee. The Senior Secured Notes rank equally in right of payment to all of LSB and the guarantors’ existing and future senior secured debt, including the Working Capital Revolver Loan discussed above, and are senior in right of payment to all of LSB and the guarantors’ future subordinated indebtedness.</w:t>
      </w:r>
    </w:p>
    <w:p>
      <w:pPr>
        <w:spacing w:after="0" w:line="185" w:lineRule="exact"/>
        <w:rPr>
          <w:rFonts w:ascii="Arial" w:cs="Arial" w:eastAsia="Arial" w:hAnsi="Arial"/>
          <w:sz w:val="16"/>
          <w:szCs w:val="16"/>
          <w:b w:val="1"/>
          <w:bCs w:val="1"/>
          <w:color w:val="auto"/>
        </w:rPr>
      </w:pPr>
    </w:p>
    <w:p>
      <w:pPr>
        <w:jc w:val="both"/>
        <w:ind w:firstLine="8"/>
        <w:spacing w:after="0" w:line="259" w:lineRule="auto"/>
        <w:tabs>
          <w:tab w:leader="none" w:pos="30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 April 1, 2016, Zena Energy L.L.C. (“Zena”), one of our subsidiaries, entered into the second amended and restated note (the “Amended Note”) with its original lender. Principal and interest are payable in 20 monthly installments with the first installment made on May 1</w:t>
      </w:r>
      <w:r>
        <w:rPr>
          <w:rFonts w:ascii="Arial" w:cs="Arial" w:eastAsia="Arial" w:hAnsi="Arial"/>
          <w:sz w:val="15"/>
          <w:szCs w:val="15"/>
          <w:color w:val="auto"/>
        </w:rPr>
        <w:t>st</w:t>
      </w:r>
      <w:r>
        <w:rPr>
          <w:rFonts w:ascii="Arial" w:cs="Arial" w:eastAsia="Arial" w:hAnsi="Arial"/>
          <w:sz w:val="18"/>
          <w:szCs w:val="18"/>
          <w:color w:val="auto"/>
        </w:rPr>
        <w:t>. Interest is based on the LIBOR rate plus 300 basis points and the terms of which were not changed by this amendment. The Amended Note matures on December 1, 2017. The Amended Note continues to be secured by certain working interests and related properties and proceeds.</w:t>
      </w:r>
    </w:p>
    <w:p>
      <w:pPr>
        <w:spacing w:after="0" w:line="186" w:lineRule="exact"/>
        <w:rPr>
          <w:rFonts w:ascii="Arial" w:cs="Arial" w:eastAsia="Arial" w:hAnsi="Arial"/>
          <w:sz w:val="18"/>
          <w:szCs w:val="18"/>
          <w:b w:val="1"/>
          <w:bCs w:val="1"/>
          <w:color w:val="auto"/>
        </w:rPr>
      </w:pPr>
    </w:p>
    <w:p>
      <w:pPr>
        <w:jc w:val="both"/>
        <w:ind w:firstLine="8"/>
        <w:spacing w:after="0" w:line="259" w:lineRule="auto"/>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 February 5, 2016, El Dorado Chemical Company (“EDC”), one of our subsidiaries, entered into a secured promissory note (the “Secured Promissory Note due 2019”) for an original principal amount of $10 million that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186" w:lineRule="exact"/>
        <w:rPr>
          <w:rFonts w:ascii="Arial" w:cs="Arial" w:eastAsia="Arial" w:hAnsi="Arial"/>
          <w:sz w:val="18"/>
          <w:szCs w:val="18"/>
          <w:b w:val="1"/>
          <w:bCs w:val="1"/>
          <w:color w:val="auto"/>
        </w:rPr>
      </w:pPr>
    </w:p>
    <w:p>
      <w:pPr>
        <w:jc w:val="both"/>
        <w:ind w:firstLine="8"/>
        <w:spacing w:after="0" w:line="264" w:lineRule="auto"/>
        <w:tabs>
          <w:tab w:leader="none" w:pos="29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EDC’s Secured Promissory Note due 2021 matures on March 26, 2021. This note required interest only monthly payments for the first 12 months of the term (through April 2016) and then principal and interest monthly payments through the remaining term. This note is secured by a natural gas pipeline constructed at the El Dorado Facility and is guaranteed by LSB.</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21" w:lineRule="exact"/>
        <w:rPr>
          <w:sz w:val="20"/>
          <w:szCs w:val="20"/>
          <w:color w:val="auto"/>
        </w:rPr>
      </w:pPr>
    </w:p>
    <w:p>
      <w:pPr>
        <w:jc w:val="both"/>
        <w:ind w:firstLine="8"/>
        <w:spacing w:after="0" w:line="293" w:lineRule="auto"/>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On September 16, 2015, El Dorado Ammonia L.L.C. (“EDA”), one of our subsidiaries, entered into a secured promissory note (the “Secured Promissory Note due 2023”) for the construction financing of an ammonia storage tank and related systems with an initial funding received of $15 million and a maximum principal note amount of $19.8 million. On May 13, 2016 (the “Loan Conversion Date”), the remainder of the funding of $4.8 million was drawn and the outstanding principal balance of $19.8 million was converted to a seven year secured term loan requiring 83 equal monthly principal and interest payments with a final balloon payment of approximately $6.1 million. This Note bears interest at a rate that is based on the monthly LIBOR rate plus 4.25%. The Secured Promissory Note is secured by the ammonia storage tank and related systems and is guaranteed by LSB.</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Termination of UAN supply agreement and new UAN supply agreement </w:t>
      </w:r>
      <w:r>
        <w:rPr>
          <w:rFonts w:ascii="Arial" w:cs="Arial" w:eastAsia="Arial" w:hAnsi="Arial"/>
          <w:sz w:val="18"/>
          <w:szCs w:val="18"/>
          <w:color w:val="auto"/>
        </w:rPr>
        <w:t>– Our subsidiary, Pryor Chemical Company (“PCC”), was party to a contract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Koch Nitrogen Company, LLC (“Koch Nitrogen”) under which Koch Nitrogen agrees to purchase and distribute at market prices substantially all of the urea ammonium nitrate (“UAN”) produced at the Pryor Facility through June 30, 2016 (the “Koch Purchase Agreement”). On March 1, 2016, PCC provided notice of termination under the Koch Purchase Agreement, terminating the agreement effective May 31, 2016. On March 3, 2016, PCC entered into a UAN Purchase and Sale Agreement with Coffeyville Resources Nitrogen Fertilizers, LLC (“CVR”), which became effective June 1, 2016 (the “CVR Purchase Agreement”). Under the CVR Purchase Agreement, CVR will have the exclusive right (but not the obligation) to purchase all the tons of UAN that are produced by PCC in excess of the needs of PCC or its affiliates, which shall be no more than 30,000 tons per year and no more than 10,000 tons in any calendar quarter. If CVR fails to take delivery of certain tons of UAN produced at the PCC and such failure causes PCC’s storage capacity to be more than 75% utilized or the production unit at the PCC to be slowed down, shut-down or idled, PCC may immediately sell such unpurchased product to a third-party without restriction.</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initial term of the CVR Purchase Agreement is for three years and automatically continues for one or more additional one-year terms unless terminated by either party by delivering a notice of termination at least twelve months prior to the end of term in effect. However, CVR may unilaterally terminate the CVR Purchase Agreement upon 180 days’ advance written notice of termination to PCC; provided, however, that each party’s rights and obligations pertaining to UAN that CVR committed to purchase before such advance notice will survive termination. Additionally, PCC can terminate the CVR Purchase agreement upon 90 days’ advance written notice of termination to CVR; provided, however, that each party’s rights and obligations pertaining to UAN that PCC committed to sell prior to such advance notice will survive termination.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9 – Derivatives, Hedges, Financial Instruments and Carbon Credits for discussion of our commitments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derivative contracts and carbon credits (accounted for on a mark-to-market basis). At June 30, 2016, our natural gas contracts, which are exempt from mark-to-market accounting, included the firm purchase commitments of approximately 10.4 million MMBtu of natural gas. These contracts extend through June 2018 at a weighted-average cost of $2.97 per MMBtu ($30.7 million) and a weighted-average market value of $2.69 per MMBtu ($27.9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activities that entail environmental and public health risks and impose obligations under the Environmental and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do not operate the natural gas wells where we own a working interest and compliance with Environmental and Health Laws is controlled by others. We are responsible for our working interest proportionate share of the costs involved. As of June 30, 2016, our accrued liabilities for environmental matters totaled $265,000 relating primarily to the matters discussed below. It is reasonably possible that a change in the estimate of our liability could occur in the near term. Also, see discussion in Note 6 - Asset Retirement Obligations.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(rain water inside the facility area that may pick up contaminants)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 The following are discharge water matters in relation to the respective state discharge water permits.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facility located in Pryor, Oklahoma (the “Pryor Facility”) holds a permit to inject wastewater into an on-site well that is valid until 2018. The Oklahoma Department of Environmental Quality (“ODEQ”) has indicated that the permit may not be renewed and PCC may have to find an alternative means of disposal after the permit expires. PCC is continuing to discuss disposal possibilities both internally and with the ODEQ.</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In 2010, a preliminary draft of a discharge water permit renewal for the El Dorado Facility, which contains more restrictive limits, was issued by the ADEQ.</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2012, EDC paid a penalty of $100,000 to settle an administrative complaint issued by the EPA, and thereafter handled by the U.S. Department of Justice (“DOJ”), relating to certain alleged violations through 2010 of EDC’s 2004 NPDES discharge water permit. The DOJ advised that action would also be taken for alleged violations occurring after 2010. As of the date of this report, no action has been filed by the DOJ against EDC. As a result, the cost (or range of costs) cannot currently be reasonably estimated regarding this matter. Therefore, no liability has been established at June 30, 2016.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June 30, 2016, in connection with this matter.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PCC has been advised that the ODEQ is conducting an investigation into whether the Pryor Facility is in compliance with certain rules and regulations of the ODEQ and whether PCC’s reports of certain air emissions primarily in 2011 were intentionally reported incorrectly to the ODEQ. PCC has cooperated with the ODEQ in connection with this investigation. As of June 30, 2016, we are not aware of any recommendations made or to be made by the ODEQ with respect to legal action to be taken or recommended as a result of this ongoing investigation.</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Other Environmental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2013, the EPA conducted a risk management inspection of our Cherokee Facility. During 2014, our Cherokee Facility received a notice of violation from the EPA as a result of the inspection, which listed eleven alleged violations. Under the final consent order received in March 2016 approving the settlement agreement, we agreed to pay a penalty in the form of providing approximately $100,000 to purchase emergency response equipment for the local first responders plus a civil penalty to the EPA of approximately $26,000, which both penalties have been paid.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2002, two of our subsidiaries sold substantially all of their operating assets relating to a Kansas chemical facility (the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subsidiary and Chevron are pursuing a corrective action strategy relating to the Hallowell Facility with the state of Kansas, including the KDHE. This strategy currently includes long-term surface and groundwater monitoring to track the natural decline in contamination. During 2014, the KDHE approved a corrective action study work plan and will consider and recommend restoration or replacement pursuant to the work plan and/or whether to seek compensation in its evaluation. Currently, it is unknown what remediation and damages the KDHE may require, if any, but it is reasonably possible that certain remediation activities could be required to begin in 2016. The ultimate required remediation, if any, is currently unknown. Our subsidiary and Chevron have retained an environmental consultant to perform the corrective action study work plan as to the appropriate method to remediate the Hallowell Facility. The resulting study was submitted to the KDHE for review.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purchasing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which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 Subsequently, we and EDC have entered into a confidential settlement agreement with several plaintiffs that had claimed wrongful death and bodily injury. A portion of these settlements were paid by the insurer during 2015 and in the first half of 2016. While these settlements resolve the claims of what we believe were the highest risk cases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June 30, 2016, no liability reserve has been established in connection with this matter but we have incurred professional fees up to our self-insured retention amount.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2015, our subsidiary, EDC, was sued in the matter styled </w:t>
      </w:r>
      <w:r>
        <w:rPr>
          <w:rFonts w:ascii="Arial" w:cs="Arial" w:eastAsia="Arial" w:hAnsi="Arial"/>
          <w:sz w:val="17"/>
          <w:szCs w:val="17"/>
          <w:i w:val="1"/>
          <w:iCs w:val="1"/>
          <w:color w:val="auto"/>
        </w:rPr>
        <w:t>BAE Systems Ordinance Systems, Inc.</w:t>
      </w:r>
      <w:r>
        <w:rPr>
          <w:rFonts w:ascii="Arial" w:cs="Arial" w:eastAsia="Arial" w:hAnsi="Arial"/>
          <w:sz w:val="17"/>
          <w:szCs w:val="17"/>
          <w:color w:val="auto"/>
        </w:rPr>
        <w:t xml:space="preserve"> (“BAE”), </w:t>
      </w:r>
      <w:r>
        <w:rPr>
          <w:rFonts w:ascii="Arial" w:cs="Arial" w:eastAsia="Arial" w:hAnsi="Arial"/>
          <w:sz w:val="17"/>
          <w:szCs w:val="17"/>
          <w:i w:val="1"/>
          <w:iCs w:val="1"/>
          <w:color w:val="auto"/>
        </w:rPr>
        <w:t>et al. vs. El Dorado Chemical Company</w:t>
      </w:r>
      <w:r>
        <w:rPr>
          <w:rFonts w:ascii="Arial" w:cs="Arial" w:eastAsia="Arial" w:hAnsi="Arial"/>
          <w:sz w:val="17"/>
          <w:szCs w:val="17"/>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event caused by a fire and explosion at EDC’s nitric acid plant, and that a </w:t>
      </w:r>
      <w:r>
        <w:rPr>
          <w:rFonts w:ascii="Arial" w:cs="Arial" w:eastAsia="Arial" w:hAnsi="Arial"/>
          <w:sz w:val="17"/>
          <w:szCs w:val="17"/>
          <w:i w:val="1"/>
          <w:iCs w:val="1"/>
          <w:color w:val="auto"/>
        </w:rPr>
        <w:t>force majeure</w:t>
      </w:r>
      <w:r>
        <w:rPr>
          <w:rFonts w:ascii="Arial" w:cs="Arial" w:eastAsia="Arial" w:hAnsi="Arial"/>
          <w:sz w:val="17"/>
          <w:szCs w:val="17"/>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June 30, 2016.</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6"/>
          <w:szCs w:val="16"/>
          <w:i w:val="1"/>
          <w:iCs w:val="1"/>
          <w:color w:val="auto"/>
        </w:rPr>
        <w:t>Global Industrial, Inc. d/b/a Global Turnaround vs. Leidos Constructors, LLC et al.,</w:t>
      </w:r>
      <w:r>
        <w:rPr>
          <w:rFonts w:ascii="Arial" w:cs="Arial" w:eastAsia="Arial" w:hAnsi="Arial"/>
          <w:sz w:val="16"/>
          <w:szCs w:val="16"/>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Covestro. The assets for carbon credits are accounted for on a fair value basis as discussed below. Also, the contractual obligations to give the related proceeds to Covestro are accounted for on a fair value basis (as discussed below) unless we enter into a firm sales commitment to sell the carbon credits. In addition, certain embedded features (“embedded derivative”) relating to the redemption of the Series E Redeemable Preferred required bifurcation and are being accounted for as derivative instruments and recorded as a liability. The valuations of these assets and liabilities were determined based on quoted market prices or, in instances where market quotes are not available, other valuation techniques or models are used to estimate fair values.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June 30, 2016, the valuations of contracts classified as Level 2 related to certain futures/forward natural gas contracts and a foreign exchange contract. For the natural gas contracts, these contracts are valued using the prices pursuant to the terms of the contracts and using market information for futures/forward natural gas prices. At June 30, 2016, the valuation inputs included the contractual weighted-average cost of $2.97 per MMBtu and the estimated weighted-average market value of $3.05 per MMBtu.</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foreign exchange contracts, these contracts are valued using the foreign currency exchange rates pursuant to the terms of the contract and using market information for foreign currency exchange rates. At June 30, 2016, the valuation inputs included the total contractual exchange rate of 1.12 and the total estimated market exchange rate of 1.11 (U.S. Dollar/Euro). No valuation input adjustments were considered necessary relating to nonperformance risk for the contracts as discussed above.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June 30, 2016 and December 31, 2015, the valuations ($2.35 per carbon credit) of the carbon credits and the contractual obligations associated with these carbon credits are classified as Level 3. At June 30, 2016, the valuation was based on a recent purchase price by one of our customers. The valuations are using undiscounted cash flows based on management’s assumption that the carbon credits would be sold and the associated contractual obligations would be extinguished in the near term. At June 30, 2016, the valuation of the embedded derivative is classified as Level</w:t>
      </w:r>
    </w:p>
    <w:p>
      <w:pPr>
        <w:spacing w:after="0" w:line="2" w:lineRule="exact"/>
        <w:rPr>
          <w:sz w:val="20"/>
          <w:szCs w:val="20"/>
          <w:color w:val="auto"/>
        </w:rPr>
      </w:pPr>
    </w:p>
    <w:p>
      <w:pPr>
        <w:jc w:val="both"/>
        <w:ind w:firstLine="8"/>
        <w:spacing w:after="0" w:line="255" w:lineRule="auto"/>
        <w:tabs>
          <w:tab w:leader="none" w:pos="22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instruments discussed above.</w:t>
      </w:r>
    </w:p>
    <w:p>
      <w:pPr>
        <w:spacing w:after="0" w:line="2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Commodities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Raw materials for use in our manufacturing processes include natural gas. As part of our raw material price risk management, we periodically enter into futures/forward contracts for these materials, which contracts may be required to be accounted for on a mark-to-market basis. At June 30, 2016, our futures/forward natural gas contracts subject to mark-to-market accounting were minimal. At December 31, 2015, our futures/forward natural gas contracts included 1,820,000 MMBtu of natural gas, extend through December 2016 (includes contractual costs indexed to future NYMEX prices) at a weighted-average cost of $2.35 per MMBtu. The cash flows relating to these contracts are included in cash flows from continuing operating activities.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of our subsidiaries purchases industrial machinery and related components from vendors outside of the United States. As part of our foreign currency risk management, we periodically enter into foreign exchange contracts, which set the U.S. Dollar/Euro exchange rates. At June 30, 2016 and December 31, 2015, our foreign exchange contract was for the receipt of approximately 100,000 Euros and 280,000 Euros, respectively, through February 2017 at the contractual exchange rate of 1.12 (U.S. Dollar/Euro). These contracts are free-standing derivatives and are accounted for on a mark-to-market basis. The cash flows relating to these contracts are included in cash flows from continuing operating activities.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2011, we entered into an interest rate swap at no cost, which set a fixed three-month LIBOR rate of 3.23% on a declining balance (from $23.8 million to $18.8 million) for the period beginning in April 2012 and ended on March 31, 2016. This contract was a free-standing derivative and was accounted for on a mark-to-market basis. During the six months ended June 30, 2016 and 2015, no cash flows occurred relating to the purchase or sale of interest rate contracts. The cash flows associated with the interest rate swap payments are included in cash flows from continuing operating activities.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Periodically, we are issued carbon credits by the Climate Action Reserve in relation to a greenhouse gas reduction project (“Project”) performed at the Baytown Facility. Pursuant to the terms of our agreement with Covestro, a certain portion of the carbon credits are to be used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December 31, 2015, we had approximately 495,000 carbon credits (minimal at June 30, 2016), all of which were subject to contractual obligations. The cash flows associated with the carbon credits and the associated contractual obligations are included in cash flows from continuing investing activities.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embedded derivatives relating to the redemption of the Series E Redeemable Preferred, which includes certain contingent redemption features and the participation rights value as discussed in Note 11, has been bifurcated from the Series E Redeemable Preferred and recorded as a liability. As the result of entering into the Stock Purchase Agreement relating to the subsequent sale of the Climate Control Business, the fair value of the contingent redemption feature at June 30, 2016 was based on the difference in value between the Series E Redeemable Preferred with and without the feature, considering discounted cash flow models that calculate the present value of future cash flows under probability-weighted redemption scenarios discounted at the estimated current market yield for the Series E Redeemable Preferred. The contingent redemption feature was an asset partially offsetting the liability relating to the participation rights. At June 30, 2016 and December 31, 2015, the fair value of the participation rights was based on the equivalent of 456,225 shares of our common stock at $12.08 and $7.25 per share,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June 30, 2016 and December 31, 2015: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8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Fair Value Measurements at</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June 30, 2016 Using</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color w:val="auto"/>
                <w:w w:val="90"/>
              </w:rPr>
              <w:t>Quoted Prices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9"/>
              </w:rPr>
              <w:t>in Active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Significant</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4"/>
              </w:rPr>
              <w:t>Markets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Other</w:t>
            </w:r>
          </w:p>
        </w:tc>
        <w:tc>
          <w:tcPr>
            <w:tcW w:w="14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color w:val="auto"/>
                <w:w w:val="97"/>
              </w:rPr>
              <w:t>Significant</w:t>
            </w: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Total Fair</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940" w:type="dxa"/>
            <w:vAlign w:val="bottom"/>
          </w:tcPr>
          <w:p>
            <w:pPr>
              <w:jc w:val="center"/>
              <w:ind w:right="53"/>
              <w:spacing w:after="0"/>
              <w:rPr>
                <w:sz w:val="20"/>
                <w:szCs w:val="20"/>
                <w:color w:val="auto"/>
              </w:rPr>
            </w:pPr>
            <w:r>
              <w:rPr>
                <w:rFonts w:ascii="Arial" w:cs="Arial" w:eastAsia="Arial" w:hAnsi="Arial"/>
                <w:sz w:val="16"/>
                <w:szCs w:val="16"/>
                <w:color w:val="auto"/>
                <w:w w:val="93"/>
              </w:rPr>
              <w:t>Identical</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Observable</w:t>
            </w:r>
          </w:p>
        </w:tc>
        <w:tc>
          <w:tcPr>
            <w:tcW w:w="132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Unobservable</w:t>
            </w:r>
          </w:p>
        </w:tc>
        <w:tc>
          <w:tcPr>
            <w:tcW w:w="16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Value at</w:t>
            </w: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color w:val="auto"/>
                <w:w w:val="87"/>
              </w:rPr>
              <w:t>June 30,</w:t>
            </w:r>
          </w:p>
        </w:tc>
        <w:tc>
          <w:tcPr>
            <w:tcW w:w="120" w:type="dxa"/>
            <w:vAlign w:val="bottom"/>
          </w:tcPr>
          <w:p>
            <w:pPr>
              <w:spacing w:after="0"/>
              <w:rPr>
                <w:sz w:val="17"/>
                <w:szCs w:val="17"/>
                <w:color w:val="auto"/>
              </w:rPr>
            </w:pPr>
          </w:p>
        </w:tc>
        <w:tc>
          <w:tcPr>
            <w:tcW w:w="940" w:type="dxa"/>
            <w:vAlign w:val="bottom"/>
          </w:tcPr>
          <w:p>
            <w:pPr>
              <w:jc w:val="center"/>
              <w:ind w:right="33"/>
              <w:spacing w:after="0"/>
              <w:rPr>
                <w:sz w:val="20"/>
                <w:szCs w:val="20"/>
                <w:color w:val="auto"/>
              </w:rPr>
            </w:pPr>
            <w:r>
              <w:rPr>
                <w:rFonts w:ascii="Arial" w:cs="Arial" w:eastAsia="Arial" w:hAnsi="Arial"/>
                <w:sz w:val="16"/>
                <w:szCs w:val="16"/>
                <w:color w:val="auto"/>
                <w:w w:val="87"/>
              </w:rPr>
              <w:t>Assets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4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Inputs</w:t>
            </w:r>
          </w:p>
        </w:tc>
        <w:tc>
          <w:tcPr>
            <w:tcW w:w="120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12"/>
        </w:trPr>
        <w:tc>
          <w:tcPr>
            <w:tcW w:w="4900" w:type="dxa"/>
            <w:vAlign w:val="bottom"/>
            <w:tcBorders>
              <w:bottom w:val="single" w:sz="8" w:color="auto"/>
            </w:tcBorders>
          </w:tcPr>
          <w:p>
            <w:pPr>
              <w:ind w:left="212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color w:val="auto"/>
                <w:w w:val="89"/>
              </w:rPr>
              <w:t>2016</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color w:val="auto"/>
                <w:w w:val="96"/>
              </w:rPr>
              <w:t>(Level 1)</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color w:val="auto"/>
                <w:w w:val="96"/>
              </w:rPr>
              <w:t>(Level 3)</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color w:val="auto"/>
                <w:w w:val="95"/>
              </w:rPr>
              <w:t>2015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(In Thousands)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Commodities contracts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Carbon credits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Commodities contracts (1)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Contractual obligations - carbon credits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(1,865)</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Interest rate contracts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90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June 30, 2016 and December 31, 2015, $36,000 and $195,000, respectively, are subject to an agreement that allows net settlement of contracts related to natural gas commitments; however, we have chosen to present the fair values of our commodities contracts under master netting agreements using a gross fair value presentation.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None of our assets or liabilities measured at fair value on a recurring basis transferred between Level 1 and Level 2 classifications for the periods presented below. As discussed above under “Embedded Derivative”, as the result of entering into the Stock Purchase Agreement relating to the subsequent sale of the Climate Control Business, the valuation of the embedded derivative transferred from Level 2 to Level 3 since the probability increased relating to contingent redemption features requiring the use of significant unobservable inputs. The classification transfer of this derivative was deemed to occur at the beginning of the second quarter of 2016. In addition, the following is a reconciliation of the beginning and ending balances for assets and liabilities measured at fair value on a recurring basis using significant unobservable inputs (Level 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tcPr>
          <w:p>
            <w:pPr>
              <w:jc w:val="center"/>
              <w:ind w:left="350"/>
              <w:spacing w:after="0"/>
              <w:rPr>
                <w:sz w:val="20"/>
                <w:szCs w:val="20"/>
                <w:color w:val="auto"/>
              </w:rPr>
            </w:pPr>
            <w:r>
              <w:rPr>
                <w:rFonts w:ascii="Arial" w:cs="Arial" w:eastAsia="Arial" w:hAnsi="Arial"/>
                <w:sz w:val="18"/>
                <w:szCs w:val="18"/>
                <w:color w:val="auto"/>
                <w:w w:val="88"/>
              </w:rPr>
              <w:t>Assets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8"/>
                <w:szCs w:val="18"/>
                <w:color w:val="auto"/>
                <w:w w:val="97"/>
              </w:rPr>
              <w:t>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4"/>
          </w:tcPr>
          <w:p>
            <w:pPr>
              <w:jc w:val="center"/>
              <w:ind w:left="350"/>
              <w:spacing w:after="0"/>
              <w:rPr>
                <w:sz w:val="20"/>
                <w:szCs w:val="20"/>
                <w:color w:val="auto"/>
              </w:rPr>
            </w:pPr>
            <w:r>
              <w:rPr>
                <w:rFonts w:ascii="Arial" w:cs="Arial" w:eastAsia="Arial" w:hAnsi="Arial"/>
                <w:sz w:val="18"/>
                <w:szCs w:val="18"/>
                <w:color w:val="auto"/>
                <w:w w:val="88"/>
              </w:rPr>
              <w:t>Assets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8"/>
                <w:szCs w:val="18"/>
                <w:color w:val="auto"/>
                <w:w w:val="99"/>
              </w:rPr>
              <w:t>Liabilities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68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68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color w:val="auto"/>
                <w:w w:val="91"/>
              </w:rPr>
              <w:t>Six Months Ended</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4"/>
          </w:tcPr>
          <w:p>
            <w:pPr>
              <w:jc w:val="center"/>
              <w:ind w:right="70"/>
              <w:spacing w:after="0"/>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6"/>
          </w:tcPr>
          <w:p>
            <w:pPr>
              <w:jc w:val="center"/>
              <w:ind w:right="32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9"/>
                <w:szCs w:val="19"/>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19"/>
                <w:szCs w:val="19"/>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8"/>
                <w:szCs w:val="18"/>
                <w:color w:val="auto"/>
                <w:w w:val="86"/>
              </w:rPr>
              <w:t>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2016</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2015</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4"/>
              </w:rPr>
              <w:t>2015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2016</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2015</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2016</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6"/>
          </w:tcPr>
          <w:p>
            <w:pPr>
              <w:jc w:val="right"/>
              <w:ind w:right="460"/>
              <w:spacing w:after="0"/>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(5,817)</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(5,817)</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and unrealized gains (losses)</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included in operating results</w:t>
            </w: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4,149</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gains (losses) for the period included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in operating results attributed to the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change in unrealized gains or losses on</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assets and liabilities still held at the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reporting date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3,952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1,383</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continuing operating results and the statement of operations classifications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8"/>
                <w:szCs w:val="18"/>
                <w:color w:val="auto"/>
                <w:w w:val="93"/>
              </w:rPr>
              <w:t>Three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8"/>
                <w:szCs w:val="18"/>
                <w:color w:val="auto"/>
              </w:rPr>
              <w:t>Six Months Ended</w:t>
            </w:r>
          </w:p>
        </w:tc>
      </w:tr>
      <w:tr>
        <w:trPr>
          <w:trHeight w:val="230"/>
        </w:trPr>
        <w:tc>
          <w:tcPr>
            <w:tcW w:w="5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4"/>
              </w:rPr>
              <w:t>2015</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r>
      <w:tr>
        <w:trPr>
          <w:trHeight w:val="204"/>
        </w:trPr>
        <w:tc>
          <w:tcPr>
            <w:tcW w:w="5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6"/>
          </w:tcPr>
          <w:p>
            <w:pPr>
              <w:jc w:val="right"/>
              <w:ind w:right="76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Cost of sales - Undesignated commodities contracts (1)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(1,494)</w:t>
            </w: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 - Undesignated foreign exchange contracts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1,741</w:t>
            </w:r>
          </w:p>
        </w:tc>
        <w:tc>
          <w:tcPr>
            <w:tcW w:w="120" w:type="dxa"/>
            <w:vAlign w:val="bottom"/>
          </w:tcPr>
          <w:p>
            <w:pPr>
              <w:spacing w:after="0"/>
              <w:rPr>
                <w:sz w:val="19"/>
                <w:szCs w:val="19"/>
                <w:color w:val="auto"/>
              </w:rPr>
            </w:pPr>
          </w:p>
        </w:tc>
      </w:tr>
      <w:tr>
        <w:trPr>
          <w:trHeight w:val="215"/>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 carbon</w:t>
            </w: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credits</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(1,741)</w:t>
            </w:r>
          </w:p>
        </w:tc>
      </w:tr>
      <w:tr>
        <w:trPr>
          <w:trHeight w:val="230"/>
        </w:trPr>
        <w:tc>
          <w:tcPr>
            <w:tcW w:w="5120" w:type="dxa"/>
            <w:vAlign w:val="bottom"/>
          </w:tcPr>
          <w:p>
            <w:pPr>
              <w:ind w:left="240"/>
              <w:spacing w:after="0"/>
              <w:rPr>
                <w:sz w:val="20"/>
                <w:szCs w:val="20"/>
                <w:color w:val="auto"/>
              </w:rPr>
            </w:pPr>
            <w:r>
              <w:rPr>
                <w:rFonts w:ascii="Arial" w:cs="Arial" w:eastAsia="Arial" w:hAnsi="Arial"/>
                <w:sz w:val="18"/>
                <w:szCs w:val="18"/>
                <w:color w:val="auto"/>
              </w:rPr>
              <w:t>Non-operating other income - embedded derivative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 Undesignated interest rate contracts</w:t>
            </w: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w:t>
            </w:r>
          </w:p>
        </w:tc>
      </w:tr>
      <w:tr>
        <w:trPr>
          <w:trHeight w:val="223"/>
        </w:trPr>
        <w:tc>
          <w:tcPr>
            <w:tcW w:w="5120" w:type="dxa"/>
            <w:vAlign w:val="bottom"/>
          </w:tcPr>
          <w:p>
            <w:pPr>
              <w:ind w:left="500"/>
              <w:spacing w:after="0"/>
              <w:rPr>
                <w:sz w:val="20"/>
                <w:szCs w:val="20"/>
                <w:color w:val="auto"/>
              </w:rPr>
            </w:pPr>
            <w:r>
              <w:rPr>
                <w:rFonts w:ascii="Arial" w:cs="Arial" w:eastAsia="Arial" w:hAnsi="Arial"/>
                <w:sz w:val="18"/>
                <w:szCs w:val="18"/>
                <w:color w:val="auto"/>
              </w:rPr>
              <w:t>Total net gains (losses) included in operating results</w:t>
            </w:r>
          </w:p>
        </w:tc>
        <w:tc>
          <w:tcPr>
            <w:tcW w:w="7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right="2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losses of $134,000 and $554,000 have been reclassified to discontinued operations for the three and six months ended June 30, 2015. See Note 2-Discontinued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any financial instruments with fair values significantly different from their carrying amounts, except for the 7.75% Senior Secured Notes at December 31, 2015, as shown below.</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June 30, 2016</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Arial" w:cs="Arial" w:eastAsia="Arial" w:hAnsi="Arial"/>
                <w:sz w:val="18"/>
                <w:szCs w:val="18"/>
                <w:color w:val="auto"/>
              </w:rPr>
              <w:t>December 31, 2015</w:t>
            </w:r>
          </w:p>
        </w:tc>
      </w:tr>
      <w:tr>
        <w:trPr>
          <w:trHeight w:val="222"/>
        </w:trPr>
        <w:tc>
          <w:tcPr>
            <w:tcW w:w="2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Borders>
              <w:top w:val="single" w:sz="8" w:color="auto"/>
            </w:tcBorders>
          </w:tcPr>
          <w:p>
            <w:pPr>
              <w:jc w:val="center"/>
              <w:ind w:left="290"/>
              <w:spacing w:after="0"/>
              <w:rPr>
                <w:sz w:val="20"/>
                <w:szCs w:val="20"/>
                <w:color w:val="auto"/>
              </w:rPr>
            </w:pPr>
            <w:r>
              <w:rPr>
                <w:rFonts w:ascii="Arial" w:cs="Arial" w:eastAsia="Arial" w:hAnsi="Arial"/>
                <w:sz w:val="18"/>
                <w:szCs w:val="18"/>
                <w:color w:val="auto"/>
                <w:w w:val="94"/>
              </w:rPr>
              <w:t>Carrying</w:t>
            </w: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Estimated</w:t>
            </w: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color w:val="auto"/>
                <w:w w:val="94"/>
              </w:rPr>
              <w:t>Carrying</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2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center"/>
              <w:ind w:left="290"/>
              <w:spacing w:after="0"/>
              <w:rPr>
                <w:sz w:val="20"/>
                <w:szCs w:val="20"/>
                <w:color w:val="auto"/>
              </w:rPr>
            </w:pPr>
            <w:r>
              <w:rPr>
                <w:rFonts w:ascii="Arial" w:cs="Arial" w:eastAsia="Arial" w:hAnsi="Arial"/>
                <w:sz w:val="18"/>
                <w:szCs w:val="18"/>
                <w:color w:val="auto"/>
                <w:w w:val="96"/>
              </w:rPr>
              <w:t>Amount</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center"/>
              <w:ind w:right="270"/>
              <w:spacing w:after="0"/>
              <w:rPr>
                <w:sz w:val="20"/>
                <w:szCs w:val="20"/>
                <w:color w:val="auto"/>
              </w:rPr>
            </w:pPr>
            <w:r>
              <w:rPr>
                <w:rFonts w:ascii="Arial" w:cs="Arial" w:eastAsia="Arial" w:hAnsi="Arial"/>
                <w:sz w:val="18"/>
                <w:szCs w:val="18"/>
                <w:color w:val="auto"/>
                <w:w w:val="96"/>
              </w:rPr>
              <w:t>Amount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Fair Value</w:t>
            </w:r>
          </w:p>
        </w:tc>
      </w:tr>
      <w:tr>
        <w:trPr>
          <w:trHeight w:val="204"/>
        </w:trPr>
        <w:tc>
          <w:tcPr>
            <w:tcW w:w="2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840"/>
              <w:spacing w:after="0"/>
              <w:rPr>
                <w:sz w:val="20"/>
                <w:szCs w:val="20"/>
                <w:color w:val="auto"/>
              </w:rPr>
            </w:pPr>
            <w:r>
              <w:rPr>
                <w:rFonts w:ascii="Arial" w:cs="Arial" w:eastAsia="Arial" w:hAnsi="Arial"/>
                <w:sz w:val="16"/>
                <w:szCs w:val="16"/>
                <w:color w:val="auto"/>
              </w:rPr>
              <w:t>(In Millions)</w:t>
            </w: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7.75% Senior Secured Notes (1)</w:t>
            </w:r>
          </w:p>
        </w:tc>
        <w:tc>
          <w:tcPr>
            <w:tcW w:w="162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93"/>
              </w:rPr>
              <w:t>425</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20"/>
                <w:szCs w:val="20"/>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quoted price of 100 at June 30, 2016 and 83.65 at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7.75% Senior Secured Notes valuation is classified as Level 2.  In addition, the valuation of the 12% Senior Secured Notes is also classified as Level</w:t>
      </w:r>
    </w:p>
    <w:p>
      <w:pPr>
        <w:spacing w:after="0" w:line="46" w:lineRule="exact"/>
        <w:rPr>
          <w:sz w:val="20"/>
          <w:szCs w:val="20"/>
          <w:color w:val="auto"/>
        </w:rPr>
      </w:pPr>
    </w:p>
    <w:p>
      <w:pPr>
        <w:jc w:val="both"/>
        <w:ind w:firstLine="8"/>
        <w:spacing w:after="0" w:line="252"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Also see discussions concerning certain assets and liabilities initially accounted for on a fair value basis under Note 6 - Asset Retirement Obligations.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from continuing operations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400"/>
              <w:spacing w:after="0"/>
              <w:rPr>
                <w:sz w:val="20"/>
                <w:szCs w:val="20"/>
                <w:color w:val="auto"/>
              </w:rPr>
            </w:pPr>
            <w:r>
              <w:rPr>
                <w:rFonts w:ascii="Arial" w:cs="Arial" w:eastAsia="Arial" w:hAnsi="Arial"/>
                <w:sz w:val="18"/>
                <w:szCs w:val="18"/>
                <w:color w:val="auto"/>
                <w:w w:val="93"/>
              </w:rPr>
              <w:t>Three Months Ended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4"/>
              </w:rPr>
              <w:t>2015</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Federal</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(3,572)</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(8,831)</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State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(8,633)</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720"/>
              <w:spacing w:after="0"/>
              <w:rPr>
                <w:sz w:val="20"/>
                <w:szCs w:val="20"/>
                <w:color w:val="auto"/>
              </w:rPr>
            </w:pPr>
            <w:r>
              <w:rPr>
                <w:rFonts w:ascii="Arial" w:cs="Arial" w:eastAsia="Arial" w:hAnsi="Arial"/>
                <w:sz w:val="18"/>
                <w:szCs w:val="18"/>
                <w:color w:val="auto"/>
              </w:rPr>
              <w:t>Provision (benefit) for income taxes</w:t>
            </w:r>
          </w:p>
        </w:tc>
        <w:tc>
          <w:tcPr>
            <w:tcW w:w="1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2016 and 2015, the current provision (benefit) for federal income taxes from continuing operations shown above includes regular federal income tax provision after the consideration of permanent and temporary differences between income for GAAP and tax purposes. For the three and six months ended June 30, 2016 and 2015, the current provision (benefit) for state income taxes from continuing operations shown above includes regular state income tax and provisions for uncertain state income tax positions.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a valuation allowance of $3 million was established for the deferred tax assets associated with these state NOL carryforwards.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(benefit) for the six months ended June 30, 2016 from continuing operations was $8.5 million (27% of pre-tax loss) and the tax provision for the six months ended June 30, 2015 from continuing operations was $1.3 million (48% of pre-tax income). Our annual estimated effective rate for 2016 includes the impact of permanent tax differences, such as a loss on embedded derivatives, valuation allowances, and other permanent items. Our estimated effective tax rate from continuing operations for 2015 was impacted by relatively minor changes in ordinary income that had a significant effect on the rate.</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2012-2014 years remain open for all purposes of examination by the U.S. Internal Revenue Service and other major tax jurisdictions.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Including Redeemable Preferred Stocks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2015 and pursuant to a securities purchase agreement between LSB and LSB Funding LLC (the “Purchaser”) and Security Benefit Corporation, a Kansas corporation (the “Purchaser Guarantor”), both of which are unrelated third parties, LSB sold to the Purchaser</w:t>
      </w:r>
    </w:p>
    <w:p>
      <w:pPr>
        <w:spacing w:after="0" w:line="62"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$210,000,000 of the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to purchase 4,103,746 shares of common stock (the “Warrants”),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share of Series F Redeemable Class C preferred stock (the “Series F Redeemable Preferred”).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Series E Redeemable Preferred has a 14% annual dividend rate and a participating right in dividends and liquidating distributions equal to 456,225 shares of common stock, which is equal to 2% of our outstanding common stock before the transaction was completed. Dividends accrue semi-annually in arrears and are compounded. Dividends are payable only when and if declared by our Board. 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“Liquidation Preference”). The participation rights value is the product of the pro rata number of Series E Redeemable Preferred shares being redeemed and the price of our common stock as of such date.</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any time on or after August 2, 2019, each Series E Holder has the right to elect to have such holder’s shares redeemed by us at a redemption price per share equal to the Liquidation Preference of such share as of the redemption date. The Series E Redeemable Preferred contains contingent redemption features that are outside of our control and is therefore classified as temporary/mezzanine equity. Additionally, we may redeem the Series E Redeemable Preferred at our option,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 (continued)</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in Note 9, the embedded derivative, which includes certain contingent redemption features and the participation rights value, relating to the redemption of the Series E Redeemable Preferred has been bifurcated from the Series E Redeemable Preferred and recorded as a liability.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Series F Redeemable Preferred has voting rights (the “Series F Voting Rights”) to vote as a single class on all matters which the common stock have the right to vote and was entitled to a number of votes equal to 4,559,971 shares of our common stock, however, the number of votes that may be cast by the Series F Redeemable Preferred was reduced automatically to 456,225 shares of common stock upon the exercise of the warrants noted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2840" w:type="dxa"/>
            <w:vAlign w:val="bottom"/>
            <w:gridSpan w:val="5"/>
          </w:tcPr>
          <w:p>
            <w:pPr>
              <w:ind w:left="180"/>
              <w:spacing w:after="0"/>
              <w:rPr>
                <w:sz w:val="20"/>
                <w:szCs w:val="20"/>
                <w:color w:val="auto"/>
              </w:rPr>
            </w:pPr>
            <w:r>
              <w:rPr>
                <w:rFonts w:ascii="Arial" w:cs="Arial" w:eastAsia="Arial" w:hAnsi="Arial"/>
                <w:sz w:val="18"/>
                <w:szCs w:val="18"/>
                <w:color w:val="auto"/>
              </w:rPr>
              <w:t>Series E Redeemable Preferred</w:t>
            </w:r>
          </w:p>
        </w:tc>
        <w:tc>
          <w:tcPr>
            <w:tcW w:w="2700" w:type="dxa"/>
            <w:vAlign w:val="bottom"/>
            <w:gridSpan w:val="5"/>
          </w:tcPr>
          <w:p>
            <w:pPr>
              <w:ind w:left="160"/>
              <w:spacing w:after="0"/>
              <w:rPr>
                <w:sz w:val="20"/>
                <w:szCs w:val="20"/>
                <w:color w:val="auto"/>
              </w:rPr>
            </w:pPr>
            <w:r>
              <w:rPr>
                <w:rFonts w:ascii="Arial" w:cs="Arial" w:eastAsia="Arial" w:hAnsi="Arial"/>
                <w:sz w:val="18"/>
                <w:szCs w:val="18"/>
                <w:color w:val="auto"/>
                <w:w w:val="99"/>
              </w:rPr>
              <w:t>Series F Redeemable Preferred</w:t>
            </w:r>
          </w:p>
        </w:tc>
      </w:tr>
      <w:tr>
        <w:trPr>
          <w:trHeight w:val="223"/>
        </w:trPr>
        <w:tc>
          <w:tcPr>
            <w:tcW w:w="47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04"/>
        </w:trPr>
        <w:tc>
          <w:tcPr>
            <w:tcW w:w="4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3"/>
          </w:tcPr>
          <w:p>
            <w:pPr>
              <w:jc w:val="right"/>
              <w:ind w:right="45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15"/>
        </w:trPr>
        <w:tc>
          <w:tcPr>
            <w:tcW w:w="474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jc w:val="center"/>
              <w:ind w:right="2810"/>
              <w:spacing w:after="0"/>
              <w:rPr>
                <w:sz w:val="20"/>
                <w:szCs w:val="20"/>
                <w:color w:val="auto"/>
              </w:rPr>
            </w:pPr>
            <w:r>
              <w:rPr>
                <w:rFonts w:ascii="Arial" w:cs="Arial" w:eastAsia="Arial" w:hAnsi="Arial"/>
                <w:sz w:val="18"/>
                <w:szCs w:val="18"/>
                <w:color w:val="auto"/>
                <w:w w:val="89"/>
              </w:rPr>
              <w:t>preferred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5"/>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40" w:type="dxa"/>
            <w:vAlign w:val="bottom"/>
            <w:shd w:val="clear" w:color="auto" w:fill="CFF0FC"/>
          </w:tcPr>
          <w:p>
            <w:pPr>
              <w:jc w:val="center"/>
              <w:ind w:right="2810"/>
              <w:spacing w:after="0"/>
              <w:rPr>
                <w:sz w:val="20"/>
                <w:szCs w:val="20"/>
                <w:color w:val="auto"/>
              </w:rPr>
            </w:pPr>
            <w:r>
              <w:rPr>
                <w:rFonts w:ascii="Arial" w:cs="Arial" w:eastAsia="Arial" w:hAnsi="Arial"/>
                <w:sz w:val="18"/>
                <w:szCs w:val="18"/>
                <w:color w:val="auto"/>
                <w:w w:val="89"/>
              </w:rPr>
              <w:t>preferred stock</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Accumulated dividend</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14,979</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bottom w:val="single" w:sz="8" w:color="CFF0FC"/>
            </w:tcBorders>
            <w:shd w:val="clear" w:color="auto" w:fill="CFF0FC"/>
          </w:tcPr>
          <w:p>
            <w:pPr>
              <w:jc w:val="center"/>
              <w:ind w:right="2850"/>
              <w:spacing w:after="0"/>
              <w:rPr>
                <w:sz w:val="20"/>
                <w:szCs w:val="20"/>
                <w:color w:val="auto"/>
              </w:rPr>
            </w:pPr>
            <w:r>
              <w:rPr>
                <w:rFonts w:ascii="Arial" w:cs="Arial" w:eastAsia="Arial" w:hAnsi="Arial"/>
                <w:sz w:val="18"/>
                <w:szCs w:val="18"/>
                <w:color w:val="auto"/>
                <w:w w:val="88"/>
              </w:rPr>
              <w:t>Balance at June 30, 2016</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we issued Warrants to LSB Funding to purchase 4,103,746 shares of common stock. Each warrant afforded the holder the opportunity to purchase one share of common stock at a warrant exercise price of $0.10. All of the Warrants were exercised in May 2016 by the holder in a cashless exercise resulting in the issuance of 4,103,746 shares of our common stock, of which 34,422 shares of common stock were surrendered (and we are holding such shares as treasury stock) by the holder in payment of the exercise price.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 Warrants</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Pursuant to a registration rights agreement (the “Registration Rights Agreement-Warrants”) relating to the registered resale of the common stock issuable upon exercise of the Warrants and certain other common stock, we filed a registration statement to permit the public resale of registrable securities then outstanding. We are required to use commercially reasonable efforts to cause the registration statement to become effective as soon as practicable thereafter.</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Furthermore, the registration statement must be declared effective by December 3, 2016. If the registration statement is not declared effective on or prior to December 3, 2016, LSB Funding is entitled to liquidated damages of 0.25% of the liquidated damages multiplier (the closing price of our common stock as of the date of the calculation multiplied by the number of our common stock issued or issuable upon the exercise of the Warrants and other issuance events, if applicable, and held by LSB Funding and as described in the agreement) for the first 30 day period immediately following such default and an additional 0.25% with respect to each subsequent 30 day period, up to a maximum increase of 1.00%. In no event will the aggregate of all liquidated damages exceed</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3.0% of the aggregate purchase price (the closing price of our common stock as of the date of the calculation multiplied by the number of our common stock issued or issuable upon the exercise of the Warrants and other issuance events, if applicable).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 (continued)</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such liquidated damages cannot be paid in cash, because such action would constitute a default under a credit facility or other debt instrument, then payment consisting of as much cash as possible in compliance with the aforementioned conditions would be required. The balance of any compensatory liquidated damages would be paid in full in the form of the issuance of additional common stock.</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Segment Information</w:t>
      </w:r>
    </w:p>
    <w:p>
      <w:pPr>
        <w:spacing w:after="0" w:line="121"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Given that the operations of our Climate Control Business have been segregated from continuing operations and reported as discontinued operations, we operate in one reportable segment – our Chemical Business. The chemical products we primarily manufacture, market and sell are as follows:</w:t>
      </w:r>
    </w:p>
    <w:p>
      <w:pPr>
        <w:spacing w:after="0" w:line="5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ammonia, fertilizer grade AN, UAN, and AN ammonia solution for agricultural applications,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purity and commercial grade ammonia, high purity AN, sulfuric acids, concentrated, blended and regular nitric acid, mixed nitrating acids, carbon dioxide, and diesel exhaust fluid for industrial applications,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industrial grade AN and solutions for the mining industry.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first quarter of 2015, we paid dividends totaling $300,000 on our Series B Preferred and our Series D Preferred. No dividends were declared during the first half of 2016. The Series B Preferred and Series D Preferred are non-redeemable preferred stocks issued in 1986 and 2001, respectively, of which all outstanding shares are owned by the Golsen Group.</w:t>
      </w:r>
    </w:p>
    <w:p>
      <w:pPr>
        <w:spacing w:after="0" w:line="20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second quarter of 2016, we entered into a consulting agreement with Steven J. Golsen (“S. Golsen”), son of Jack E. Golsen and former employee and President and Chief Operating Officer of the Climate Control Business. Pursuant to the terms of the agreement, S. Golsen is to provide services relating to the sale of the Climate Control Group and subsequent services to improve the transition process from LSB to NIBE. The total consulting fee is $425,000 and the term of the agreement is for 2 years, but could be terminated earlier under certain circumstances.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8"/>
                <w:szCs w:val="18"/>
                <w:color w:val="auto"/>
                <w:w w:val="91"/>
              </w:rPr>
              <w:t>Six Months Ended</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left="491"/>
              <w:spacing w:after="0"/>
              <w:rPr>
                <w:sz w:val="20"/>
                <w:szCs w:val="20"/>
                <w:color w:val="auto"/>
              </w:rPr>
            </w:pPr>
            <w:r>
              <w:rPr>
                <w:rFonts w:ascii="Arial" w:cs="Arial" w:eastAsia="Arial" w:hAnsi="Arial"/>
                <w:sz w:val="18"/>
                <w:szCs w:val="18"/>
                <w:color w:val="auto"/>
                <w:w w:val="86"/>
              </w:rPr>
              <w:t>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6"/>
                <w:szCs w:val="16"/>
                <w:color w:val="auto"/>
                <w:w w:val="91"/>
              </w:rPr>
              <w:t>(In Thousands)</w:t>
            </w:r>
          </w:p>
        </w:tc>
        <w:tc>
          <w:tcPr>
            <w:tcW w:w="1740" w:type="dxa"/>
            <w:vAlign w:val="bottom"/>
          </w:tcPr>
          <w:p>
            <w:pPr>
              <w:spacing w:after="0"/>
              <w:rPr>
                <w:sz w:val="17"/>
                <w:szCs w:val="17"/>
                <w:color w:val="auto"/>
              </w:rPr>
            </w:pPr>
          </w:p>
        </w:tc>
      </w:tr>
      <w:tr>
        <w:trPr>
          <w:trHeight w:val="236"/>
        </w:trPr>
        <w:tc>
          <w:tcPr>
            <w:tcW w:w="1720" w:type="dxa"/>
            <w:vAlign w:val="bottom"/>
          </w:tcPr>
          <w:p>
            <w:pPr>
              <w:spacing w:after="0"/>
              <w:rPr>
                <w:sz w:val="20"/>
                <w:szCs w:val="20"/>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(3,878)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5"/>
        </w:trPr>
        <w:tc>
          <w:tcPr>
            <w:tcW w:w="1720" w:type="dxa"/>
            <w:vAlign w:val="bottom"/>
          </w:tcPr>
          <w:p>
            <w:pPr>
              <w:spacing w:after="0"/>
              <w:rPr>
                <w:sz w:val="18"/>
                <w:szCs w:val="18"/>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Accounts receivable, accounts payable and accrued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liabilities associated with additions of property, plant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and equipment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34,681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64,640</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15"/>
        </w:trPr>
        <w:tc>
          <w:tcPr>
            <w:tcW w:w="1720" w:type="dxa"/>
            <w:vAlign w:val="bottom"/>
          </w:tcPr>
          <w:p>
            <w:pPr>
              <w:spacing w:after="0"/>
              <w:rPr>
                <w:sz w:val="18"/>
                <w:szCs w:val="18"/>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associated with additions of capitalized</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internal-use software and software development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759</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80" w:type="dxa"/>
            <w:vAlign w:val="bottom"/>
            <w:shd w:val="clear" w:color="auto" w:fill="CFF0FC"/>
          </w:tcPr>
          <w:p>
            <w:pPr>
              <w:spacing w:after="0"/>
              <w:rPr>
                <w:sz w:val="20"/>
                <w:szCs w:val="20"/>
                <w:color w:val="auto"/>
              </w:rPr>
            </w:pP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4840" w:type="dxa"/>
            <w:vAlign w:val="bottom"/>
          </w:tcPr>
          <w:p>
            <w:pPr>
              <w:ind w:left="240"/>
              <w:spacing w:after="0"/>
              <w:rPr>
                <w:sz w:val="20"/>
                <w:szCs w:val="20"/>
                <w:color w:val="auto"/>
              </w:rPr>
            </w:pPr>
            <w:r>
              <w:rPr>
                <w:rFonts w:ascii="Arial" w:cs="Arial" w:eastAsia="Arial" w:hAnsi="Arial"/>
                <w:sz w:val="18"/>
                <w:szCs w:val="18"/>
                <w:color w:val="auto"/>
              </w:rPr>
              <w:t>Dividend accrued on Series E Redeemable Preferred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14,979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4,484</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r>
      <w:tr>
        <w:trPr>
          <w:trHeight w:val="837"/>
        </w:trPr>
        <w:tc>
          <w:tcPr>
            <w:tcW w:w="6560" w:type="dxa"/>
            <w:vAlign w:val="bottom"/>
            <w:gridSpan w:val="2"/>
          </w:tcPr>
          <w:p>
            <w:pPr>
              <w:jc w:val="right"/>
              <w:ind w:right="67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 2016, LSB completed the sale of the Climate Control Group to NIBE pursuant to the terms of the Stock Purchase Agreement. The transaction took the form of a sale by Consolidated of all of the stock of Climate Control Group for an aggregate purchase price of approximately $364 million, subject to customary adjustments set forth in the Stock Purchase Agreement (“SPA”). Additionally, pursuant the SPA, we agreed to pay approximately $2.6 million towards the cost of a representation and warranty insurance policy and excess Directors and Officers insurance and to place funds in an indemnity escrow and a working capital adjustment escrow accounts. The terms and conditions of the two escrow accounts can be found in the SPA. In conjunction with this sale, we entered into a transition services agreement by which we agreed to provide certain services (information technology, payroll, legal, tax and other) for up to 18 months at an approximate total cost of $2.3 million.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above sale on July 1, 2016, we repaid $30.9 million, representing the outstanding borrowings under the Working Capital Revolver Loan (“ABL”). As such, our available borrowings under our ABL (excluding the Climate Control Business) was approximately $38 million, based on our eligible collateral, less outstanding letters of credit. After the payment of fees and expenses of the transaction and the repayment of the outstanding balance of our ABL, we intend to use a portion of the net proceeds of the sale to repay our outstanding debt, redeem our preferred stock, or a combination of both, in order to reduce our overall leverage, our annual fixed charges and our blended cost of capital. We are currently evaluating our options to successfully achieve that goal.</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third quarter of 2016, our discontinued operations will reflect a material gain, net of income taxes, as the result of this sale. However, the actual amount of the gain will not be finalized until the final purchase price and income tax adjustments have been completed. Although this sale results in a large taxable gain, we expect substantially all of this taxable gain will be offset by net operating losses which will include bonus and accelerated depreciation, resulting in no material cash taxes due.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the carrying values of the redeemable preferred stocks are being increased by periodic accretions so that the carrying amount will equal the redemption value as of August 2, 2019, the earliest possible redemption date by the holder. However, this accretion could accelerate if the expected redemption date is earlier than August 2, 2019.</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June 30, 2016 condensed consolidated financial statements included elsewhere in this report. This MD&amp;A reflects the results of continuing operations, unless otherwise noted. Certain statements contained in this MD&amp;A may be deemed to be forward-looking statements. See “Special Note Regarding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manufacture and sell chemical products for the agricultural, mining, and industrial markets. We own and operate facilities in Cherokee, Alabama, El Dorado, Arkansas and Pryor, Oklahoma, and operate a facility for a global chemical company in Baytown, Texas. Our products are sold through distributors and directly to end customers throughout the United States. On July 1, 2016, we completed the sale of our Climate Control Business. Because of the sale on the day following the end of the period covered by this Quarterly Report on Form 10-Q, our historical results of operations are not indicative of the results of operations that may be expected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2016</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 in 2016:</w:t>
      </w:r>
    </w:p>
    <w:p>
      <w:pPr>
        <w:spacing w:after="0" w:line="62" w:lineRule="exact"/>
        <w:rPr>
          <w:sz w:val="20"/>
          <w:szCs w:val="20"/>
          <w:color w:val="auto"/>
        </w:rPr>
      </w:pPr>
    </w:p>
    <w:p>
      <w:pPr>
        <w:jc w:val="both"/>
        <w:ind w:left="104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Enhance our capital structure. </w:t>
      </w:r>
      <w:r>
        <w:rPr>
          <w:rFonts w:ascii="Arial" w:cs="Arial" w:eastAsia="Arial" w:hAnsi="Arial"/>
          <w:sz w:val="17"/>
          <w:szCs w:val="17"/>
          <w:color w:val="auto"/>
        </w:rPr>
        <w:t>As discussed previously, we completed the sale of the Climate Control Business on July 1, 2016 for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of $364 million. We intend to use a portion of the net proceeds to repay our outstanding debt, redeem our preferred stock or a combination of both in order to reduce our overall leverage, our annual fixed charges and our blended cost of capital.</w:t>
      </w:r>
    </w:p>
    <w:p>
      <w:pPr>
        <w:spacing w:after="0" w:line="57" w:lineRule="exact"/>
        <w:rPr>
          <w:rFonts w:ascii="Arial" w:cs="Arial" w:eastAsia="Arial" w:hAnsi="Arial"/>
          <w:sz w:val="17"/>
          <w:szCs w:val="17"/>
          <w:color w:val="auto"/>
        </w:rPr>
      </w:pPr>
    </w:p>
    <w:p>
      <w:pPr>
        <w:jc w:val="both"/>
        <w:ind w:left="1040" w:hanging="519"/>
        <w:spacing w:after="0" w:line="279"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Improve the on-stream rates of our chemical plants. </w:t>
      </w:r>
      <w:r>
        <w:rPr>
          <w:rFonts w:ascii="Arial" w:cs="Arial" w:eastAsia="Arial" w:hAnsi="Arial"/>
          <w:sz w:val="17"/>
          <w:szCs w:val="17"/>
          <w:color w:val="auto"/>
        </w:rPr>
        <w:t>During 2015, some of our chemical plants experienced unplanned outages and downtimes,</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to planned turnarounds, which adversely affected our financial results. We have made and continue to make changes to enhance the operations teams at our chemical facilities and we continue to upgrade the plants at each facility in order to reduce unplanned outages, unplanned downtimes, and the frequency of planned turnarounds thereby improving overall operating up-time.</w:t>
      </w:r>
    </w:p>
    <w:p>
      <w:pPr>
        <w:spacing w:after="0" w:line="63" w:lineRule="exact"/>
        <w:rPr>
          <w:rFonts w:ascii="Arial" w:cs="Arial" w:eastAsia="Arial" w:hAnsi="Arial"/>
          <w:sz w:val="17"/>
          <w:szCs w:val="17"/>
          <w:color w:val="auto"/>
        </w:rPr>
      </w:pPr>
    </w:p>
    <w:p>
      <w:pPr>
        <w:ind w:left="104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Broaden the distribution of our AN products. </w:t>
      </w:r>
      <w:r>
        <w:rPr>
          <w:rFonts w:ascii="Arial" w:cs="Arial" w:eastAsia="Arial" w:hAnsi="Arial"/>
          <w:sz w:val="17"/>
          <w:szCs w:val="17"/>
          <w:color w:val="auto"/>
        </w:rPr>
        <w:t>Given the reduction in our LDAN sales due to the struggles of coal producers, we are working to</w:t>
      </w:r>
      <w:r>
        <w:rPr>
          <w:rFonts w:ascii="Arial" w:cs="Arial" w:eastAsia="Arial" w:hAnsi="Arial"/>
          <w:sz w:val="17"/>
          <w:szCs w:val="17"/>
          <w:i w:val="1"/>
          <w:iCs w:val="1"/>
          <w:color w:val="auto"/>
        </w:rPr>
        <w:t xml:space="preserve"> </w:t>
      </w:r>
      <w:r>
        <w:rPr>
          <w:rFonts w:ascii="Arial" w:cs="Arial" w:eastAsia="Arial" w:hAnsi="Arial"/>
          <w:sz w:val="17"/>
          <w:szCs w:val="17"/>
          <w:color w:val="auto"/>
        </w:rPr>
        <w:t>broaden our overall sales of HDAN through a number of marketing initiatives and increased storage at several of our facilities.</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Cost reduction and control. </w:t>
      </w:r>
      <w:r>
        <w:rPr>
          <w:rFonts w:ascii="Arial" w:cs="Arial" w:eastAsia="Arial" w:hAnsi="Arial"/>
          <w:sz w:val="18"/>
          <w:szCs w:val="18"/>
          <w:color w:val="auto"/>
        </w:rPr>
        <w:t>Now that we have sold our Climate Control Business, we intend to review our cost structure with a goal to reduce</w:t>
      </w:r>
      <w:r>
        <w:rPr>
          <w:rFonts w:ascii="Arial" w:cs="Arial" w:eastAsia="Arial" w:hAnsi="Arial"/>
          <w:sz w:val="18"/>
          <w:szCs w:val="18"/>
          <w:i w:val="1"/>
          <w:iCs w:val="1"/>
          <w:color w:val="auto"/>
        </w:rPr>
        <w:t xml:space="preserve"> </w:t>
      </w:r>
      <w:r>
        <w:rPr>
          <w:rFonts w:ascii="Arial" w:cs="Arial" w:eastAsia="Arial" w:hAnsi="Arial"/>
          <w:sz w:val="18"/>
          <w:szCs w:val="18"/>
          <w:color w:val="auto"/>
        </w:rPr>
        <w:t>our overall SG&amp;A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beneficial results that we expect or desire.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Climate Control Business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 2016 we completed the sale of our Climate Control Business to a subsidiary of NIBE for a total of $364 million subject to post-closing adjustments. We plan to use a substantial portion of the net proceeds of the sale to repay our outstanding debt, redeem our preferred stock, or a combination of the two. This sale was pursuant to the terms of the Stock Purchase Agreement entered into with NIBE on May 11, 2016. As a result, we sold to NIBE all of the outstanding shares of stock of the Climate Control Group. As of June 30, 2016, the assets and liabilities of Climate Control Business have been segregated and reported as held for sale. In addition, the results of operations and related cash flows of the Climate Control Business are presented as discontinued operations. For the third quarter of 2016, our discontinued operations will reflect a material gain, net of income taxes, as the result of this sale. However, the actual amount of the gain will not be finalized until the final purchase price and income tax adjustments have been completed. Although this sale results in a large taxable gain, we expect substantially all of this taxable gain will be offset by net operating losses which will include bonus and accelerated depreciation, resulting in no material cash taxes due. See discussion in Note- 15 Subsequent Event.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El Dorado Expansion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2016, the new ammonia plant at our El Dorado Facility became operational and began producing ammonia at our nameplate capacity of 1,150 tons per day. As a result, the El Dorado Facility has been a net seller of ammonia, with all ammonia that the facility has not upgraded into other products being sold to Koch Fertilizer via pipeline under the previously reported three-year offtake agreement.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below under “Liquidity and Capital Resources”, the final cost of the El Dorado expansion project is estimated to be between $835 million and $840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And Amended Contracts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Purchase and Sale Agreement – As previously reported, we entered into a new UAN purchase and sale agreement with Coffeyville Resources Nitrogen Fertilizers, LLC (CVR) that became effective June 1, 2016. Under the agreement CVR is purchasing all of the tons of UAN produced at PCC in excess of the needs of PCC or its affiliates, which shall be no more than 30,000 tons per year. The initial term of the contract is for three years.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Purchase and Sale Agreement - We amended a purchase and sale agreement with one of our LDAN customers. The amendment reduced the required sales volumes and overall potential shortfall charges. In return, this customer will pay us a fee of $9 million, of which $3 million was received in June 2016. The remaining fee is to be received in two payments of $3 million each, the first due by December 31, 2016 and the second due by March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agricultural products were approximately 55% of our total net sales for the second quarter of 2016. 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Corn prices affect the number of acres of corn planted in a given year, and the number of acres planted will impact nitrogen fertilizer consumption, likely affecting ammonia, UAN and urea prices. Weather also will have an impact on fertilizer consumption. The latest World Agricultural Supply and Demand Estimates Report dated July 12, 2016 estimates corn production at 110 million bushels higher than the previous year reflecting the increased planted and harvested areas. Projected U.S. corn use is higher as prospects for exports more than offset lower expected ethanol production. The USDA continues to estimate that U.S. growers will plant 93.6 million acres of corn in 2016 compared to 88 million in 2015. While the spring nitrogen fertilizer application was strong resulting in strong demand for UAN and other nitrogen products, selling prices of these products have declined due to lower commodity prices for grains, anticipated capacity expansions of nitrogen fertilizer production facilities, foreign currency exchange rates compared to the U.S. dollar and continuing high grain stocks-to-use ratios.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industrial products were approximately 32% of our total net sales for the second quarter of 2016. Our industrial product sales volumes are dependent upon general economic conditions primarily in the housing, automotive, and paper industries. According to the American Chemistry Council, the U.S. economic indicators continue to be mostly positive. Our sales prices generally vary with the market price of our feedstock (ammonia, natural gas or sulfur, as applicable) in our pricing arrangements with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Mining</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Sales of our mining products were approximately 11% of our total net sales for the second quarter of 2016. Our mining products are LDAN and AN solutions. The primary uses are as AN fuel oil and specialty emulsions generally in surface mining of coal and for usage in quarries and the construction industry. Coal mining is the largest user of LDAN and AN solutions and it has shown continuing decline in the first half of 2016 and is expected to decline further in the second half of 2016. Dwindling coal production in the U.S. affects our ability to sell LDAN, which is used as an explosive in that industry. We currently have executed contracts with customers with purchase requirements of approximately 80,000 tons per year. We believe that coal production in the U.S. will continue to face significant challenges assuming that natural gas prices remain at current and near term projected levels and that export demand could be lower due to the current strength of U.S. currency. While we believe our plants are strategically located to support the various regions around the country, our current mining sales volumes are being significantly impacted by overall lower customer demand for LDAN.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Grower Economics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fertilizer is affected by aggregate crop planting and fertilizer application rates of individual growers. Each grower makes planting decisions based largely on prospective profitability of a harvest, while the specific varieties and amounts of fertilizer they apply depend on factors such as their financial resources, soil conditions, weather patterns and the types of crops planted. Corn prices, variability in fertilizer costs and expected yield can all play a part in the amount and types of fertilizer growers choose to apply.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Natural gas is the primary feedstock for the production of nitrogen fertilizers at our Cherokee and Pryor Facilities and beginning in the second quarter of 2016 at our El Dorado Facility. Over the last five years, U.S. natural gas reserves have increased significantly due to, among other factors, advances in extracting shale gas, which have reduced and stabilized natural gas prices, providing North American plants manufacturing ammonia from natural gas with a cost advantage over certain imports. As a result, we believe that our competitive position (related to our Pryor, Cherokee and El Dorado Facilities) and that of other North American nitrogen fertilizer producers have been positively impacted.</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historically have purchased natural gas in the spot market or through the use of forward purchase contracts, or a combination of both and have used forward-purchase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Natural gas prices have fluctuated, which has had an impact on our cost of producing nitrogen fertilizer. The following table shows the second quarter volume of natural gas we purchased and the average cost per MMBtu:</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 (1)</w:t>
            </w: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increase in volume in the second quarter of 2016 is attributed to the startup processes of the new ammonia plant at the El Dorado Facility.</w:t>
      </w: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Electricity and Other Variable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for electricity, precious metals and additives are a significant portion of our variable cost per ton and can vary depending on the plant and specific products produced. For example, for each ton of ammonia produced in 2016, we expect these costs to be in the range of 35%-45% of the total variable cost of ammonia, based on current natural gas pricing. For UAN and HDAN/LDAN, we expect these costs to be in the range of 40%-50% and 25%-35%, respectively. The remaining variable costs primarily relate to the cost of natural gas.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Ammonia Prices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Ammonia had been the primary feedstock for the production of HDAN and LDAN at our El Dorado Facility until the new ammonia plant became fully operational in the second quarter of 2016. Pursuant to the previous ammonia purchase agreement with Koch, ammonia pricing was based on a published Tampa, Florida market index. The El Dorado Facility’s cost to produce HDAN from purchased ammonia had, at times, exceed our selling price (a cost disadvantage as compared to producing ammonia from natural gas). The new ammonia plant began operating at its nameplate capacity on June 22, 2016 and this cost disadvantage has now been eliminated.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table below shows the El Dorado Facility’s second quarter volume of ammonia purchased and the average cost per short ton:</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Ammonia volumes (tons in thousands)</w:t>
            </w:r>
          </w:p>
        </w:tc>
        <w:tc>
          <w:tcPr>
            <w:tcW w:w="8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Ammonia average cost per short ton</w:t>
            </w: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cost disadvantage from purchasing ammonia continued through most of the second quarter of 2016. This cost disadvantage contributed to an operating loss relating to this facility during the second quarter of 2016 of approximately $14.2 million compared to an operating loss of approximately $10.5 million in the second quarter of 2015. The operating loss in the second quarter of 2016 includes $3.8 million in startup and commissioning costs on our new ammonia plant and increased depreciation of $6.1 million as compared to the second quarter of 2015. The increased depreciation relates to the completion of the ammonia plant, the earlier completions of the nitric acid plant and the concentrated acid plant. In addition, lower selling prices compressed our gross margins in the second quarter of 2016 as compared with the second quarter of 2015, which were partially offset by 28,000 tons of ammonia production in our new ammonia plant for the quarter.</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has been imported. Therefore, nitrogen fertilizer prices in the U.S. are influenced by the cost to transport product from exporting countries, giving domestic producers who transport shorter distances an advantage.</w:t>
      </w:r>
    </w:p>
    <w:p>
      <w:pPr>
        <w:spacing w:after="0" w:line="276" w:lineRule="exact"/>
        <w:rPr>
          <w:sz w:val="20"/>
          <w:szCs w:val="20"/>
          <w:color w:val="auto"/>
        </w:rPr>
      </w:pPr>
    </w:p>
    <w:p>
      <w:pPr>
        <w:jc w:val="center"/>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Unplanned downtime of the plants typically results in lost contribution margin, increased maintenance expense and decreased inventory for sale. The financial impact of planned downtime, including Turnaround maintenance, is mitigated through a diligent planning process that takes into account the availability of resources to perform the needed maintenance, feedstock logistics and other factors. Our Cherokee Facility is on a two-year Turnaround cycle while our Pryor Facility is on an annual Turnaround cycle. A Turnaround was not performed at our Cherokee Facility in 2015 but we are currently performing a Turnaround at our Cherokee Facility in the third quarter of 2016, which is expected to last approximately 25 days and cost between $5 million and $5.5 million. A Turnaround was performed at our Pryor Facility in the third quarter for 2015 and one will be performed in the third quarter of 2016, which is expected to last approximately 25 days at a cost of $2 million to $2.5 million. At our El Dorado Facility historically, we were able to perform Turnaround projects on individual plants without shutting down the entire facility and the impact of lost production is not significant. With the completion of the new ammonia plant, the facility will begin to schedule Turnarounds. Currently, no Turnarounds are scheduled for the second half of 2016 or for 2017 at the El Dorado Facility that would require a shutdown of the facility’s ammonia plant. All Turnarounds result in lost fixed overhead absorption and additional maintenance costs, which maintenance costs are expensed as incurred.</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our view of the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Second Quarter of 2016</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net sales for the second quarter of 2016 were $110 million compared to $125.5 million for the same period in 2015, a decrease of $15.5 million. Our consolidated operating loss was $8.9 million compared to $1.6 million for the same period in 2015, an increase in our operating loss of $7.3 million. The items impacting our operating results are discussed in more detail below and under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Items Affecting Comparability of Results of the Second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Pryor Facility’s ammonia plant reported on-stream rates in the second quarter of 2016 of approximately 96% compared to 86% for the second quarter of 2015. The Cherokee Facility reported on-stream rates for its ammonia plant at 100% and 94% for the second quarter of 2016 and 2015, respectively.</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2016 and 2015, interest expense was $6.4 million and $2.2 million, net of capitalized interest of $5 million and $7 million, respectively. Interest was capitalized based upon construction in progress of the El Dorado expansion and certain other capital projects. As these capital projects are placed into service, we cease capitalizing interest on those projects.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Expense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quarter of 2016 and 2015, depreciation expense was $14 million and $8.9 million, respectively. The increase is due primarily to certain capital projects within our El Dorado expansion projects being placed into service. Due to the increase in the amount of capital additions incurred and planned, our depreciation expenses have increased and are expected to continue to increase in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and six months ended June 30, 2016 and 2015 and accompanying notes and the discussions under “Overview” and “Liquidity and Capital Resources” included in this MD&amp;A.</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present the following information about our results of operations. Net sales include net sales to unaffiliated customers as reported in the condensed consolidated financial statements. Gross profit (loss) represents net sales less cost of sales.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Three Months Ended June 30, 2016 Compared to Three Months Ended June 30,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information including our net sales, gross profit, operating loss, SG&amp;A, interest expense and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Change</w:t>
            </w:r>
          </w:p>
        </w:tc>
        <w:tc>
          <w:tcPr>
            <w:tcW w:w="3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6"/>
          </w:tcPr>
          <w:p>
            <w:pPr>
              <w:jc w:val="right"/>
              <w:ind w:right="920"/>
              <w:spacing w:after="0"/>
              <w:rPr>
                <w:sz w:val="20"/>
                <w:szCs w:val="20"/>
                <w:color w:val="auto"/>
              </w:rPr>
            </w:pPr>
            <w:r>
              <w:rPr>
                <w:rFonts w:ascii="Arial" w:cs="Arial" w:eastAsia="Arial" w:hAnsi="Arial"/>
                <w:sz w:val="16"/>
                <w:szCs w:val="16"/>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60,258</w:t>
            </w:r>
          </w:p>
        </w:tc>
        <w:tc>
          <w:tcPr>
            <w:tcW w:w="22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67,557</w:t>
            </w:r>
          </w:p>
        </w:tc>
        <w:tc>
          <w:tcPr>
            <w:tcW w:w="22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(7,299)</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(6,634)</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11,678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(1,686)</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net sales</w:t>
            </w:r>
          </w:p>
        </w:tc>
        <w:tc>
          <w:tcPr>
            <w:tcW w:w="3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109,982</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125,503</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(15,521)</w:t>
            </w:r>
          </w:p>
        </w:tc>
        <w:tc>
          <w:tcPr>
            <w:tcW w:w="32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2,129</w:t>
            </w:r>
          </w:p>
        </w:tc>
        <w:tc>
          <w:tcPr>
            <w:tcW w:w="220" w:type="dxa"/>
            <w:vAlign w:val="bottom"/>
          </w:tcPr>
          <w:p>
            <w:pPr>
              <w:spacing w:after="0"/>
              <w:rPr>
                <w:sz w:val="22"/>
                <w:szCs w:val="22"/>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12,616</w:t>
            </w:r>
          </w:p>
        </w:tc>
        <w:tc>
          <w:tcPr>
            <w:tcW w:w="220" w:type="dxa"/>
            <w:vAlign w:val="bottom"/>
          </w:tcPr>
          <w:p>
            <w:pPr>
              <w:spacing w:after="0"/>
              <w:rPr>
                <w:sz w:val="22"/>
                <w:szCs w:val="22"/>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(10,487)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2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Gross profit percentage (1)</w:t>
            </w: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46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(3,672)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40" w:type="dxa"/>
            <w:vAlign w:val="bottom"/>
            <w:gridSpan w:val="2"/>
            <w:vMerge w:val="restart"/>
          </w:tcPr>
          <w:p>
            <w:pPr>
              <w:ind w:left="220"/>
              <w:spacing w:after="0"/>
              <w:rPr>
                <w:sz w:val="20"/>
                <w:szCs w:val="20"/>
                <w:color w:val="auto"/>
              </w:rPr>
            </w:pPr>
            <w:r>
              <w:rPr>
                <w:rFonts w:ascii="Arial" w:cs="Arial" w:eastAsia="Arial" w:hAnsi="Arial"/>
                <w:sz w:val="18"/>
                <w:szCs w:val="18"/>
                <w:color w:val="auto"/>
              </w:rPr>
              <w:t>Operating loss</w:t>
            </w: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48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(8,883)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(7,286)</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4,217</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(3,925)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8722.2%</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(3,671)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(2,764)</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40" w:type="dxa"/>
            <w:vAlign w:val="bottom"/>
            <w:gridSpan w:val="2"/>
            <w:vMerge w:val="restart"/>
          </w:tcPr>
          <w:p>
            <w:pPr>
              <w:ind w:left="2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(7,688)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(4,814)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46,258</w:t>
            </w:r>
          </w:p>
        </w:tc>
        <w:tc>
          <w:tcPr>
            <w:tcW w:w="220" w:type="dxa"/>
            <w:vAlign w:val="bottom"/>
          </w:tcPr>
          <w:p>
            <w:pPr>
              <w:spacing w:after="0"/>
              <w:rPr>
                <w:sz w:val="24"/>
                <w:szCs w:val="24"/>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110,285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(64,027)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5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14,028</w:t>
            </w:r>
          </w:p>
        </w:tc>
        <w:tc>
          <w:tcPr>
            <w:tcW w:w="220" w:type="dxa"/>
            <w:vAlign w:val="bottom"/>
          </w:tcPr>
          <w:p>
            <w:pPr>
              <w:spacing w:after="0"/>
              <w:rPr>
                <w:sz w:val="20"/>
                <w:szCs w:val="20"/>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8,877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5,151</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840" w:type="dxa"/>
            <w:vAlign w:val="bottom"/>
            <w:gridSpan w:val="2"/>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5640" w:type="dxa"/>
            <w:vAlign w:val="bottom"/>
            <w:gridSpan w:val="4"/>
          </w:tcPr>
          <w:p>
            <w:pPr>
              <w:spacing w:after="0"/>
              <w:rPr>
                <w:sz w:val="20"/>
                <w:szCs w:val="20"/>
                <w:color w:val="auto"/>
              </w:rPr>
            </w:pPr>
            <w:r>
              <w:rPr>
                <w:rFonts w:ascii="Arial" w:cs="Arial" w:eastAsia="Arial" w:hAnsi="Arial"/>
                <w:sz w:val="18"/>
                <w:szCs w:val="18"/>
                <w:color w:val="auto"/>
                <w:w w:val="94"/>
              </w:rPr>
              <w:t>The following tables provide key sales metrics for the agricultural products: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5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color w:val="auto"/>
                <w:w w:val="90"/>
              </w:rPr>
              <w:t>Three Months Ended June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396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506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120,481</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88,440</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32,041</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87,688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61,119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26,569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(4,104)</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80" w:type="dxa"/>
            <w:vAlign w:val="bottom"/>
          </w:tcPr>
          <w:p>
            <w:pPr>
              <w:spacing w:after="0"/>
              <w:rPr>
                <w:sz w:val="19"/>
                <w:szCs w:val="19"/>
                <w:color w:val="auto"/>
              </w:rPr>
            </w:pPr>
          </w:p>
        </w:tc>
        <w:tc>
          <w:tcPr>
            <w:tcW w:w="50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0" w:type="dxa"/>
            <w:vAlign w:val="bottom"/>
          </w:tcPr>
          <w:p>
            <w:pPr>
              <w:spacing w:after="0"/>
              <w:rPr>
                <w:sz w:val="19"/>
                <w:szCs w:val="19"/>
                <w:color w:val="auto"/>
              </w:rPr>
            </w:pPr>
          </w:p>
        </w:tc>
        <w:tc>
          <w:tcPr>
            <w:tcW w:w="506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238,063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181,560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56,503</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66"/>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5"/>
          </w:tcPr>
          <w:p>
            <w:pPr>
              <w:jc w:val="right"/>
              <w:spacing w:after="0"/>
              <w:rPr>
                <w:sz w:val="20"/>
                <w:szCs w:val="20"/>
                <w:color w:val="auto"/>
              </w:rPr>
            </w:pPr>
            <w:r>
              <w:rPr>
                <w:rFonts w:ascii="Arial" w:cs="Arial" w:eastAsia="Arial" w:hAnsi="Arial"/>
                <w:sz w:val="18"/>
                <w:szCs w:val="18"/>
                <w:color w:val="auto"/>
                <w:w w:val="90"/>
              </w:rPr>
              <w:t>Three Months Ended June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28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Change</w:t>
            </w: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Change</w:t>
            </w:r>
          </w:p>
        </w:tc>
        <w:tc>
          <w:tcPr>
            <w:tcW w:w="2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29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 w:type="dxa"/>
            <w:vAlign w:val="bottom"/>
          </w:tcPr>
          <w:p>
            <w:pPr>
              <w:spacing w:after="0"/>
              <w:rPr>
                <w:sz w:val="19"/>
                <w:szCs w:val="19"/>
                <w:color w:val="auto"/>
              </w:rPr>
            </w:pPr>
          </w:p>
        </w:tc>
        <w:tc>
          <w:tcPr>
            <w:tcW w:w="50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580" w:type="dxa"/>
            <w:vAlign w:val="bottom"/>
          </w:tcPr>
          <w:p>
            <w:pPr>
              <w:spacing w:after="0"/>
              <w:rPr>
                <w:sz w:val="19"/>
                <w:szCs w:val="19"/>
                <w:color w:val="auto"/>
              </w:rPr>
            </w:pPr>
          </w:p>
        </w:tc>
        <w:tc>
          <w:tcPr>
            <w:tcW w:w="50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gridSpan w:val="4"/>
          </w:tcPr>
          <w:p>
            <w:pPr>
              <w:ind w:left="40"/>
              <w:spacing w:after="0"/>
              <w:rPr>
                <w:sz w:val="20"/>
                <w:szCs w:val="20"/>
                <w:color w:val="auto"/>
              </w:rPr>
            </w:pPr>
            <w:r>
              <w:rPr>
                <w:rFonts w:ascii="Arial" w:cs="Arial" w:eastAsia="Arial" w:hAnsi="Arial"/>
                <w:sz w:val="18"/>
                <w:szCs w:val="18"/>
                <w:color w:val="auto"/>
                <w:w w:val="99"/>
              </w:rPr>
              <w:t>Three Months Ended June 30,</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30"/>
              <w:spacing w:after="0"/>
              <w:rPr>
                <w:sz w:val="20"/>
                <w:szCs w:val="20"/>
                <w:color w:val="auto"/>
              </w:rPr>
            </w:pPr>
            <w:r>
              <w:rPr>
                <w:rFonts w:ascii="Arial" w:cs="Arial" w:eastAsia="Arial" w:hAnsi="Arial"/>
                <w:sz w:val="18"/>
                <w:szCs w:val="18"/>
                <w:color w:val="auto"/>
                <w:w w:val="97"/>
              </w:rPr>
              <w:t>Percentage</w:t>
            </w: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1340" w:type="dxa"/>
            <w:vAlign w:val="bottom"/>
            <w:gridSpan w:val="2"/>
          </w:tcPr>
          <w:p>
            <w:pPr>
              <w:jc w:val="right"/>
              <w:ind w:right="450"/>
              <w:spacing w:after="0"/>
              <w:rPr>
                <w:sz w:val="20"/>
                <w:szCs w:val="20"/>
                <w:color w:val="auto"/>
              </w:rPr>
            </w:pPr>
            <w:r>
              <w:rPr>
                <w:rFonts w:ascii="Arial" w:cs="Arial" w:eastAsia="Arial" w:hAnsi="Arial"/>
                <w:sz w:val="18"/>
                <w:szCs w:val="18"/>
                <w:color w:val="auto"/>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115,128</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134,333</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(19,205)</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tcPr>
          <w:p>
            <w:pPr>
              <w:jc w:val="right"/>
              <w:spacing w:after="0"/>
              <w:rPr>
                <w:sz w:val="20"/>
                <w:szCs w:val="20"/>
                <w:color w:val="auto"/>
              </w:rPr>
            </w:pPr>
            <w:r>
              <w:rPr>
                <w:rFonts w:ascii="Arial" w:cs="Arial" w:eastAsia="Arial" w:hAnsi="Arial"/>
                <w:sz w:val="18"/>
                <w:szCs w:val="18"/>
                <w:color w:val="auto"/>
              </w:rPr>
              <w:t>19,404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16,453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2,951</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(938)</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2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18,378</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10,571</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20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74 %</w:t>
            </w:r>
          </w:p>
        </w:tc>
      </w:tr>
      <w:tr>
        <w:trPr>
          <w:trHeight w:val="223"/>
        </w:trPr>
        <w:tc>
          <w:tcPr>
            <w:tcW w:w="52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178,161</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187,546</w:t>
            </w: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(9,385)</w:t>
            </w:r>
          </w:p>
        </w:tc>
        <w:tc>
          <w:tcPr>
            <w:tcW w:w="20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general, our second quarter 2016 agricultural sales were lower due to lower selling prices for HDAN, UAN and ammonia. Industrial and mining sales were lower due to lower product prices tracking the lower published ammonia indices and lower sales volumes. In addition, natural gas volumes and sales prices from our working interest declined in the second quarter of 2016 compared to 2015.</w:t>
      </w:r>
    </w:p>
    <w:p>
      <w:pPr>
        <w:spacing w:after="0" w:line="73" w:lineRule="exact"/>
        <w:rPr>
          <w:sz w:val="20"/>
          <w:szCs w:val="20"/>
          <w:color w:val="auto"/>
        </w:rPr>
      </w:pPr>
    </w:p>
    <w:p>
      <w:pPr>
        <w:jc w:val="both"/>
        <w:ind w:left="1040" w:hanging="519"/>
        <w:spacing w:after="0" w:line="273"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Agricultural products comprised approximately 55% of our net sales for the second quarter 2016 compared to 54% for the same period of 2015. Compared to 2015 second quarter, the second quarter 2016 average agriculture product selling prices per ton were significantly lower, driven by a reduction in selling prices of by 28%, 39% and 28% for UAN, HDAN and ammonia respectively. Offsetting some of the reduction in selling prices were increases in sales volumes for UAN and HDAN which were higher by 36% and 43%, respectively. Our UAN sales volumes were higher due to improved on-stream rates at our Pryor Facility. HDAN sales volumes were also higher for the second quarter of 2016 due to stronger demand and favorable weather conditions in the markets we sell into during the quarter.</w:t>
      </w:r>
    </w:p>
    <w:p>
      <w:pPr>
        <w:spacing w:after="0" w:line="70" w:lineRule="exact"/>
        <w:rPr>
          <w:rFonts w:ascii="Arial" w:cs="Arial" w:eastAsia="Arial" w:hAnsi="Arial"/>
          <w:sz w:val="17"/>
          <w:szCs w:val="17"/>
          <w:color w:val="auto"/>
        </w:rPr>
      </w:pPr>
    </w:p>
    <w:p>
      <w:pPr>
        <w:ind w:left="1040" w:hanging="519"/>
        <w:spacing w:after="0" w:line="34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Industrial acids and other chemical products sales decreased as the result of lower product selling prices and sales volumes. Sales volumes were lower primarily as a result of a planned Turnaround at the Baytown Facility during the second quarter resulting in less product for sale.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Mining products sales were essentially unchanged from the prior year second quarter. Lower selling prices were offset by higher sales volumes.</w:t>
      </w:r>
    </w:p>
    <w:p>
      <w:pPr>
        <w:spacing w:after="0" w:line="140" w:lineRule="exact"/>
        <w:rPr>
          <w:rFonts w:ascii="Arial" w:cs="Arial" w:eastAsia="Arial" w:hAnsi="Arial"/>
          <w:sz w:val="16"/>
          <w:szCs w:val="16"/>
          <w:color w:val="auto"/>
        </w:rPr>
      </w:pPr>
    </w:p>
    <w:p>
      <w:pPr>
        <w:jc w:val="both"/>
        <w:ind w:left="1040" w:hanging="519"/>
        <w:spacing w:after="0" w:line="259"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mainly is due to lower realized natural gas selling prices out of the Marcellus Shale region combined with lower production volumes in the second quarter of 2016 compared to the same period in 2015 as the operator of these properties has slowed development due to the decline in natural gas sales prices.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in the table above, our gross profit decreased $10.5 million in the second quarter of 2016 compared to the second quarter of 2015. The decrease in gross profit was primarily due to lower selling prices and higher operating costs partially offset by lower overall natural gas and ammonia feedstock costs and higher on-stream rates at our Pryor Facility. Our operating costs were higher during the second quarter of 2016 primarily due to start-up and commissioning activities at our El Dorado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SG&amp;A expenses were $10.9 million for the second quarter of 2016, a decrease of $3.7 million compared to the same period in 2015. The decrease was primarily driven by a $2.4 million decrease in shareholder related expenses and lower compensation and training expenses of which were partially offset by higher legal and outside services fees compared to the same period of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Interest expense for the second quarter of 2016 was $6.4 million compared to $2.2 million for the same period in 2015. The increase is due to additional interest ($2.2 million) from financing which was completed in the fall of 2015 and a reduction in capitalized interest as a result of capital projects under development and construction being placed into service during the second quarter of 2016. Approximately $5 million was capitalized in the second quarter of 2016 compared to $7 million capitalized during second quarter of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income for the second quarter of 2016 was $4 million (minimal for the same period in 2015). The increase is primarily due to the unrealized gain from the change in fair value associated with the embedded derivative included in the Series E Preferred.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second quarter of 2016 was $3.7 million compared to a $0.9 million benefit for the same period in 2015. The resulting effective tax rate for the second quarters of 2016 and 2015 was 32% and 24%, respectively. Our estimated effective rate for 2016 includes the impact of permanent tax differences, such as a loss on embedded derivatives, valuation allowances, and other permanent items. Our estimated resulting effective rate for 2015 was impacted by operating results that were at or about break even.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including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the results of operations of the Climate Control Business have been presented as discontinued operations. For the second quarter of 2016, income from discontinued operations was $22.8 million, including a tax benefit of $17.8 million. These results included transaction costs associated with the sale of $2 million. The structure of the sale of the Climate Control Business will allow for additional tax basis to be recovered than was previously recorded as a deferred tax asset. The tax benefit associated with this additional tax basis was recorded in discontinued operations in the second quarter consistent with the period the Climate Control subsidiaries were designated as held for sale. For the second quarter of 2015, income from discontinued operations was $3.3 million, net of a tax provision of $0.9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u w:val="single" w:color="auto"/>
          <w:color w:val="auto"/>
        </w:rPr>
        <w:t>Six Months Ended June 30, 2016 Compared to Six Months Ended June 30, 2015</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contains certain information including our net sales, gross profit (loss), operating income (loss), SG&amp;A, interest expense and income taxes: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8"/>
                <w:szCs w:val="18"/>
                <w:color w:val="auto"/>
              </w:rPr>
              <w:t>Six Months Ended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(In Thousands)</w:t>
            </w:r>
          </w:p>
        </w:tc>
        <w:tc>
          <w:tcPr>
            <w:tcW w:w="7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110,032</w:t>
            </w:r>
          </w:p>
        </w:tc>
        <w:tc>
          <w:tcPr>
            <w:tcW w:w="28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138,607</w:t>
            </w:r>
          </w:p>
        </w:tc>
        <w:tc>
          <w:tcPr>
            <w:tcW w:w="2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(28,575)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72,238</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84,655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(12,417)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21,602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28,647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(7,045)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(2,112)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208,954</w:t>
            </w:r>
          </w:p>
        </w:tc>
        <w:tc>
          <w:tcPr>
            <w:tcW w:w="2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259,103</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(50,149)</w:t>
            </w:r>
          </w:p>
        </w:tc>
        <w:tc>
          <w:tcPr>
            <w:tcW w:w="34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vMerge w:val="continue"/>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Gross profit (loss)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(4,035)</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33,415</w:t>
            </w:r>
          </w:p>
        </w:tc>
        <w:tc>
          <w:tcPr>
            <w:tcW w:w="240" w:type="dxa"/>
            <w:vAlign w:val="bottom"/>
          </w:tcPr>
          <w:p>
            <w:pPr>
              <w:spacing w:after="0"/>
              <w:rPr>
                <w:sz w:val="22"/>
                <w:szCs w:val="22"/>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(37,450)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Gross profit percentage (1)</w:t>
            </w: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(14.8)%</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46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21,768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25,746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(3,978)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(26,192)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(34,352)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7,796</w:t>
            </w:r>
          </w:p>
        </w:tc>
        <w:tc>
          <w:tcPr>
            <w:tcW w:w="2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5,626</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Non-operating other income, net</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2417.5%</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(8,521)</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(9,772)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820" w:type="dxa"/>
            <w:vAlign w:val="bottom"/>
            <w:gridSpan w:val="2"/>
            <w:vMerge w:val="restart"/>
          </w:tcPr>
          <w:p>
            <w:pPr>
              <w:ind w:left="22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(23,453)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1,363</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(24,816)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(1820.7)%</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140,405</w:t>
            </w:r>
          </w:p>
        </w:tc>
        <w:tc>
          <w:tcPr>
            <w:tcW w:w="280" w:type="dxa"/>
            <w:vAlign w:val="bottom"/>
          </w:tcPr>
          <w:p>
            <w:pPr>
              <w:spacing w:after="0"/>
              <w:rPr>
                <w:sz w:val="24"/>
                <w:szCs w:val="24"/>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186,998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(46,593)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vMerge w:val="restart"/>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24,618</w:t>
            </w:r>
          </w:p>
        </w:tc>
        <w:tc>
          <w:tcPr>
            <w:tcW w:w="280" w:type="dxa"/>
            <w:vAlign w:val="bottom"/>
          </w:tcPr>
          <w:p>
            <w:pPr>
              <w:spacing w:after="0"/>
              <w:rPr>
                <w:sz w:val="20"/>
                <w:szCs w:val="20"/>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16,711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7,907</w:t>
            </w: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820" w:type="dxa"/>
            <w:vAlign w:val="bottom"/>
            <w:gridSpan w:val="2"/>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4"/>
          </w:tcPr>
          <w:p>
            <w:pPr>
              <w:jc w:val="right"/>
              <w:ind w:right="110"/>
              <w:spacing w:after="0"/>
              <w:rPr>
                <w:sz w:val="20"/>
                <w:szCs w:val="20"/>
                <w:color w:val="auto"/>
              </w:rPr>
            </w:pPr>
            <w:r>
              <w:rPr>
                <w:rFonts w:ascii="Arial" w:cs="Arial" w:eastAsia="Arial" w:hAnsi="Arial"/>
                <w:sz w:val="18"/>
                <w:szCs w:val="18"/>
                <w:color w:val="auto"/>
                <w:w w:val="89"/>
              </w:rPr>
              <w:t>Six Months Ended June 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7"/>
        </w:trPr>
        <w:tc>
          <w:tcPr>
            <w:tcW w:w="5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2500" w:type="dxa"/>
            <w:vAlign w:val="bottom"/>
            <w:gridSpan w:val="2"/>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Change</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36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214,787</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205,362</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9,425</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142,236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125,119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17,117</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55,302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428,299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396,654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31,645</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39"/>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4"/>
          </w:tcPr>
          <w:p>
            <w:pPr>
              <w:jc w:val="right"/>
              <w:ind w:right="110"/>
              <w:spacing w:after="0"/>
              <w:rPr>
                <w:sz w:val="20"/>
                <w:szCs w:val="20"/>
                <w:color w:val="auto"/>
              </w:rPr>
            </w:pPr>
            <w:r>
              <w:rPr>
                <w:rFonts w:ascii="Arial" w:cs="Arial" w:eastAsia="Arial" w:hAnsi="Arial"/>
                <w:sz w:val="18"/>
                <w:szCs w:val="18"/>
                <w:color w:val="auto"/>
                <w:w w:val="89"/>
              </w:rPr>
              <w:t>Six Months Ended June 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4"/>
                <w:szCs w:val="14"/>
                <w:color w:val="auto"/>
              </w:rPr>
              <w:t>Average Selling Prices (price per ton)</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Change</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7"/>
        </w:trPr>
        <w:tc>
          <w:tcPr>
            <w:tcW w:w="580" w:type="dxa"/>
            <w:vAlign w:val="bottom"/>
          </w:tcPr>
          <w:p>
            <w:pPr>
              <w:spacing w:after="0"/>
              <w:rPr>
                <w:sz w:val="18"/>
                <w:szCs w:val="18"/>
                <w:color w:val="auto"/>
              </w:rPr>
            </w:pPr>
          </w:p>
        </w:tc>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440" w:type="dxa"/>
            <w:vAlign w:val="bottom"/>
            <w:tcBorders>
              <w:top w:val="single" w:sz="8" w:color="CFF0FC"/>
            </w:tcBorders>
            <w:shd w:val="clear" w:color="auto" w:fill="CFF0FC"/>
          </w:tcPr>
          <w:p>
            <w:pPr>
              <w:spacing w:after="0"/>
              <w:rPr>
                <w:sz w:val="18"/>
                <w:szCs w:val="18"/>
                <w:color w:val="auto"/>
              </w:rPr>
            </w:pPr>
          </w:p>
        </w:tc>
        <w:tc>
          <w:tcPr>
            <w:tcW w:w="15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640" w:type="dxa"/>
            <w:vAlign w:val="bottom"/>
            <w:gridSpan w:val="2"/>
          </w:tcPr>
          <w:p>
            <w:pPr>
              <w:jc w:val="center"/>
              <w:ind w:left="1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272</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397</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640" w:type="dxa"/>
            <w:vAlign w:val="bottom"/>
            <w:gridSpan w:val="2"/>
            <w:shd w:val="clear" w:color="auto" w:fill="CFF0FC"/>
          </w:tcPr>
          <w:p>
            <w:pPr>
              <w:jc w:val="center"/>
              <w:ind w:left="13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40" w:type="dxa"/>
            <w:vAlign w:val="bottom"/>
            <w:gridSpan w:val="2"/>
          </w:tcPr>
          <w:p>
            <w:pPr>
              <w:jc w:val="center"/>
              <w:ind w:left="1330"/>
              <w:spacing w:after="0"/>
              <w:rPr>
                <w:sz w:val="20"/>
                <w:szCs w:val="20"/>
                <w:color w:val="auto"/>
              </w:rPr>
            </w:pPr>
            <w:r>
              <w:rPr>
                <w:rFonts w:ascii="Arial" w:cs="Arial" w:eastAsia="Arial" w:hAnsi="Arial"/>
                <w:sz w:val="18"/>
                <w:szCs w:val="18"/>
                <w:color w:val="auto"/>
                <w:w w:val="89"/>
              </w:rPr>
              <w:t>37</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6" w:right="2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540" w:type="dxa"/>
            <w:vAlign w:val="bottom"/>
            <w:gridSpan w:val="4"/>
          </w:tcPr>
          <w:p>
            <w:pPr>
              <w:ind w:left="160"/>
              <w:spacing w:after="0"/>
              <w:rPr>
                <w:sz w:val="20"/>
                <w:szCs w:val="20"/>
                <w:color w:val="auto"/>
              </w:rPr>
            </w:pPr>
            <w:r>
              <w:rPr>
                <w:rFonts w:ascii="Arial" w:cs="Arial" w:eastAsia="Arial" w:hAnsi="Arial"/>
                <w:sz w:val="18"/>
                <w:szCs w:val="18"/>
                <w:color w:val="auto"/>
              </w:rPr>
              <w:t>Six Months Ended June 30,</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7"/>
              </w:rPr>
              <w:t>Percentage</w:t>
            </w:r>
          </w:p>
        </w:tc>
        <w:tc>
          <w:tcPr>
            <w:tcW w:w="280" w:type="dxa"/>
            <w:vAlign w:val="bottom"/>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40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280" w:type="dxa"/>
            <w:vAlign w:val="bottom"/>
          </w:tcPr>
          <w:p>
            <w:pPr>
              <w:spacing w:after="0"/>
              <w:rPr>
                <w:sz w:val="20"/>
                <w:szCs w:val="20"/>
                <w:color w:val="auto"/>
              </w:rPr>
            </w:pPr>
          </w:p>
        </w:tc>
      </w:tr>
      <w:tr>
        <w:trPr>
          <w:trHeight w:val="217"/>
        </w:trPr>
        <w:tc>
          <w:tcPr>
            <w:tcW w:w="51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255,658</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265,070</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(9,412)</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LDAN/HDAN</w:t>
            </w:r>
          </w:p>
        </w:tc>
        <w:tc>
          <w:tcPr>
            <w:tcW w:w="1060" w:type="dxa"/>
            <w:vAlign w:val="bottom"/>
          </w:tcPr>
          <w:p>
            <w:pPr>
              <w:jc w:val="right"/>
              <w:spacing w:after="0"/>
              <w:rPr>
                <w:sz w:val="20"/>
                <w:szCs w:val="20"/>
                <w:color w:val="auto"/>
              </w:rPr>
            </w:pPr>
            <w:r>
              <w:rPr>
                <w:rFonts w:ascii="Arial" w:cs="Arial" w:eastAsia="Arial" w:hAnsi="Arial"/>
                <w:sz w:val="18"/>
                <w:szCs w:val="18"/>
                <w:color w:val="auto"/>
              </w:rPr>
              <w:t>38,966</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43,606</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(4,640)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47,678</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45,914</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Ammonia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26,051</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18,989</w:t>
            </w:r>
          </w:p>
        </w:tc>
        <w:tc>
          <w:tcPr>
            <w:tcW w:w="2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368,353</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373,579</w:t>
            </w: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(5,226)</w:t>
            </w:r>
          </w:p>
        </w:tc>
        <w:tc>
          <w:tcPr>
            <w:tcW w:w="2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1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general, our first half of 2016 agricultural sales were lower due to lower selling prices for UAN, HDAN and ammonia. Industrial and mining sales were lower due to lower product prices tracking the lower published ammonia indices and lower sales volumes. In addition, natural gas volumes and sales prices from our working interest declined in the first half of 2016 compared to 2015.</w:t>
      </w:r>
    </w:p>
    <w:p>
      <w:pPr>
        <w:spacing w:after="0" w:line="73" w:lineRule="exact"/>
        <w:rPr>
          <w:sz w:val="20"/>
          <w:szCs w:val="20"/>
          <w:color w:val="auto"/>
        </w:rPr>
      </w:pPr>
    </w:p>
    <w:p>
      <w:pPr>
        <w:jc w:val="both"/>
        <w:ind w:left="1040" w:hanging="519"/>
        <w:spacing w:after="0" w:line="272"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Agricultural products comprised approximately 53% our net sales for the first half of 2016 and 2015. Compared to the first half of 2015, the first half of 2016 average agriculture product selling prices per ton were significantly lower driven by a reduction in selling prices of 28%, 31% and 33% for UAN, HDAN and ammonia respectively. Offsetting some of the reduction in selling prices was an increase in sales volumes for UAN, HDAN and ammonia which were higher by 5%, 14% and 3%, respectively. Sales volumes for UAN were higher due to improved on-stream rates at the Pryor Facility. Pryor experienced 17 days of unplanned downtime during the first half of 2015 compared to 5 days in the first half of 2016. HDAN sales volumes were also higher due to a strong spring season supported by improved weather conditions compared to the 2015 spring season in the markets we sell into during the period.</w:t>
      </w:r>
    </w:p>
    <w:p>
      <w:pPr>
        <w:spacing w:after="0" w:line="69" w:lineRule="exact"/>
        <w:rPr>
          <w:rFonts w:ascii="Arial" w:cs="Arial" w:eastAsia="Arial" w:hAnsi="Arial"/>
          <w:sz w:val="17"/>
          <w:szCs w:val="17"/>
          <w:color w:val="auto"/>
        </w:rPr>
      </w:pPr>
    </w:p>
    <w:p>
      <w:pPr>
        <w:ind w:left="1040" w:hanging="519"/>
        <w:spacing w:after="0" w:line="342"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Industrial acids and other chemical products sales decreased as the result of lower product selling prices and sales volumes. Sales volumes were lower resulting primarily as a result of less product available for sale due to a planned Turnaround at our Baytown Facility nitric acid plant.</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Mining products sales decreased primarily due to the expiration of the Orica Agreement in April 2015, which resulted in lower volumes and lower sales prices from the pass-through of lower ammonia costs to our contractual customers.</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mainly due to lower realized natural gas selling prices out of the Marcellus Shale region combined with lower production volumes in the first half 2016 compared to the same period in 2015 as the operator of these properties has slowed development due to the decline in natural gas sales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(Loss)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noted in the table above, we incurred a gross loss of $4 million for the first half of 2016 compared to gross profit of $33.4 million for the same period of 2015. The decrease in gross profit of $37.4 million was primarily due to a one-time cost of $12.1 million relating to consulting services associated with the reduction of property taxes assessed value for the El Dorado projects, the loss of margin contribution relating to the expiration of the Orica Agreement, increased operating costs and lower average selling prices partially offset by higher sales volumes and lower feedstock costs. Our operating costs increased primarily due to start-up and commissioning activities at the El Dorado Facility relating to the expansion project, which is now complete. Partially offsetting these start-up and commissioning costs was the ammonia production from the new ammonia plant as discussed above. The on-stream rate at our Pryor Facility was higher compared to the same period of 2015. Natural gas and ammonia feedstock costs both decreased 29% and 32%, respectively, in the first half of 2016 compared to the same period of 2015. The positive impact from lower natural gas prices was partially offset by operating losses incurred from our working interests in certain natural gas properties.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SG&amp;A expenses were $21.8 million for the first half of 2016, a decrease of $4 million compared to the same period in 2015. The decrease was driven by a $3.8 decrease in shareholder related expenses and overall compensation and training expenses. These decreases were partially offset by $1.6 million in increased professional fees related to our review of strategic initiatives and updates to our corporate governance practices and policies.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first six months of 2016 was $7.8 million compared to $5.6 million for the same period in 2015. The increase is due to additional interest ($4.5 million) from financing which was completed in the fall of 2015. This increase was partially offset by an increase of $2.2 million of capitalized interest on capital projects under development and construction. Interest of $14.9 million was capitalized during the first six months of 2016 compared to $12.6 million capitalized during the same period of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income for the first six months of 2016 was $2 million compared to $0.1 million for the same period in 2015. The increase is primarily due to the unrealized gain from the change in fair value associated with the embedded derivative included in the Series E Preferred.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benefit for income taxes for the first half of 2016 was $8.5 million compared to a provision of $1.3 million for the same period in 2015. The resulting effective tax rate for the first half of 2016 and 2015 was 27% and 48%, respectively. Our annual estimated effective rate for 2016 includes the impact of permanent tax differences, such as a loss on embedded derivatives, valuation allowances, and other permanent items. Our estimated effective tax rate for 2015 was impacted by relatively minor changes in ordinary income that had a significant effect on the rate.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including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above, the results of operations of the Climate Control Business have been presented as discontinued operations. For the first six months of 2016, income from discontinued operations was $23.6 million, including a tax benefit of $13.5 million. These results included transaction costs associated with the sale of $2.5 million. The structure of the sale of the Climate Control Business will allow for additional tax basis to be recovered than was previously recorded as a deferred tax asset. The tax benefit associated with this additional tax basis was recorded in discontinued operations in the second quarter consistent with the period the Climate Control subsidiaries were designated as held for sale. For the first six months of 2015, income from discontinued operations was $5.7 million, net of a tax provision of $2.9 million.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continuing operating activities continue to generate positive cash flows through June 30, 2016. Before discussing our capitalization and capital projects in detail, the following summarizes our cash flow activities for the six months ended June 30, 2016:</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continuing operating activities was $24.2 million primarily as the result of the net cash provided from our working capital.</w:t>
      </w: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by continuing investing activities was $169 million that consisted primarily of cash used for expenditures for PP&amp;E.</w:t>
      </w: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continuing financing activities was $32.3 million and primarily related to net proceeds from our revolving credit facility of $30.9 million and net proceeds from long-term financing of approximately $14.7 million partially offset by payments on short-term financing and long-term debt of $12.4 million and payments of debt and equity issuance costs of $1.3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w w:val="93"/>
              </w:rPr>
              <w:t>The following is our total current cash and investments, long-term debt and stockholders’ equity:</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7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20" w:type="dxa"/>
            <w:vAlign w:val="bottom"/>
          </w:tcPr>
          <w:p>
            <w:pPr>
              <w:spacing w:after="0"/>
              <w:rPr>
                <w:sz w:val="20"/>
                <w:szCs w:val="20"/>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Revolving credit facility and long-term debt:</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7.75% Senior Secured Notes due 2019</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12% Senior Secured Notes due 2019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2016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2021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2023</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7160" w:type="dxa"/>
            <w:vAlign w:val="bottom"/>
            <w:gridSpan w:val="2"/>
          </w:tcPr>
          <w:p>
            <w:pPr>
              <w:ind w:left="1720"/>
              <w:spacing w:after="0"/>
              <w:rPr>
                <w:sz w:val="20"/>
                <w:szCs w:val="20"/>
                <w:color w:val="auto"/>
              </w:rPr>
            </w:pPr>
            <w:r>
              <w:rPr>
                <w:rFonts w:ascii="Arial" w:cs="Arial" w:eastAsia="Arial" w:hAnsi="Arial"/>
                <w:sz w:val="18"/>
                <w:szCs w:val="18"/>
                <w:color w:val="auto"/>
              </w:rPr>
              <w:t>Total current and noncurrent revolving credit facility</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544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and long-term debt, net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w:t>
            </w:r>
          </w:p>
        </w:tc>
        <w:tc>
          <w:tcPr>
            <w:tcW w:w="20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E and F redeemable preferred stock</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1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405.1</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2016, our cash totaled $22.8 million. As discussed below, we have capital projects planned for the remainder of 2016 of approximately $30 million to $35 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2016, we received the remaining funding of $4.8 million related to the completed ammonia storage tank and related systems in connection with the El Dorado expansion projects.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previously reported, in February 2016, we received financing of $10 million related to the completed cogeneration facility equipment in connection with the El Dorado expansion projects.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combination of our cash, the availability on our revolving credit facility, the additional borrowings discussed above, our cash from operations and the sale of the Climate Control Business will be sufficient to fund our anticipated liquidity needs for the next twelve months. As the result of the sale of the Climate Control Business, we are evaluating various options to reduce our debt, redeem our preferred stock or a combination of both, in order to reduce our overall leverage, fixed charges and blended cost of capital.</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below under “Loan Agreements,” the Working Capital Revolver Loan requires, among other things, that we meet certain financial covenants. Currently, our forecast is that we will be able to meet all financial covenant requirements for the next twelve months. When needed, we plan to use our revolving credit facility to fund operational needs and believe that even with this additional borrowing, we will meet the minimum fixed charge coverage ratio during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Senior Secured Notes due 2019 </w:t>
      </w:r>
      <w:r>
        <w:rPr>
          <w:rFonts w:ascii="Arial" w:cs="Arial" w:eastAsia="Arial" w:hAnsi="Arial"/>
          <w:sz w:val="17"/>
          <w:szCs w:val="17"/>
          <w:color w:val="auto"/>
        </w:rPr>
        <w:t>- LSB has $425 million aggregate principal amount of the 7.75% Senior Secured Notes and $50 million aggregate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amount of the 12% Senior Secured Notes currently outstanding. Interest is to be paid semiannually on February 1st and August 1st.</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LSB and certain of its subsidiaries are party to the Working Capital Revolver Loan, by which the Borrowers may borrow</w:t>
      </w:r>
      <w:r>
        <w:rPr>
          <w:rFonts w:ascii="Arial" w:cs="Arial" w:eastAsia="Arial" w:hAnsi="Arial"/>
          <w:sz w:val="18"/>
          <w:szCs w:val="18"/>
          <w:b w:val="1"/>
          <w:bCs w:val="1"/>
          <w:color w:val="auto"/>
        </w:rPr>
        <w:t xml:space="preserve"> </w:t>
      </w:r>
      <w:r>
        <w:rPr>
          <w:rFonts w:ascii="Arial" w:cs="Arial" w:eastAsia="Arial" w:hAnsi="Arial"/>
          <w:sz w:val="18"/>
          <w:szCs w:val="18"/>
          <w:color w:val="auto"/>
        </w:rPr>
        <w:t>on a revolving basis up to $100 million, based on specific percentages of eligible accounts receivable and inventories. The Working Capital Revolver Loan will mature on April 13,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In conjunction with the sale of our Climate Control Business, we repaid $30.9 million representing the outstanding borrowings under the Working Capital Revolver Loan. As such, our available borrowings under our Working Capital Revolver Loan (excluding the Climate Control Business) was approximately $38 million, based on our eligible collateral, less outstanding letters of credit.</w:t>
      </w:r>
    </w:p>
    <w:p>
      <w:pPr>
        <w:spacing w:after="0" w:line="181"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Working Capital Revolver Loan requires the Borrowers to meet a minimum fixed charge coverage ratio of not less than 1.10 to 1, if at any time the excess availability (as defined by the Working Capital Revolver Loan), under the Working Capital Revolver Loan, is less than or equal to $12.5 million. If applicable, this ratio will be measured monthly on a trailing twelve</w:t>
      </w:r>
      <w:r>
        <w:rPr>
          <w:rFonts w:ascii="MS PGothic" w:cs="MS PGothic" w:eastAsia="MS PGothic" w:hAnsi="MS PGothic"/>
          <w:sz w:val="18"/>
          <w:szCs w:val="18"/>
          <w:color w:val="auto"/>
        </w:rPr>
        <w:t>‑</w:t>
      </w:r>
      <w:r>
        <w:rPr>
          <w:rFonts w:ascii="Arial" w:cs="Arial" w:eastAsia="Arial" w:hAnsi="Arial"/>
          <w:sz w:val="18"/>
          <w:szCs w:val="18"/>
          <w:color w:val="auto"/>
        </w:rPr>
        <w:t>month basis and as defined in the agreement. As of June 30, 2016, as defined in the agreement, the fixed charge coverage ratio was 1.4 to 1.</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Redemption of Series E Redeemable Preferred </w:t>
      </w:r>
      <w:r>
        <w:rPr>
          <w:rFonts w:ascii="Arial" w:cs="Arial" w:eastAsia="Arial" w:hAnsi="Arial"/>
          <w:sz w:val="17"/>
          <w:szCs w:val="17"/>
          <w:color w:val="auto"/>
        </w:rPr>
        <w:t>- At any time on or after August 2, 2019, each Series E Holder has the right to elect to have such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so that the carrying amount will equal the redemption value as of August 2, 2019, the earliest possible redemption date by the holder, this accretion has and will continue to impact income (loss) per common share. In addition, this accretion could accelerate if the expected redemption date is earlier than August 2,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the aggregate liquidation preference (par value plus accrued dividends) was $227.3 million.</w:t>
      </w:r>
    </w:p>
    <w:p>
      <w:pPr>
        <w:spacing w:after="0" w:line="32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Capital Additions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Additions – First Six Months of 2016</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Capital additions during the first six months of 2016 were $141.8 million. The capital additions included $131.6 million for expansion projects at our El Dorado Facility (which capital additions include equipment associated with maintaining compliance with environmental laws, regulations and guidelines), $7.5 million for various major renewal and improvement projects primarily at our Cherokee Facility, $0.4 million for the development of natural gas leaseholds, and an additional $0.7 million associated with maintaining compliance with environmental laws, regulations and guidelines not associated with the El Dorado expansion. The capital additions were funded primarily from cash, third-party financing and working capital. Due to the increase in the amount of capital additions incurred, our depreciation, depletion and amortization expenses have increased and are expected to continue to increase in 2016.</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final cost of the El Dorado expansion project, which is complete, is expected to be between $835 million and $840 million. The planned capital expenditures for the second half of this year are estimated to be from $30 to $35 million and includes (i) capital costs associated with Turnarounds at our Pryor and Cherokee Facilities; (ii) costs for renewal, improvement and environmental projects at our Pryor, Cherokee and El Dorado Facilities; (iii) costs related to the construction of two AN domes at our El Dorado Facility; (iv) and the development of natural gas leaseholds.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2017, we expect annual ongoing capital projects to range between $40 million to $50 million per year for our chemical facilities. Additionally, based on the current capital expenditure schedule of the operator of our working interest, we expect capital expenditures of approximately $21 million for the remainder of 2016 through 2019 to fully develop our natural gas working interests.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specific federal and state environmental compliance laws, regulations and guidelines. As a result, we incurred expenses of $2.5 million during the first half of 2016 in connection with maintaining environmental regulatory compliance. For the remainder of 2016, we expect to incur an additional $2.3 million to $2.7 million in these expenses. However, it is possible that the actual costs could be significantly different than our estimates.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left="26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Dividends on the Series E Redeemable Preferred are cumulative and payable semi-annually, commencing May 1, 2016, in arrears at the annual rate of 14% of the liquidation value of $1,000 per share. Each share of Series E Redeemable Preferred is entitled to receive a semi-annual dividend, when approved by our Board, of $70.00 per share for the aggregate semi-annual dividend of $14.7 million. In addition, dividends in arrears, until paid, shall compound additional dividends at the annual rate of 14%.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June 30, 2016, no dividend has been declared and the amount of accumulated dividends on the Series E Redeemable Preferred was approximately $17.3 million.</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the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no dividend has been declared and the amount of accumulated dividends on the Series D Preferred and Series B Preferred totaled approximately $0.2 million. All shares of the Series D Preferred and Series B Preferred are owned by the Golsen Holders. There are no optional or mandatory redemption rights with respect to the Series B Preferred or Series D Preferred.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products sold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we typically increase our inventory of HDAN prior to the beginning of each planting season. In addition, the amount and timing of sales to the agricultural markets depend upon weather conditions and other circumstances beyond our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2016, we have agreed to indemnify the sureties for payments, up to $10 million, made by them in respect of such bonds. All of these insurance bonds are expected to expire or be renewed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See “Critical Accounting Policies and Estimates,” Item 7 of our 2015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3 – Other Environmental Matters of Note 8 to the Condensed Consolidated Financial Statements in this Form 10-Q and the lawsuit styled </w:t>
      </w:r>
      <w:r>
        <w:rPr>
          <w:rFonts w:ascii="Arial" w:cs="Arial" w:eastAsia="Arial" w:hAnsi="Arial"/>
          <w:sz w:val="16"/>
          <w:szCs w:val="16"/>
          <w:i w:val="1"/>
          <w:iCs w:val="1"/>
          <w:color w:val="auto"/>
        </w:rPr>
        <w:t>City of West, Texas vs. CF Industries, Inc., et al.,</w:t>
      </w:r>
      <w:r>
        <w:rPr>
          <w:rFonts w:ascii="Arial" w:cs="Arial" w:eastAsia="Arial" w:hAnsi="Arial"/>
          <w:sz w:val="16"/>
          <w:szCs w:val="16"/>
          <w:color w:val="auto"/>
        </w:rPr>
        <w:t xml:space="preserve"> discussed under “Other Pending, Threatened or Settled Litigation” of Note 8. Currently, the carrying values of the redeemable preferred stocks are being increased by periodic accretions (recorded to retained earnings and included in determining income or loss per share) so that the carrying amount will equal the redemption value as of August 2, 2019, the earliest possible redemption date by the holder. However, this accretion could accelerate if the expected redemption date is earlier than August 2, 2019. It is reasonably possible that the estimates and assumptions utilized as of June 30, 2016 could change in the near-term.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2015 Form 10-K, we had certain contractual obligations, with various maturity dates, showing payments due for the next five years and thereafter related to the following:</w:t>
      </w:r>
    </w:p>
    <w:p>
      <w:pPr>
        <w:spacing w:after="0" w:line="62"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 Dorado facility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first six months of 2016, we entered into contracts to purchase 6.9 million MMBtu of natural gas through June 2018, which contracts are included in the discussion in Note 8 to the Condensed Consolidated Financial Statements in this Form 10-Q, and we entered into new and amended loan agreements as discussed above under “Liquidity and Capital Resources” of this Item 2.</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June 30, 2016, we had no embedded losses associated with sales commitments with firm sales prices.</w:t>
      </w:r>
    </w:p>
    <w:p>
      <w:pPr>
        <w:spacing w:after="0" w:line="28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June 30, 2016, we have a minimal amount of natural gas derivatives that did not meet the definition of a normal purchase and sale and therefore a $0.10 change in the natural gas price would have a minimal impact on our operating results.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June 30, 2016, the outstanding borrowings on this credit facility was $30.9 million. However, the outstanding balance was repaid on July 1, 2016 upon the closing of the sale of our Climate Control Group. We are also exposed to interest rate risk on variable rate borrowings for certain commercial loans in the amount of approximately $30.4 million. We currently do not hedge our interest rate risk associated with these variable interest loans.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2016. Based on this evaluation, the Company's Chief Executive Officer and Chief Financial Officer have concluded that the Company's disclosure controls and procedures were effective as of June 30, 2016, at the reasonable assurance level.</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second quarter of 2014, we began implementing a new ERP system in discreet phases, which phases have been completed for our significant continuing operations. The implementation did not impact the effectiveness of our internal control over financial reporting during the transition.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4"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 in projects that will generate best returns for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liquidity outlook;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outlook of our products and related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timing and impact on the nitrogen market from the current nitrogen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from the lack of non-seasonal volume in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is based upon service, price, location of production and distribution sites, and product quality and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outlook for the coal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 for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eliminating our external ammonia purchase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output and capacity of our existing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moderate risk inherent in agricultural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eliminating the current ammonia cost disadvantage;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from the El Dorado expansion;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our capital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pass to our customers cost increases in the form of higher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obtain ammonia from other 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when Turnarounds will be performed and completed;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Turnarounds during 2016;</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litigation and other contingencies;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benefits from the El Dorado expansion;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comply with debt servicing and covenants;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meet debt maturities or redemption obligations when due;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3"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in interpretation of such;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ammonia and natural gas;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unplanned downtime at one or more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production rates at any of our plants;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necessary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described in “Risk Factors” in our 2015 Form 10-K.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Ammonium nitrate.</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Arkansas Department of Environmental Quality.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Asset retirement obligation.</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 consent administrative order.</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Formerly Bayer MaterialScience, LLC., the party with whom our subsidiary in Baytown has entered into an</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agreement for supply of nitric acid through at least June 2021, the Covestro Agreement.</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Coffeyville Resources Nitrogen Fertilizers, LLC.</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The nitric acid production facility located in Baytown, Texas.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LSB and certain of its subsidiaries that are party to the Amended Working Capital Revolver Loan.</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Chemical Business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w w:val="91"/>
              </w:rPr>
              <w:t>LSB’s business segment that manufactures and sells nitrogen-based chemical products for the agricultural, industrial,</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and mining markets.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w w:val="96"/>
              </w:rPr>
              <w:t>- LSB’s business segment manufactures and sells a broad range of HVAC products that include water source and</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4"/>
              </w:rPr>
              <w:t>geothermal heat pumps, hydronic fan coils, large custom air handlers, modular geothermal and other chillers, and</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4"/>
              </w:rPr>
              <w:t>other related products and services, which assets and liabilities have been classified as held for sale and activities</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reported as discontinued operations for all periods presented.</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U.S. Department of Justice.</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El Dorado Chemical Company.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w w:val="95"/>
              </w:rPr>
              <w:t>Environmental and Health Laws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Numerous federal, state and local environmental, health and safety laws.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U.S. Environmental Protection Agency.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ERP</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Enterprise resource planning.</w:t>
            </w:r>
          </w:p>
        </w:tc>
      </w:tr>
      <w:tr>
        <w:trPr>
          <w:trHeight w:val="554"/>
        </w:trPr>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47</w:t>
            </w:r>
          </w:p>
        </w:tc>
      </w:tr>
      <w:tr>
        <w:trPr>
          <w:trHeight w:val="115"/>
        </w:trPr>
        <w:tc>
          <w:tcPr>
            <w:tcW w:w="2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0"/>
        </w:trPr>
        <w:tc>
          <w:tcPr>
            <w:tcW w:w="256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2"/>
              </w:rPr>
              <w:t>- Jack E. Golsen, our Executive Chairman of the Board, members of his immediate family, including Barry H. Golsen, a</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0"/>
              </w:rPr>
              <w:t>member of the Board, entities owned by them and trusts for which they possess voting or dispositive power as trustee.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High density ammonium nitrate prills used in the agricultural industry.</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Kansas Department of Health and Environment.</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23"/>
        </w:trPr>
        <w:tc>
          <w:tcPr>
            <w:tcW w:w="25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7"/>
              </w:rPr>
              <w:t>- The Series E Redeemable Preferred has a liquidation preference per share of $1,000 plus accrued and unpaid</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dividends plus the participation rights value.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LSB Industries, Inc.</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MMBtu</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Million Metric British thermal units.</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National Pollutant Discharge Elimination.</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Oklahoma Department of Environmental Quality.</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Orica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Orica International Pte Ltd.</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Pryor Chemical Company.</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Plant, property and equipment.</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U.S. Securities and Exchange Commission.</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323"/>
        </w:trPr>
        <w:tc>
          <w:tcPr>
            <w:tcW w:w="2560" w:type="dxa"/>
            <w:vAlign w:val="bottom"/>
          </w:tcPr>
          <w:p>
            <w:pPr>
              <w:spacing w:after="0"/>
              <w:rPr>
                <w:sz w:val="20"/>
                <w:szCs w:val="20"/>
                <w:color w:val="auto"/>
              </w:rPr>
            </w:pPr>
            <w:r>
              <w:rPr>
                <w:rFonts w:ascii="Arial" w:cs="Arial" w:eastAsia="Arial" w:hAnsi="Arial"/>
                <w:sz w:val="18"/>
                <w:szCs w:val="18"/>
                <w:b w:val="1"/>
                <w:bCs w:val="1"/>
                <w:color w:val="auto"/>
                <w:w w:val="95"/>
              </w:rPr>
              <w:t>Series E Redeemable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6"/>
              </w:rPr>
              <w:t>- The $210 million 14% Series E Redeemable Preferred stock with participating rights and liquidating distributions</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equal to 456,225 shares of our common stock.</w:t>
            </w:r>
          </w:p>
        </w:tc>
      </w:tr>
      <w:tr>
        <w:trPr>
          <w:trHeight w:val="323"/>
        </w:trPr>
        <w:tc>
          <w:tcPr>
            <w:tcW w:w="2560" w:type="dxa"/>
            <w:vAlign w:val="bottom"/>
          </w:tcPr>
          <w:p>
            <w:pPr>
              <w:spacing w:after="0"/>
              <w:rPr>
                <w:sz w:val="20"/>
                <w:szCs w:val="20"/>
                <w:color w:val="auto"/>
              </w:rPr>
            </w:pPr>
            <w:r>
              <w:rPr>
                <w:rFonts w:ascii="Arial" w:cs="Arial" w:eastAsia="Arial" w:hAnsi="Arial"/>
                <w:sz w:val="18"/>
                <w:szCs w:val="18"/>
                <w:b w:val="1"/>
                <w:bCs w:val="1"/>
                <w:color w:val="auto"/>
                <w:w w:val="95"/>
              </w:rPr>
              <w:t>Series F Redeemable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3"/>
              </w:rPr>
              <w:t>- The Series F Redeemable Preferred stock have one share to vote as a single class on all matters with our common</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stock equal to 456,225 shares of our common stock.</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7.75% Senior Secured Notes</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$425 million aggregate principal amount of 7.75% Senior Secured Notes due August 1, 2019.</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12% Senior Secured Notes</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$50 million aggregate principal amount of 12% Senior Secured Notes due August 1, 2019.</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A planned major maintenance activity.</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Urea ammonium nitrate.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United States.</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Warrant</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A warrant to purchase 4,103,746 shares of our common stock at a par value $0.10.</w:t>
            </w:r>
          </w:p>
        </w:tc>
      </w:tr>
      <w:tr>
        <w:trPr>
          <w:trHeight w:val="319"/>
        </w:trPr>
        <w:tc>
          <w:tcPr>
            <w:tcW w:w="256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The senior secured revolving credit facility.</w:t>
            </w: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260" w:type="dxa"/>
            <w:vAlign w:val="bottom"/>
          </w:tcPr>
          <w:p>
            <w:pPr>
              <w:spacing w:after="0"/>
              <w:rPr>
                <w:sz w:val="20"/>
                <w:szCs w:val="20"/>
                <w:color w:val="auto"/>
              </w:rPr>
            </w:pPr>
          </w:p>
        </w:tc>
        <w:tc>
          <w:tcPr>
            <w:tcW w:w="8620" w:type="dxa"/>
            <w:vAlign w:val="bottom"/>
          </w:tcPr>
          <w:p>
            <w:pPr>
              <w:spacing w:after="0"/>
              <w:rPr>
                <w:sz w:val="20"/>
                <w:szCs w:val="20"/>
                <w:color w:val="auto"/>
              </w:rPr>
            </w:pPr>
          </w:p>
        </w:tc>
      </w:tr>
      <w:tr>
        <w:trPr>
          <w:trHeight w:val="837"/>
        </w:trPr>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48</w:t>
            </w:r>
          </w:p>
        </w:tc>
      </w:tr>
      <w:tr>
        <w:trPr>
          <w:trHeight w:val="115"/>
        </w:trPr>
        <w:tc>
          <w:tcPr>
            <w:tcW w:w="2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IRS. For further discussion of our legal matters, see “Note 8—Commitments and Contingencies—Legal Matters” in the Notes to the Condensed Consolidated Financial Statements in this Form 10-Q.</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for our Chemical Business in order to comply with current and possible future government regulations.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enough, could lead some of our customers to choose other products to ammonia and AN, which would have a significant adverse effect on our Chemical Business.</w:t>
      </w:r>
    </w:p>
    <w:p>
      <w:pPr>
        <w:spacing w:after="0" w:line="80" w:lineRule="exact"/>
        <w:rPr>
          <w:sz w:val="20"/>
          <w:szCs w:val="20"/>
          <w:color w:val="auto"/>
        </w:rPr>
      </w:pPr>
    </w:p>
    <w:p>
      <w:pPr>
        <w:jc w:val="both"/>
        <w:ind w:left="1040" w:hanging="519"/>
        <w:spacing w:after="0" w:line="269"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The proposed rule did not promulgate in 2015 and DHS may be considering significant changes compared to the original proposed rule. DHS has not finalized this rule, and has indicated that its next action, and the timing of such an action, is undetermined. Although we cannot predict the timing or content of any DHS regulation, we believe implementation of a final rule appears unlikely in 2016.</w:t>
      </w:r>
    </w:p>
    <w:p>
      <w:pPr>
        <w:spacing w:after="0" w:line="74" w:lineRule="exact"/>
        <w:rPr>
          <w:rFonts w:ascii="Arial" w:cs="Arial" w:eastAsia="Arial" w:hAnsi="Arial"/>
          <w:sz w:val="17"/>
          <w:szCs w:val="17"/>
          <w:color w:val="auto"/>
        </w:rPr>
      </w:pPr>
    </w:p>
    <w:p>
      <w:pPr>
        <w:jc w:val="both"/>
        <w:ind w:left="1040"/>
        <w:spacing w:after="0" w:line="254" w:lineRule="auto"/>
        <w:rPr>
          <w:rFonts w:ascii="Arial" w:cs="Arial" w:eastAsia="Arial" w:hAnsi="Arial"/>
          <w:sz w:val="17"/>
          <w:szCs w:val="17"/>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April 2013 explosion at West, Texas. The President directed federal agencies to enhance existing regulations and make recommendations to the U.S. Congress to develop new laws that may affect our Chemical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processes and products in our Chemical Business.</w:t>
      </w:r>
    </w:p>
    <w:p>
      <w:pPr>
        <w:spacing w:after="0" w:line="84" w:lineRule="exact"/>
        <w:rPr>
          <w:rFonts w:ascii="Arial" w:cs="Arial" w:eastAsia="Arial" w:hAnsi="Arial"/>
          <w:sz w:val="17"/>
          <w:szCs w:val="17"/>
          <w:color w:val="auto"/>
        </w:rPr>
      </w:pPr>
    </w:p>
    <w:p>
      <w:pPr>
        <w:jc w:val="both"/>
        <w:ind w:left="1040"/>
        <w:spacing w:after="0" w:line="288" w:lineRule="auto"/>
        <w:rPr>
          <w:rFonts w:ascii="Arial" w:cs="Arial" w:eastAsia="Arial" w:hAnsi="Arial"/>
          <w:sz w:val="17"/>
          <w:szCs w:val="17"/>
          <w:color w:val="auto"/>
        </w:rPr>
      </w:pPr>
      <w:r>
        <w:rPr>
          <w:rFonts w:ascii="Arial" w:cs="Arial" w:eastAsia="Arial" w:hAnsi="Arial"/>
          <w:sz w:val="16"/>
          <w:szCs w:val="16"/>
          <w:color w:val="auto"/>
        </w:rPr>
        <w:t>In March 2016, the EPA proposed revisions to its Risk Management Program. The proposed revisions include several changes to accidental-release prevention requirements, including requirements to complete third-party audits of a program following an accident, consider inherently safer technology during hazard assessments, conduct a root cause analysis assessing how management failures lead to the incident, take corrective actions for the root cause identified, and broader information-sharing requirements with emergency planners and the public. The EPA intends to finalize this rule by the end of the year. Depending on the provisions of the final regulation to be promulgated by the EPA and on our ability to pass these costs to our customers, these requirements may have a negative effect on the profitability of our AN business. OSHA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businesses, operations, liquidity or financial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19, 2016, warrants to purchase 4,103,746 shares of our common stock were exercised at an exercise price of $0.10 per share using a cashless, or net, exercise. Accordingly, we issued 4,069,324 shares of common stock. The issuance of the shares was made in reliance on the exemption from registration provided under Section 4(a)(2) of the Securities Act.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1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71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sectPr>
      </w:pPr>
    </w:p>
    <w:p>
      <w:pPr>
        <w:ind w:left="1280" w:hanging="1099"/>
        <w:spacing w:after="0" w:line="277" w:lineRule="auto"/>
        <w:tabs>
          <w:tab w:leader="none" w:pos="1260" w:val="left"/>
        </w:tabs>
        <w:rPr>
          <w:sz w:val="20"/>
          <w:szCs w:val="20"/>
          <w:color w:val="auto"/>
        </w:rPr>
      </w:pPr>
      <w:r>
        <w:rPr>
          <w:rFonts w:ascii="Arial" w:cs="Arial" w:eastAsia="Arial" w:hAnsi="Arial"/>
          <w:sz w:val="18"/>
          <w:szCs w:val="18"/>
          <w:color w:val="auto"/>
        </w:rPr>
        <w:t>3(i)</w:t>
      </w:r>
      <w:r>
        <w:rPr>
          <w:sz w:val="20"/>
          <w:szCs w:val="20"/>
          <w:color w:val="auto"/>
        </w:rPr>
        <w:tab/>
      </w:r>
      <w:r>
        <w:rPr>
          <w:rFonts w:ascii="Arial" w:cs="Arial" w:eastAsia="Arial" w:hAnsi="Arial"/>
          <w:sz w:val="18"/>
          <w:szCs w:val="18"/>
          <w:color w:val="auto"/>
        </w:rPr>
        <w:t>Restated Certificate of Incorporation, as amended, which the Company hereby incorporates by reference from</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Exhibit 3(i).1 to the Company’s Form 10-K for the fiscal year ended December 31, 2012, filed February 28, 2013</w:t>
      </w:r>
    </w:p>
    <w:p>
      <w:pPr>
        <w:spacing w:after="0" w:line="92"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089"/>
        <w:spacing w:after="0" w:line="277" w:lineRule="auto"/>
        <w:tabs>
          <w:tab w:leader="none" w:pos="1260" w:val="left"/>
        </w:tabs>
        <w:rPr>
          <w:sz w:val="20"/>
          <w:szCs w:val="20"/>
          <w:color w:val="auto"/>
        </w:rPr>
      </w:pPr>
      <w:r>
        <w:rPr>
          <w:rFonts w:ascii="Arial" w:cs="Arial" w:eastAsia="Arial" w:hAnsi="Arial"/>
          <w:sz w:val="18"/>
          <w:szCs w:val="18"/>
          <w:color w:val="auto"/>
        </w:rPr>
        <w:t>3(ii).1</w:t>
      </w:r>
      <w:r>
        <w:rPr>
          <w:sz w:val="20"/>
          <w:szCs w:val="20"/>
          <w:color w:val="auto"/>
        </w:rPr>
        <w:tab/>
      </w:r>
      <w:r>
        <w:rPr>
          <w:rFonts w:ascii="Arial" w:cs="Arial" w:eastAsia="Arial" w:hAnsi="Arial"/>
          <w:sz w:val="18"/>
          <w:szCs w:val="18"/>
          <w:color w:val="auto"/>
        </w:rPr>
        <w:t>Amended and Restated Bylaws of LSB Industries, Inc. dated August 20, 2009, as amended February 18, 2010, January 17, 2014, February 4, 2014 and August 21, 2014</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Exhibit 3(ii).1 to the Company’s Form 8-K filed August 27, 2014</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089"/>
        <w:spacing w:after="0" w:line="277" w:lineRule="auto"/>
        <w:tabs>
          <w:tab w:leader="none" w:pos="1260" w:val="left"/>
        </w:tabs>
        <w:rPr>
          <w:sz w:val="20"/>
          <w:szCs w:val="20"/>
          <w:color w:val="auto"/>
        </w:rPr>
      </w:pPr>
      <w:r>
        <w:rPr>
          <w:rFonts w:ascii="Arial" w:cs="Arial" w:eastAsia="Arial" w:hAnsi="Arial"/>
          <w:sz w:val="18"/>
          <w:szCs w:val="18"/>
          <w:color w:val="auto"/>
        </w:rPr>
        <w:t>3(ii).2</w:t>
      </w:r>
      <w:r>
        <w:rPr>
          <w:sz w:val="20"/>
          <w:szCs w:val="20"/>
          <w:color w:val="auto"/>
        </w:rPr>
        <w:tab/>
      </w:r>
      <w:r>
        <w:rPr>
          <w:rFonts w:ascii="Arial" w:cs="Arial" w:eastAsia="Arial" w:hAnsi="Arial"/>
          <w:sz w:val="18"/>
          <w:szCs w:val="18"/>
          <w:color w:val="auto"/>
        </w:rPr>
        <w:t>Fifth Amendment to the Amended and Restated Bylaws of LSB Industries, Inc., dated as of April 26, 2015</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April 30, 2015</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089"/>
        <w:spacing w:after="0" w:line="277" w:lineRule="auto"/>
        <w:tabs>
          <w:tab w:leader="none" w:pos="1260" w:val="left"/>
        </w:tabs>
        <w:rPr>
          <w:sz w:val="20"/>
          <w:szCs w:val="20"/>
          <w:color w:val="auto"/>
        </w:rPr>
      </w:pPr>
      <w:r>
        <w:rPr>
          <w:rFonts w:ascii="Arial" w:cs="Arial" w:eastAsia="Arial" w:hAnsi="Arial"/>
          <w:sz w:val="18"/>
          <w:szCs w:val="18"/>
          <w:color w:val="auto"/>
        </w:rPr>
        <w:t>3(ii).3</w:t>
      </w:r>
      <w:r>
        <w:rPr>
          <w:sz w:val="20"/>
          <w:szCs w:val="20"/>
          <w:color w:val="auto"/>
        </w:rPr>
        <w:tab/>
      </w:r>
      <w:r>
        <w:rPr>
          <w:rFonts w:ascii="Arial" w:cs="Arial" w:eastAsia="Arial" w:hAnsi="Arial"/>
          <w:sz w:val="18"/>
          <w:szCs w:val="18"/>
          <w:color w:val="auto"/>
        </w:rPr>
        <w:t>Sixth Amendment to the Amended and Restated Bylaws of LSB Industries, Inc., dated as of December 2, 2015</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December 8, 2015</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ind w:left="1280" w:hanging="1089"/>
        <w:spacing w:after="0" w:line="277" w:lineRule="auto"/>
        <w:tabs>
          <w:tab w:leader="none" w:pos="1260" w:val="left"/>
        </w:tabs>
        <w:rPr>
          <w:sz w:val="20"/>
          <w:szCs w:val="20"/>
          <w:color w:val="auto"/>
        </w:rPr>
      </w:pPr>
      <w:r>
        <w:rPr>
          <w:rFonts w:ascii="Arial" w:cs="Arial" w:eastAsia="Arial" w:hAnsi="Arial"/>
          <w:sz w:val="18"/>
          <w:szCs w:val="18"/>
          <w:color w:val="auto"/>
        </w:rPr>
        <w:t>3(ii).4</w:t>
      </w:r>
      <w:r>
        <w:rPr>
          <w:sz w:val="20"/>
          <w:szCs w:val="20"/>
          <w:color w:val="auto"/>
        </w:rPr>
        <w:tab/>
      </w:r>
      <w:r>
        <w:rPr>
          <w:rFonts w:ascii="Arial" w:cs="Arial" w:eastAsia="Arial" w:hAnsi="Arial"/>
          <w:sz w:val="18"/>
          <w:szCs w:val="18"/>
          <w:color w:val="auto"/>
        </w:rPr>
        <w:t>Seventh Amendment to the Amended and Restated Bylaws of LSB Industries, Inc., dated as of December 22, 2015</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3(ii) to the Company’s Form 8-K filed December 29, 2015</w:t>
      </w:r>
    </w:p>
    <w:p>
      <w:pPr>
        <w:spacing w:after="0" w:line="76"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40" w:type="dxa"/>
            <w:vAlign w:val="bottom"/>
          </w:tcPr>
          <w:p>
            <w:pPr>
              <w:jc w:val="right"/>
              <w:ind w:right="430"/>
              <w:spacing w:after="0"/>
              <w:rPr>
                <w:sz w:val="20"/>
                <w:szCs w:val="20"/>
                <w:color w:val="auto"/>
              </w:rPr>
            </w:pPr>
            <w:r>
              <w:rPr>
                <w:rFonts w:ascii="Arial" w:cs="Arial" w:eastAsia="Arial" w:hAnsi="Arial"/>
                <w:sz w:val="18"/>
                <w:szCs w:val="18"/>
                <w:color w:val="auto"/>
              </w:rPr>
              <w:t>2.1</w:t>
            </w:r>
          </w:p>
        </w:tc>
        <w:tc>
          <w:tcPr>
            <w:tcW w:w="7580" w:type="dxa"/>
            <w:vAlign w:val="bottom"/>
          </w:tcPr>
          <w:p>
            <w:pPr>
              <w:ind w:left="340"/>
              <w:spacing w:after="0"/>
              <w:rPr>
                <w:sz w:val="20"/>
                <w:szCs w:val="20"/>
                <w:color w:val="auto"/>
              </w:rPr>
            </w:pPr>
            <w:r>
              <w:rPr>
                <w:rFonts w:ascii="Arial" w:cs="Arial" w:eastAsia="Arial" w:hAnsi="Arial"/>
                <w:sz w:val="18"/>
                <w:szCs w:val="18"/>
                <w:color w:val="auto"/>
                <w:w w:val="95"/>
              </w:rPr>
              <w:t>Stock Purchase Agreement by and among Consolidated Industries L.L.C., The Climate Control</w:t>
            </w:r>
          </w:p>
        </w:tc>
        <w:tc>
          <w:tcPr>
            <w:tcW w:w="2900" w:type="dxa"/>
            <w:vAlign w:val="bottom"/>
            <w:gridSpan w:val="5"/>
          </w:tcPr>
          <w:p>
            <w:pPr>
              <w:ind w:left="60"/>
              <w:spacing w:after="0"/>
              <w:rPr>
                <w:sz w:val="20"/>
                <w:szCs w:val="20"/>
                <w:color w:val="auto"/>
              </w:rPr>
            </w:pPr>
            <w:r>
              <w:rPr>
                <w:rFonts w:ascii="Arial" w:cs="Arial" w:eastAsia="Arial" w:hAnsi="Arial"/>
                <w:sz w:val="18"/>
                <w:szCs w:val="18"/>
                <w:color w:val="auto"/>
                <w:w w:val="91"/>
              </w:rPr>
              <w:t>Exhibit 10.1 to the Company’s Form 8-</w:t>
            </w:r>
          </w:p>
        </w:tc>
      </w:tr>
      <w:tr>
        <w:trPr>
          <w:trHeight w:val="216"/>
        </w:trPr>
        <w:tc>
          <w:tcPr>
            <w:tcW w:w="84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w w:val="94"/>
              </w:rPr>
              <w:t>Group, Inc., NIBE Energy Systems Inc. and, solely for purposes of Sections 6.8, 6.19 and 11.15</w:t>
            </w:r>
          </w:p>
        </w:tc>
        <w:tc>
          <w:tcPr>
            <w:tcW w:w="1740" w:type="dxa"/>
            <w:vAlign w:val="bottom"/>
            <w:gridSpan w:val="3"/>
          </w:tcPr>
          <w:p>
            <w:pPr>
              <w:ind w:left="60"/>
              <w:spacing w:after="0"/>
              <w:rPr>
                <w:sz w:val="20"/>
                <w:szCs w:val="20"/>
                <w:color w:val="auto"/>
              </w:rPr>
            </w:pPr>
            <w:r>
              <w:rPr>
                <w:rFonts w:ascii="Arial" w:cs="Arial" w:eastAsia="Arial" w:hAnsi="Arial"/>
                <w:sz w:val="18"/>
                <w:szCs w:val="18"/>
                <w:color w:val="auto"/>
                <w:w w:val="94"/>
              </w:rPr>
              <w:t>K Filed May 13, 2016.</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w w:val="93"/>
              </w:rPr>
              <w:t>therein, LSB Industries, Inc., and solely for purposes of Section 11.16 therein, NIBE Industrier AB</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(publ), dated as of May 11, 2016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661"/>
        </w:trPr>
        <w:tc>
          <w:tcPr>
            <w:tcW w:w="840" w:type="dxa"/>
            <w:vAlign w:val="bottom"/>
          </w:tcPr>
          <w:p>
            <w:pPr>
              <w:jc w:val="right"/>
              <w:ind w:right="430"/>
              <w:spacing w:after="0"/>
              <w:rPr>
                <w:sz w:val="20"/>
                <w:szCs w:val="20"/>
                <w:color w:val="auto"/>
              </w:rPr>
            </w:pPr>
            <w:r>
              <w:rPr>
                <w:rFonts w:ascii="Arial" w:cs="Arial" w:eastAsia="Arial" w:hAnsi="Arial"/>
                <w:sz w:val="18"/>
                <w:szCs w:val="18"/>
                <w:color w:val="auto"/>
              </w:rPr>
              <w:t>4.1</w:t>
            </w:r>
          </w:p>
        </w:tc>
        <w:tc>
          <w:tcPr>
            <w:tcW w:w="7580" w:type="dxa"/>
            <w:vAlign w:val="bottom"/>
          </w:tcPr>
          <w:p>
            <w:pPr>
              <w:ind w:left="340"/>
              <w:spacing w:after="0"/>
              <w:rPr>
                <w:sz w:val="20"/>
                <w:szCs w:val="20"/>
                <w:color w:val="auto"/>
              </w:rPr>
            </w:pPr>
            <w:r>
              <w:rPr>
                <w:rFonts w:ascii="Arial" w:cs="Arial" w:eastAsia="Arial" w:hAnsi="Arial"/>
                <w:sz w:val="18"/>
                <w:szCs w:val="18"/>
                <w:color w:val="auto"/>
              </w:rPr>
              <w:t>Form of Incentive Stock Option Agreement of LSB Industries, Inc.</w:t>
            </w:r>
          </w:p>
        </w:tc>
        <w:tc>
          <w:tcPr>
            <w:tcW w:w="2900" w:type="dxa"/>
            <w:vAlign w:val="bottom"/>
            <w:gridSpan w:val="5"/>
          </w:tcPr>
          <w:p>
            <w:pPr>
              <w:ind w:left="60"/>
              <w:spacing w:after="0"/>
              <w:rPr>
                <w:sz w:val="20"/>
                <w:szCs w:val="20"/>
                <w:color w:val="auto"/>
              </w:rPr>
            </w:pPr>
            <w:r>
              <w:rPr>
                <w:rFonts w:ascii="Arial" w:cs="Arial" w:eastAsia="Arial" w:hAnsi="Arial"/>
                <w:sz w:val="18"/>
                <w:szCs w:val="18"/>
                <w:color w:val="auto"/>
                <w:w w:val="98"/>
              </w:rPr>
              <w:t>Exhibit 10.8 to the Company’s Form</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Arial" w:cs="Arial" w:eastAsia="Arial" w:hAnsi="Arial"/>
                <w:sz w:val="18"/>
                <w:szCs w:val="18"/>
                <w:color w:val="auto"/>
              </w:rPr>
              <w:t>10-K  for  the  fiscal  year  ended</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Arial" w:cs="Arial" w:eastAsia="Arial" w:hAnsi="Arial"/>
                <w:sz w:val="18"/>
                <w:szCs w:val="18"/>
                <w:color w:val="auto"/>
                <w:w w:val="91"/>
              </w:rPr>
              <w:t>December 31, 2015, filed February 29,</w:t>
            </w:r>
          </w:p>
        </w:tc>
      </w:tr>
      <w:tr>
        <w:trPr>
          <w:trHeight w:val="230"/>
        </w:trPr>
        <w:tc>
          <w:tcPr>
            <w:tcW w:w="8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9"/>
              </w:rPr>
              <w:t>2016</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3"/>
        </w:trPr>
        <w:tc>
          <w:tcPr>
            <w:tcW w:w="840" w:type="dxa"/>
            <w:vAlign w:val="bottom"/>
          </w:tcPr>
          <w:p>
            <w:pPr>
              <w:jc w:val="right"/>
              <w:ind w:right="430"/>
              <w:spacing w:after="0"/>
              <w:rPr>
                <w:sz w:val="20"/>
                <w:szCs w:val="20"/>
                <w:color w:val="auto"/>
              </w:rPr>
            </w:pPr>
            <w:r>
              <w:rPr>
                <w:rFonts w:ascii="Arial" w:cs="Arial" w:eastAsia="Arial" w:hAnsi="Arial"/>
                <w:sz w:val="18"/>
                <w:szCs w:val="18"/>
                <w:color w:val="auto"/>
              </w:rPr>
              <w:t>4.2</w:t>
            </w:r>
          </w:p>
        </w:tc>
        <w:tc>
          <w:tcPr>
            <w:tcW w:w="7580" w:type="dxa"/>
            <w:vAlign w:val="bottom"/>
          </w:tcPr>
          <w:p>
            <w:pPr>
              <w:ind w:left="340"/>
              <w:spacing w:after="0"/>
              <w:rPr>
                <w:sz w:val="20"/>
                <w:szCs w:val="20"/>
                <w:color w:val="auto"/>
              </w:rPr>
            </w:pPr>
            <w:r>
              <w:rPr>
                <w:rFonts w:ascii="Arial" w:cs="Arial" w:eastAsia="Arial" w:hAnsi="Arial"/>
                <w:sz w:val="18"/>
                <w:szCs w:val="18"/>
                <w:color w:val="auto"/>
              </w:rPr>
              <w:t>Form of Restricted Stock Agreement of LSB Industries, Inc.</w:t>
            </w:r>
          </w:p>
        </w:tc>
        <w:tc>
          <w:tcPr>
            <w:tcW w:w="2900" w:type="dxa"/>
            <w:vAlign w:val="bottom"/>
            <w:gridSpan w:val="5"/>
          </w:tcPr>
          <w:p>
            <w:pPr>
              <w:ind w:left="60"/>
              <w:spacing w:after="0"/>
              <w:rPr>
                <w:sz w:val="20"/>
                <w:szCs w:val="20"/>
                <w:color w:val="auto"/>
              </w:rPr>
            </w:pPr>
            <w:r>
              <w:rPr>
                <w:rFonts w:ascii="Arial" w:cs="Arial" w:eastAsia="Arial" w:hAnsi="Arial"/>
                <w:sz w:val="18"/>
                <w:szCs w:val="18"/>
                <w:color w:val="auto"/>
                <w:w w:val="91"/>
              </w:rPr>
              <w:t>Exhibit 10.3 to the Company’s Form 8-</w:t>
            </w:r>
          </w:p>
        </w:tc>
      </w:tr>
      <w:tr>
        <w:trPr>
          <w:trHeight w:val="230"/>
        </w:trPr>
        <w:tc>
          <w:tcPr>
            <w:tcW w:w="8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0" w:type="dxa"/>
            <w:vAlign w:val="bottom"/>
            <w:gridSpan w:val="4"/>
          </w:tcPr>
          <w:p>
            <w:pPr>
              <w:ind w:left="60"/>
              <w:spacing w:after="0"/>
              <w:rPr>
                <w:sz w:val="20"/>
                <w:szCs w:val="20"/>
                <w:color w:val="auto"/>
              </w:rPr>
            </w:pPr>
            <w:r>
              <w:rPr>
                <w:rFonts w:ascii="Arial" w:cs="Arial" w:eastAsia="Arial" w:hAnsi="Arial"/>
                <w:sz w:val="18"/>
                <w:szCs w:val="18"/>
                <w:color w:val="auto"/>
              </w:rPr>
              <w:t>K, filed January 8, 2016</w:t>
            </w:r>
          </w:p>
        </w:tc>
        <w:tc>
          <w:tcPr>
            <w:tcW w:w="700" w:type="dxa"/>
            <w:vAlign w:val="bottom"/>
          </w:tcPr>
          <w:p>
            <w:pPr>
              <w:spacing w:after="0"/>
              <w:rPr>
                <w:sz w:val="20"/>
                <w:szCs w:val="20"/>
                <w:color w:val="auto"/>
              </w:rPr>
            </w:pPr>
          </w:p>
        </w:tc>
      </w:tr>
      <w:tr>
        <w:trPr>
          <w:trHeight w:val="323"/>
        </w:trPr>
        <w:tc>
          <w:tcPr>
            <w:tcW w:w="840" w:type="dxa"/>
            <w:vAlign w:val="bottom"/>
          </w:tcPr>
          <w:p>
            <w:pPr>
              <w:jc w:val="right"/>
              <w:ind w:right="430"/>
              <w:spacing w:after="0"/>
              <w:rPr>
                <w:sz w:val="20"/>
                <w:szCs w:val="20"/>
                <w:color w:val="auto"/>
              </w:rPr>
            </w:pPr>
            <w:r>
              <w:rPr>
                <w:rFonts w:ascii="Arial" w:cs="Arial" w:eastAsia="Arial" w:hAnsi="Arial"/>
                <w:sz w:val="18"/>
                <w:szCs w:val="18"/>
                <w:color w:val="auto"/>
              </w:rPr>
              <w:t>4.3</w:t>
            </w:r>
          </w:p>
        </w:tc>
        <w:tc>
          <w:tcPr>
            <w:tcW w:w="7580" w:type="dxa"/>
            <w:vAlign w:val="bottom"/>
          </w:tcPr>
          <w:p>
            <w:pPr>
              <w:ind w:left="340"/>
              <w:spacing w:after="0"/>
              <w:rPr>
                <w:sz w:val="20"/>
                <w:szCs w:val="20"/>
                <w:color w:val="auto"/>
              </w:rPr>
            </w:pPr>
            <w:r>
              <w:rPr>
                <w:rFonts w:ascii="Arial" w:cs="Arial" w:eastAsia="Arial" w:hAnsi="Arial"/>
                <w:sz w:val="18"/>
                <w:szCs w:val="18"/>
                <w:color w:val="auto"/>
              </w:rPr>
              <w:t>LSB Industries, Inc. 2016 Long Term Incentive Plan</w:t>
            </w:r>
          </w:p>
        </w:tc>
        <w:tc>
          <w:tcPr>
            <w:tcW w:w="2900" w:type="dxa"/>
            <w:vAlign w:val="bottom"/>
            <w:gridSpan w:val="5"/>
          </w:tcPr>
          <w:p>
            <w:pPr>
              <w:ind w:left="60"/>
              <w:spacing w:after="0"/>
              <w:rPr>
                <w:sz w:val="20"/>
                <w:szCs w:val="20"/>
                <w:color w:val="auto"/>
              </w:rPr>
            </w:pPr>
            <w:r>
              <w:rPr>
                <w:rFonts w:ascii="Arial" w:cs="Arial" w:eastAsia="Arial" w:hAnsi="Arial"/>
                <w:sz w:val="18"/>
                <w:szCs w:val="18"/>
                <w:color w:val="auto"/>
                <w:w w:val="94"/>
              </w:rPr>
              <w:t>Exhibit 4.8 to the Company’s Form S-</w:t>
            </w:r>
          </w:p>
        </w:tc>
      </w:tr>
      <w:tr>
        <w:trPr>
          <w:trHeight w:val="230"/>
        </w:trPr>
        <w:tc>
          <w:tcPr>
            <w:tcW w:w="8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color w:val="auto"/>
                <w:w w:val="96"/>
              </w:rPr>
              <w:t>8, filed June 28, 2016</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23"/>
        </w:trPr>
        <w:tc>
          <w:tcPr>
            <w:tcW w:w="840" w:type="dxa"/>
            <w:vAlign w:val="bottom"/>
          </w:tcPr>
          <w:p>
            <w:pPr>
              <w:jc w:val="right"/>
              <w:ind w:right="230"/>
              <w:spacing w:after="0"/>
              <w:rPr>
                <w:sz w:val="20"/>
                <w:szCs w:val="20"/>
                <w:color w:val="auto"/>
              </w:rPr>
            </w:pPr>
            <w:r>
              <w:rPr>
                <w:rFonts w:ascii="Arial" w:cs="Arial" w:eastAsia="Arial" w:hAnsi="Arial"/>
                <w:sz w:val="18"/>
                <w:szCs w:val="18"/>
                <w:color w:val="auto"/>
                <w:w w:val="87"/>
              </w:rPr>
              <w:t>10.1(a)</w:t>
            </w:r>
          </w:p>
        </w:tc>
        <w:tc>
          <w:tcPr>
            <w:tcW w:w="7580" w:type="dxa"/>
            <w:vAlign w:val="bottom"/>
          </w:tcPr>
          <w:p>
            <w:pPr>
              <w:ind w:left="340"/>
              <w:spacing w:after="0"/>
              <w:rPr>
                <w:sz w:val="20"/>
                <w:szCs w:val="20"/>
                <w:color w:val="auto"/>
              </w:rPr>
            </w:pPr>
            <w:r>
              <w:rPr>
                <w:rFonts w:ascii="Arial" w:cs="Arial" w:eastAsia="Arial" w:hAnsi="Arial"/>
                <w:sz w:val="18"/>
                <w:szCs w:val="18"/>
                <w:color w:val="auto"/>
                <w:w w:val="91"/>
              </w:rPr>
              <w:t>Urea Ammonium Nitrate Purchase and Sale Agreement dated as of March 3, 2016 and effective as</w:t>
            </w:r>
          </w:p>
        </w:tc>
        <w:tc>
          <w:tcPr>
            <w:tcW w:w="2900" w:type="dxa"/>
            <w:vAlign w:val="bottom"/>
            <w:gridSpan w:val="5"/>
          </w:tcPr>
          <w:p>
            <w:pPr>
              <w:ind w:left="60"/>
              <w:spacing w:after="0"/>
              <w:rPr>
                <w:sz w:val="20"/>
                <w:szCs w:val="20"/>
                <w:color w:val="auto"/>
              </w:rPr>
            </w:pPr>
            <w:r>
              <w:rPr>
                <w:rFonts w:ascii="Arial" w:cs="Arial" w:eastAsia="Arial" w:hAnsi="Arial"/>
                <w:sz w:val="18"/>
                <w:szCs w:val="18"/>
                <w:color w:val="auto"/>
              </w:rPr>
              <w:t>CERTAIN INFORMATION WITHIN</w:t>
            </w:r>
          </w:p>
        </w:tc>
      </w:tr>
      <w:tr>
        <w:trPr>
          <w:trHeight w:val="216"/>
        </w:trPr>
        <w:tc>
          <w:tcPr>
            <w:tcW w:w="84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w w:val="97"/>
              </w:rPr>
              <w:t>of June 1, 2016 between Coffeyville Resources Nitrogen Fertilizers, LLC and Pryor Chemical</w:t>
            </w:r>
          </w:p>
        </w:tc>
        <w:tc>
          <w:tcPr>
            <w:tcW w:w="480" w:type="dxa"/>
            <w:vAlign w:val="bottom"/>
          </w:tcPr>
          <w:p>
            <w:pPr>
              <w:ind w:left="60"/>
              <w:spacing w:after="0"/>
              <w:rPr>
                <w:sz w:val="20"/>
                <w:szCs w:val="20"/>
                <w:color w:val="auto"/>
              </w:rPr>
            </w:pPr>
            <w:r>
              <w:rPr>
                <w:rFonts w:ascii="Arial" w:cs="Arial" w:eastAsia="Arial" w:hAnsi="Arial"/>
                <w:sz w:val="18"/>
                <w:szCs w:val="18"/>
                <w:color w:val="auto"/>
                <w:w w:val="97"/>
              </w:rPr>
              <w:t>THIS</w:t>
            </w:r>
          </w:p>
        </w:tc>
        <w:tc>
          <w:tcPr>
            <w:tcW w:w="22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EXHIBIT</w:t>
            </w:r>
          </w:p>
        </w:tc>
        <w:tc>
          <w:tcPr>
            <w:tcW w:w="460" w:type="dxa"/>
            <w:vAlign w:val="bottom"/>
          </w:tcPr>
          <w:p>
            <w:pPr>
              <w:ind w:left="20"/>
              <w:spacing w:after="0"/>
              <w:rPr>
                <w:sz w:val="20"/>
                <w:szCs w:val="20"/>
                <w:color w:val="auto"/>
              </w:rPr>
            </w:pPr>
            <w:r>
              <w:rPr>
                <w:rFonts w:ascii="Arial" w:cs="Arial" w:eastAsia="Arial" w:hAnsi="Arial"/>
                <w:sz w:val="18"/>
                <w:szCs w:val="18"/>
                <w:color w:val="auto"/>
              </w:rPr>
              <w:t>HAS</w:t>
            </w:r>
          </w:p>
        </w:tc>
        <w:tc>
          <w:tcPr>
            <w:tcW w:w="700" w:type="dxa"/>
            <w:vAlign w:val="bottom"/>
          </w:tcPr>
          <w:p>
            <w:pPr>
              <w:jc w:val="right"/>
              <w:spacing w:after="0"/>
              <w:rPr>
                <w:sz w:val="20"/>
                <w:szCs w:val="20"/>
                <w:color w:val="auto"/>
              </w:rPr>
            </w:pPr>
            <w:r>
              <w:rPr>
                <w:rFonts w:ascii="Arial" w:cs="Arial" w:eastAsia="Arial" w:hAnsi="Arial"/>
                <w:sz w:val="18"/>
                <w:szCs w:val="18"/>
                <w:color w:val="auto"/>
              </w:rPr>
              <w:t>BEEN</w:t>
            </w:r>
          </w:p>
        </w:tc>
      </w:tr>
      <w:tr>
        <w:trPr>
          <w:trHeight w:val="216"/>
        </w:trPr>
        <w:tc>
          <w:tcPr>
            <w:tcW w:w="84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Company</w:t>
            </w:r>
          </w:p>
        </w:tc>
        <w:tc>
          <w:tcPr>
            <w:tcW w:w="2900" w:type="dxa"/>
            <w:vAlign w:val="bottom"/>
            <w:gridSpan w:val="5"/>
          </w:tcPr>
          <w:p>
            <w:pPr>
              <w:ind w:left="60"/>
              <w:spacing w:after="0"/>
              <w:rPr>
                <w:sz w:val="20"/>
                <w:szCs w:val="20"/>
                <w:color w:val="auto"/>
              </w:rPr>
            </w:pPr>
            <w:r>
              <w:rPr>
                <w:rFonts w:ascii="Arial" w:cs="Arial" w:eastAsia="Arial" w:hAnsi="Arial"/>
                <w:sz w:val="18"/>
                <w:szCs w:val="18"/>
                <w:color w:val="auto"/>
              </w:rPr>
              <w:t>OMITTED AS IT IS THE SUBJECT</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OF</w:t>
            </w:r>
          </w:p>
        </w:tc>
        <w:tc>
          <w:tcPr>
            <w:tcW w:w="220" w:type="dxa"/>
            <w:vAlign w:val="bottom"/>
          </w:tcPr>
          <w:p>
            <w:pPr>
              <w:ind w:left="40"/>
              <w:spacing w:after="0"/>
              <w:rPr>
                <w:sz w:val="20"/>
                <w:szCs w:val="20"/>
                <w:color w:val="auto"/>
              </w:rPr>
            </w:pPr>
            <w:r>
              <w:rPr>
                <w:rFonts w:ascii="Arial" w:cs="Arial" w:eastAsia="Arial" w:hAnsi="Arial"/>
                <w:sz w:val="18"/>
                <w:szCs w:val="18"/>
                <w:color w:val="auto"/>
              </w:rPr>
              <w:t>A</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6"/>
              </w:rPr>
              <w:t>COMMISSION</w:t>
            </w:r>
          </w:p>
        </w:tc>
        <w:tc>
          <w:tcPr>
            <w:tcW w:w="700" w:type="dxa"/>
            <w:vAlign w:val="bottom"/>
          </w:tcPr>
          <w:p>
            <w:pPr>
              <w:jc w:val="right"/>
              <w:spacing w:after="0"/>
              <w:rPr>
                <w:sz w:val="20"/>
                <w:szCs w:val="20"/>
                <w:color w:val="auto"/>
              </w:rPr>
            </w:pPr>
            <w:r>
              <w:rPr>
                <w:rFonts w:ascii="Arial" w:cs="Arial" w:eastAsia="Arial" w:hAnsi="Arial"/>
                <w:sz w:val="18"/>
                <w:szCs w:val="18"/>
                <w:color w:val="auto"/>
              </w:rPr>
              <w:t>ORDER</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Arial" w:cs="Arial" w:eastAsia="Arial" w:hAnsi="Arial"/>
                <w:sz w:val="18"/>
                <w:szCs w:val="18"/>
                <w:color w:val="auto"/>
                <w:w w:val="97"/>
              </w:rPr>
              <w:t>SUBMITTED TO THE SECURITIES</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AND</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EXCHANGE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COMMISSION</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Arial" w:cs="Arial" w:eastAsia="Arial" w:hAnsi="Arial"/>
                <w:sz w:val="18"/>
                <w:szCs w:val="18"/>
                <w:color w:val="auto"/>
              </w:rPr>
              <w:t>ON AUGUST  8, 2016  WHEREBY</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THE</w:t>
            </w:r>
          </w:p>
        </w:tc>
        <w:tc>
          <w:tcPr>
            <w:tcW w:w="220" w:type="dxa"/>
            <w:vAlign w:val="bottom"/>
          </w:tcPr>
          <w:p>
            <w:pPr>
              <w:spacing w:after="0"/>
              <w:rPr>
                <w:sz w:val="18"/>
                <w:szCs w:val="18"/>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COMPANY</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REQUESTS</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Arial" w:cs="Arial" w:eastAsia="Arial" w:hAnsi="Arial"/>
                <w:sz w:val="18"/>
                <w:szCs w:val="18"/>
                <w:color w:val="auto"/>
              </w:rPr>
              <w:t>CONFIDENTIAL TREATMENT BY</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THE</w:t>
            </w:r>
          </w:p>
        </w:tc>
        <w:tc>
          <w:tcPr>
            <w:tcW w:w="22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4"/>
              </w:rPr>
              <w:t>SECURITIES</w:t>
            </w:r>
          </w:p>
        </w:tc>
        <w:tc>
          <w:tcPr>
            <w:tcW w:w="700" w:type="dxa"/>
            <w:vAlign w:val="bottom"/>
          </w:tcPr>
          <w:p>
            <w:pPr>
              <w:jc w:val="right"/>
              <w:spacing w:after="0"/>
              <w:rPr>
                <w:sz w:val="20"/>
                <w:szCs w:val="20"/>
                <w:color w:val="auto"/>
              </w:rPr>
            </w:pPr>
            <w:r>
              <w:rPr>
                <w:rFonts w:ascii="Arial" w:cs="Arial" w:eastAsia="Arial" w:hAnsi="Arial"/>
                <w:sz w:val="18"/>
                <w:szCs w:val="18"/>
                <w:color w:val="auto"/>
              </w:rPr>
              <w:t>AND</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color w:val="auto"/>
              </w:rPr>
              <w:t>EXCHANGE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6"/>
              </w:rPr>
              <w:t>COMMISSION</w:t>
            </w:r>
          </w:p>
        </w:tc>
      </w:tr>
      <w:tr>
        <w:trPr>
          <w:trHeight w:val="216"/>
        </w:trPr>
        <w:tc>
          <w:tcPr>
            <w:tcW w:w="8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w w:val="96"/>
              </w:rPr>
              <w:t>UNDER</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THE   FREEDOM   OF</w:t>
            </w:r>
          </w:p>
        </w:tc>
      </w:tr>
      <w:tr>
        <w:trPr>
          <w:trHeight w:val="230"/>
        </w:trPr>
        <w:tc>
          <w:tcPr>
            <w:tcW w:w="8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color w:val="auto"/>
                <w:w w:val="96"/>
              </w:rPr>
              <w:t>INFORMATION ACT.</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07" w:lineRule="exact"/>
        <w:rPr>
          <w:sz w:val="20"/>
          <w:szCs w:val="20"/>
          <w:color w:val="auto"/>
        </w:rPr>
      </w:pPr>
    </w:p>
    <w:p>
      <w:pPr>
        <w:sectPr>
          <w:pgSz w:w="11900" w:h="16838" w:orient="portrait"/>
          <w:cols w:equalWidth="0" w:num="1">
            <w:col w:w="11420"/>
          </w:cols>
          <w:pgMar w:left="240" w:top="337"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10.2*</w:t>
            </w:r>
          </w:p>
        </w:tc>
        <w:tc>
          <w:tcPr>
            <w:tcW w:w="7560" w:type="dxa"/>
            <w:vAlign w:val="bottom"/>
          </w:tcPr>
          <w:p>
            <w:pPr>
              <w:ind w:left="380"/>
              <w:spacing w:after="0"/>
              <w:rPr>
                <w:sz w:val="20"/>
                <w:szCs w:val="20"/>
                <w:color w:val="auto"/>
              </w:rPr>
            </w:pPr>
            <w:r>
              <w:rPr>
                <w:rFonts w:ascii="Arial" w:cs="Arial" w:eastAsia="Arial" w:hAnsi="Arial"/>
                <w:sz w:val="18"/>
                <w:szCs w:val="18"/>
                <w:color w:val="auto"/>
                <w:w w:val="89"/>
              </w:rPr>
              <w:t>Separation and Release Agreement by and between LSB Industries, Inc. and Tony M. Shelby, dated</w:t>
            </w:r>
          </w:p>
        </w:tc>
      </w:tr>
      <w:tr>
        <w:trPr>
          <w:trHeight w:val="230"/>
        </w:trPr>
        <w:tc>
          <w:tcPr>
            <w:tcW w:w="800" w:type="dxa"/>
            <w:vAlign w:val="bottom"/>
          </w:tcPr>
          <w:p>
            <w:pPr>
              <w:spacing w:after="0"/>
              <w:rPr>
                <w:sz w:val="20"/>
                <w:szCs w:val="20"/>
                <w:color w:val="auto"/>
              </w:rPr>
            </w:pPr>
          </w:p>
        </w:tc>
        <w:tc>
          <w:tcPr>
            <w:tcW w:w="7560" w:type="dxa"/>
            <w:vAlign w:val="bottom"/>
          </w:tcPr>
          <w:p>
            <w:pPr>
              <w:ind w:left="380"/>
              <w:spacing w:after="0"/>
              <w:rPr>
                <w:sz w:val="20"/>
                <w:szCs w:val="20"/>
                <w:color w:val="auto"/>
              </w:rPr>
            </w:pPr>
            <w:r>
              <w:rPr>
                <w:rFonts w:ascii="Arial" w:cs="Arial" w:eastAsia="Arial" w:hAnsi="Arial"/>
                <w:sz w:val="18"/>
                <w:szCs w:val="18"/>
                <w:color w:val="auto"/>
              </w:rPr>
              <w:t>as of February 22, 2016</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10.1 to the Company’s Form 8-K, filed February 25, 2016</w:t>
      </w:r>
    </w:p>
    <w:p>
      <w:pPr>
        <w:spacing w:after="0" w:line="200" w:lineRule="exact"/>
        <w:rPr>
          <w:sz w:val="20"/>
          <w:szCs w:val="20"/>
          <w:color w:val="auto"/>
        </w:rPr>
      </w:pPr>
    </w:p>
    <w:p>
      <w:pPr>
        <w:sectPr>
          <w:pgSz w:w="11900" w:h="16838" w:orient="portrait"/>
          <w:cols w:equalWidth="0" w:num="2">
            <w:col w:w="8460" w:space="120"/>
            <w:col w:w="2840"/>
          </w:cols>
          <w:pgMar w:left="240" w:top="337"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1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71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to the Following</w:t>
            </w: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20"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ind w:left="100"/>
              <w:spacing w:after="0"/>
              <w:rPr>
                <w:sz w:val="20"/>
                <w:szCs w:val="20"/>
                <w:color w:val="auto"/>
              </w:rPr>
            </w:pPr>
            <w:r>
              <w:rPr>
                <w:rFonts w:ascii="Arial" w:cs="Arial" w:eastAsia="Arial" w:hAnsi="Arial"/>
                <w:sz w:val="18"/>
                <w:szCs w:val="18"/>
                <w:color w:val="auto"/>
              </w:rPr>
              <w:t>10.3*</w:t>
            </w:r>
          </w:p>
        </w:tc>
        <w:tc>
          <w:tcPr>
            <w:tcW w:w="7340" w:type="dxa"/>
            <w:vAlign w:val="bottom"/>
          </w:tcPr>
          <w:p>
            <w:pPr>
              <w:ind w:left="200"/>
              <w:spacing w:after="0"/>
              <w:rPr>
                <w:sz w:val="20"/>
                <w:szCs w:val="20"/>
                <w:color w:val="auto"/>
              </w:rPr>
            </w:pPr>
            <w:r>
              <w:rPr>
                <w:rFonts w:ascii="Arial" w:cs="Arial" w:eastAsia="Arial" w:hAnsi="Arial"/>
                <w:sz w:val="18"/>
                <w:szCs w:val="18"/>
                <w:color w:val="auto"/>
                <w:w w:val="95"/>
              </w:rPr>
              <w:t>Employment Agreement by and between LSB Industries, Inc. and Mark Behrman, dated as of</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January 14, 2016</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10.4*</w:t>
            </w:r>
          </w:p>
        </w:tc>
        <w:tc>
          <w:tcPr>
            <w:tcW w:w="7340" w:type="dxa"/>
            <w:vAlign w:val="bottom"/>
          </w:tcPr>
          <w:p>
            <w:pPr>
              <w:ind w:left="200"/>
              <w:spacing w:after="0"/>
              <w:rPr>
                <w:sz w:val="20"/>
                <w:szCs w:val="20"/>
                <w:color w:val="auto"/>
              </w:rPr>
            </w:pPr>
            <w:r>
              <w:rPr>
                <w:rFonts w:ascii="Arial" w:cs="Arial" w:eastAsia="Arial" w:hAnsi="Arial"/>
                <w:sz w:val="18"/>
                <w:szCs w:val="18"/>
                <w:color w:val="auto"/>
                <w:w w:val="95"/>
              </w:rPr>
              <w:t>Employment Agreement by and between LSB Industries, Inc. and Michael Foster, dated as of</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January 5, 2016</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10.5*</w:t>
            </w:r>
          </w:p>
        </w:tc>
        <w:tc>
          <w:tcPr>
            <w:tcW w:w="7340" w:type="dxa"/>
            <w:vAlign w:val="bottom"/>
          </w:tcPr>
          <w:p>
            <w:pPr>
              <w:ind w:left="200"/>
              <w:spacing w:after="0"/>
              <w:rPr>
                <w:sz w:val="20"/>
                <w:szCs w:val="20"/>
                <w:color w:val="auto"/>
              </w:rPr>
            </w:pPr>
            <w:r>
              <w:rPr>
                <w:rFonts w:ascii="Arial" w:cs="Arial" w:eastAsia="Arial" w:hAnsi="Arial"/>
                <w:sz w:val="18"/>
                <w:szCs w:val="18"/>
                <w:color w:val="auto"/>
                <w:w w:val="91"/>
              </w:rPr>
              <w:t>Restricted Stock Agreement by and between LSB Industries, Inc. and Michael Foster, dated as of</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January 5, 2016</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10.6*</w:t>
            </w:r>
          </w:p>
        </w:tc>
        <w:tc>
          <w:tcPr>
            <w:tcW w:w="7340" w:type="dxa"/>
            <w:vAlign w:val="bottom"/>
          </w:tcPr>
          <w:p>
            <w:pPr>
              <w:ind w:left="200"/>
              <w:spacing w:after="0"/>
              <w:rPr>
                <w:sz w:val="20"/>
                <w:szCs w:val="20"/>
                <w:color w:val="auto"/>
              </w:rPr>
            </w:pPr>
            <w:r>
              <w:rPr>
                <w:rFonts w:ascii="Arial" w:cs="Arial" w:eastAsia="Arial" w:hAnsi="Arial"/>
                <w:sz w:val="18"/>
                <w:szCs w:val="18"/>
                <w:color w:val="auto"/>
                <w:w w:val="90"/>
              </w:rPr>
              <w:t>Employment Agreement by and between LSB Industries, Inc. and John Diesch, executed as of July</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21, 2016</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31.1(a)</w:t>
            </w:r>
          </w:p>
        </w:tc>
        <w:tc>
          <w:tcPr>
            <w:tcW w:w="7340" w:type="dxa"/>
            <w:vAlign w:val="bottom"/>
          </w:tcPr>
          <w:p>
            <w:pPr>
              <w:ind w:left="200"/>
              <w:spacing w:after="0"/>
              <w:rPr>
                <w:sz w:val="20"/>
                <w:szCs w:val="20"/>
                <w:color w:val="auto"/>
              </w:rPr>
            </w:pPr>
            <w:r>
              <w:rPr>
                <w:rFonts w:ascii="Arial" w:cs="Arial" w:eastAsia="Arial" w:hAnsi="Arial"/>
                <w:sz w:val="18"/>
                <w:szCs w:val="18"/>
                <w:color w:val="auto"/>
                <w:w w:val="93"/>
              </w:rPr>
              <w:t>Certification of Daniel D. Greenwell, Chief Executive Officer, pursuant to Sarbanes-Oxley Act of</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2002, Section 302</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31.2(a)</w:t>
            </w:r>
          </w:p>
        </w:tc>
        <w:tc>
          <w:tcPr>
            <w:tcW w:w="7340" w:type="dxa"/>
            <w:vAlign w:val="bottom"/>
          </w:tcPr>
          <w:p>
            <w:pPr>
              <w:ind w:left="200"/>
              <w:spacing w:after="0"/>
              <w:rPr>
                <w:sz w:val="20"/>
                <w:szCs w:val="20"/>
                <w:color w:val="auto"/>
              </w:rPr>
            </w:pPr>
            <w:r>
              <w:rPr>
                <w:rFonts w:ascii="Arial" w:cs="Arial" w:eastAsia="Arial" w:hAnsi="Arial"/>
                <w:sz w:val="18"/>
                <w:szCs w:val="18"/>
                <w:color w:val="auto"/>
                <w:w w:val="97"/>
              </w:rPr>
              <w:t>Certification of Mark T. Behrman, Chief Financial Officer, pursuant to Sarbanes-Oxley Act of</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2002, Section 302</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32.1(b)</w:t>
            </w:r>
          </w:p>
        </w:tc>
        <w:tc>
          <w:tcPr>
            <w:tcW w:w="7340" w:type="dxa"/>
            <w:vAlign w:val="bottom"/>
          </w:tcPr>
          <w:p>
            <w:pPr>
              <w:ind w:left="200"/>
              <w:spacing w:after="0"/>
              <w:rPr>
                <w:sz w:val="20"/>
                <w:szCs w:val="20"/>
                <w:color w:val="auto"/>
              </w:rPr>
            </w:pPr>
            <w:r>
              <w:rPr>
                <w:rFonts w:ascii="Arial" w:cs="Arial" w:eastAsia="Arial" w:hAnsi="Arial"/>
                <w:sz w:val="18"/>
                <w:szCs w:val="18"/>
                <w:color w:val="auto"/>
                <w:w w:val="90"/>
              </w:rPr>
              <w:t>Certification of Daniel D. Greenwell, Chief Executive Officer, furnished pursuant to Sarbanes-Oxley</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Act of 2002, Section 906</w:t>
            </w:r>
          </w:p>
        </w:tc>
      </w:tr>
      <w:tr>
        <w:trPr>
          <w:trHeight w:val="323"/>
        </w:trPr>
        <w:tc>
          <w:tcPr>
            <w:tcW w:w="1080" w:type="dxa"/>
            <w:vAlign w:val="bottom"/>
          </w:tcPr>
          <w:p>
            <w:pPr>
              <w:ind w:left="100"/>
              <w:spacing w:after="0"/>
              <w:rPr>
                <w:sz w:val="20"/>
                <w:szCs w:val="20"/>
                <w:color w:val="auto"/>
              </w:rPr>
            </w:pPr>
            <w:r>
              <w:rPr>
                <w:rFonts w:ascii="Arial" w:cs="Arial" w:eastAsia="Arial" w:hAnsi="Arial"/>
                <w:sz w:val="18"/>
                <w:szCs w:val="18"/>
                <w:color w:val="auto"/>
              </w:rPr>
              <w:t>32.2(b)</w:t>
            </w:r>
          </w:p>
        </w:tc>
        <w:tc>
          <w:tcPr>
            <w:tcW w:w="7340" w:type="dxa"/>
            <w:vAlign w:val="bottom"/>
          </w:tcPr>
          <w:p>
            <w:pPr>
              <w:ind w:left="200"/>
              <w:spacing w:after="0"/>
              <w:rPr>
                <w:sz w:val="20"/>
                <w:szCs w:val="20"/>
                <w:color w:val="auto"/>
              </w:rPr>
            </w:pPr>
            <w:r>
              <w:rPr>
                <w:rFonts w:ascii="Arial" w:cs="Arial" w:eastAsia="Arial" w:hAnsi="Arial"/>
                <w:sz w:val="18"/>
                <w:szCs w:val="18"/>
                <w:color w:val="auto"/>
                <w:w w:val="90"/>
              </w:rPr>
              <w:t>Certification of Mark T. Behrman, Chief Financial Officer, furnished pursuant to Sarbanes-Oxley Act</w:t>
            </w:r>
          </w:p>
        </w:tc>
      </w:tr>
      <w:tr>
        <w:trPr>
          <w:trHeight w:val="230"/>
        </w:trPr>
        <w:tc>
          <w:tcPr>
            <w:tcW w:w="1080" w:type="dxa"/>
            <w:vAlign w:val="bottom"/>
          </w:tcPr>
          <w:p>
            <w:pPr>
              <w:spacing w:after="0"/>
              <w:rPr>
                <w:sz w:val="20"/>
                <w:szCs w:val="20"/>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of 2002, Section 906</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101.INS(a)</w:t>
            </w:r>
          </w:p>
        </w:tc>
        <w:tc>
          <w:tcPr>
            <w:tcW w:w="734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101.SCH(a)</w:t>
            </w:r>
          </w:p>
        </w:tc>
        <w:tc>
          <w:tcPr>
            <w:tcW w:w="7340" w:type="dxa"/>
            <w:vAlign w:val="bottom"/>
          </w:tcPr>
          <w:p>
            <w:pPr>
              <w:ind w:left="200"/>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101.CAL(a)</w:t>
            </w:r>
          </w:p>
        </w:tc>
        <w:tc>
          <w:tcPr>
            <w:tcW w:w="7340" w:type="dxa"/>
            <w:vAlign w:val="bottom"/>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101.DEF(a)</w:t>
            </w:r>
          </w:p>
        </w:tc>
        <w:tc>
          <w:tcPr>
            <w:tcW w:w="7340" w:type="dxa"/>
            <w:vAlign w:val="bottom"/>
          </w:tcPr>
          <w:p>
            <w:pPr>
              <w:ind w:left="2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101.LAB(a)</w:t>
            </w:r>
          </w:p>
        </w:tc>
        <w:tc>
          <w:tcPr>
            <w:tcW w:w="7340" w:type="dxa"/>
            <w:vAlign w:val="bottom"/>
          </w:tcPr>
          <w:p>
            <w:pPr>
              <w:ind w:left="200"/>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101.PRE(a)</w:t>
            </w:r>
          </w:p>
        </w:tc>
        <w:tc>
          <w:tcPr>
            <w:tcW w:w="7340" w:type="dxa"/>
            <w:vAlign w:val="bottom"/>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10.1 to the Company’s Form 8-K, filed January 21, 2016</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10.25 to the Company’s Form 10-K, filed February 29, 2016</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Exhibit 10.26 to the Company’s Form 10-K, filed February 29, 2016</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Exhibit 10.1 to the Company’s Form 8-K, filed August 2, 2016</w:t>
      </w:r>
    </w:p>
    <w:p>
      <w:pPr>
        <w:spacing w:after="0" w:line="4409" w:lineRule="exact"/>
        <w:rPr>
          <w:sz w:val="20"/>
          <w:szCs w:val="20"/>
          <w:color w:val="auto"/>
        </w:rPr>
      </w:pPr>
    </w:p>
    <w:p>
      <w:pPr>
        <w:sectPr>
          <w:pgSz w:w="11900" w:h="16838" w:orient="portrait"/>
          <w:cols w:equalWidth="0" w:num="2">
            <w:col w:w="8420" w:space="160"/>
            <w:col w:w="2840"/>
          </w:cols>
          <w:pgMar w:left="240" w:top="320" w:right="239" w:bottom="1440" w:gutter="0" w:footer="0" w:header="0"/>
          <w:type w:val="continuous"/>
        </w:sectPr>
      </w:pPr>
    </w:p>
    <w:p>
      <w:pPr>
        <w:spacing w:after="0" w:line="42"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8th day of August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10.1</w:t>
      </w: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820" w:type="dxa"/>
            <w:vAlign w:val="bottom"/>
            <w:gridSpan w:val="7"/>
          </w:tcPr>
          <w:p>
            <w:pPr>
              <w:jc w:val="center"/>
              <w:ind w:right="2000"/>
              <w:spacing w:after="0" w:line="238" w:lineRule="exact"/>
              <w:rPr>
                <w:sz w:val="20"/>
                <w:szCs w:val="20"/>
                <w:color w:val="auto"/>
              </w:rPr>
            </w:pPr>
            <w:r>
              <w:rPr>
                <w:rFonts w:ascii="Arial" w:cs="Arial" w:eastAsia="Arial" w:hAnsi="Arial"/>
                <w:sz w:val="22"/>
                <w:szCs w:val="22"/>
                <w:b w:val="1"/>
                <w:bCs w:val="1"/>
                <w:color w:val="auto"/>
              </w:rPr>
              <w:t>UREA AMMONIUM NITRATE</w:t>
            </w:r>
          </w:p>
        </w:tc>
        <w:tc>
          <w:tcPr>
            <w:tcW w:w="1320" w:type="dxa"/>
            <w:vAlign w:val="bottom"/>
          </w:tcPr>
          <w:p>
            <w:pPr>
              <w:spacing w:after="0"/>
              <w:rPr>
                <w:sz w:val="20"/>
                <w:szCs w:val="20"/>
                <w:color w:val="auto"/>
              </w:rPr>
            </w:pPr>
          </w:p>
        </w:tc>
      </w:tr>
      <w:tr>
        <w:trPr>
          <w:trHeight w:val="281"/>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820" w:type="dxa"/>
            <w:vAlign w:val="bottom"/>
            <w:gridSpan w:val="7"/>
          </w:tcPr>
          <w:p>
            <w:pPr>
              <w:jc w:val="center"/>
              <w:ind w:right="1980"/>
              <w:spacing w:after="0"/>
              <w:rPr>
                <w:sz w:val="20"/>
                <w:szCs w:val="20"/>
                <w:color w:val="auto"/>
              </w:rPr>
            </w:pPr>
            <w:r>
              <w:rPr>
                <w:rFonts w:ascii="Arial" w:cs="Arial" w:eastAsia="Arial" w:hAnsi="Arial"/>
                <w:sz w:val="22"/>
                <w:szCs w:val="22"/>
                <w:b w:val="1"/>
                <w:bCs w:val="1"/>
                <w:color w:val="auto"/>
                <w:w w:val="97"/>
              </w:rPr>
              <w:t>PURCHASE AND SALE AGREEMENT</w:t>
            </w:r>
          </w:p>
        </w:tc>
        <w:tc>
          <w:tcPr>
            <w:tcW w:w="1320" w:type="dxa"/>
            <w:vAlign w:val="bottom"/>
          </w:tcPr>
          <w:p>
            <w:pPr>
              <w:spacing w:after="0"/>
              <w:rPr>
                <w:sz w:val="24"/>
                <w:szCs w:val="24"/>
                <w:color w:val="auto"/>
              </w:rPr>
            </w:pPr>
          </w:p>
        </w:tc>
      </w:tr>
      <w:tr>
        <w:trPr>
          <w:trHeight w:val="206"/>
        </w:trPr>
        <w:tc>
          <w:tcPr>
            <w:tcW w:w="136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r>
      <w:tr>
        <w:trPr>
          <w:trHeight w:val="340"/>
        </w:trPr>
        <w:tc>
          <w:tcPr>
            <w:tcW w:w="1360" w:type="dxa"/>
            <w:vAlign w:val="bottom"/>
            <w:tcBorders>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1.Effective Date</w:t>
            </w:r>
          </w:p>
        </w:tc>
        <w:tc>
          <w:tcPr>
            <w:tcW w:w="68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20"/>
                <w:szCs w:val="20"/>
                <w:color w:val="auto"/>
              </w:rPr>
              <w:t>June 1, 2016</w:t>
            </w:r>
          </w:p>
        </w:tc>
        <w:tc>
          <w:tcPr>
            <w:tcW w:w="1320" w:type="dxa"/>
            <w:vAlign w:val="bottom"/>
          </w:tcPr>
          <w:p>
            <w:pPr>
              <w:spacing w:after="0"/>
              <w:rPr>
                <w:sz w:val="24"/>
                <w:szCs w:val="24"/>
                <w:color w:val="auto"/>
              </w:rPr>
            </w:pPr>
          </w:p>
        </w:tc>
      </w:tr>
      <w:tr>
        <w:trPr>
          <w:trHeight w:val="336"/>
        </w:trPr>
        <w:tc>
          <w:tcPr>
            <w:tcW w:w="1360" w:type="dxa"/>
            <w:vAlign w:val="bottom"/>
            <w:tcBorders>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2.Buyer</w:t>
            </w:r>
          </w:p>
        </w:tc>
        <w:tc>
          <w:tcPr>
            <w:tcW w:w="682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20"/>
                <w:szCs w:val="20"/>
                <w:color w:val="auto"/>
              </w:rPr>
              <w:t>Coffeyville Resources Nitrogen Fertilizers, LLC ("Buyer")</w:t>
            </w:r>
          </w:p>
        </w:tc>
        <w:tc>
          <w:tcPr>
            <w:tcW w:w="1320" w:type="dxa"/>
            <w:vAlign w:val="bottom"/>
          </w:tcPr>
          <w:p>
            <w:pPr>
              <w:spacing w:after="0"/>
              <w:rPr>
                <w:sz w:val="24"/>
                <w:szCs w:val="24"/>
                <w:color w:val="auto"/>
              </w:rPr>
            </w:pPr>
          </w:p>
        </w:tc>
      </w:tr>
      <w:tr>
        <w:trPr>
          <w:trHeight w:val="335"/>
        </w:trPr>
        <w:tc>
          <w:tcPr>
            <w:tcW w:w="13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3.Seller</w:t>
            </w: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Pryor Chemical Company (“Seller”)</w:t>
            </w:r>
          </w:p>
        </w:tc>
        <w:tc>
          <w:tcPr>
            <w:tcW w:w="1320" w:type="dxa"/>
            <w:vAlign w:val="bottom"/>
          </w:tcPr>
          <w:p>
            <w:pPr>
              <w:spacing w:after="0"/>
              <w:rPr>
                <w:sz w:val="24"/>
                <w:szCs w:val="24"/>
                <w:color w:val="auto"/>
              </w:rPr>
            </w:pPr>
          </w:p>
        </w:tc>
      </w:tr>
      <w:tr>
        <w:trPr>
          <w:trHeight w:val="104"/>
        </w:trPr>
        <w:tc>
          <w:tcPr>
            <w:tcW w:w="1360" w:type="dxa"/>
            <w:vAlign w:val="bottom"/>
            <w:tcBorders>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1320" w:type="dxa"/>
            <w:vAlign w:val="bottom"/>
          </w:tcPr>
          <w:p>
            <w:pPr>
              <w:spacing w:after="0"/>
              <w:rPr>
                <w:sz w:val="9"/>
                <w:szCs w:val="9"/>
                <w:color w:val="auto"/>
              </w:rPr>
            </w:pPr>
          </w:p>
        </w:tc>
      </w:tr>
      <w:tr>
        <w:trPr>
          <w:trHeight w:val="314"/>
        </w:trPr>
        <w:tc>
          <w:tcPr>
            <w:tcW w:w="13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89"/>
              </w:rPr>
              <w:t>4.Term and Termination</w:t>
            </w: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89"/>
              </w:rPr>
              <w:t>The term shall commence on the Effective Date and shall terminate on May 31, 2019,</w:t>
            </w:r>
          </w:p>
        </w:tc>
        <w:tc>
          <w:tcPr>
            <w:tcW w:w="1320" w:type="dxa"/>
            <w:vAlign w:val="bottom"/>
          </w:tcPr>
          <w:p>
            <w:pPr>
              <w:spacing w:after="0"/>
              <w:rPr>
                <w:sz w:val="24"/>
                <w:szCs w:val="24"/>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0"/>
              </w:rPr>
              <w:t>unless otherwise terminated earlier in accordance with this Agreement (“Term”). The</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0"/>
              </w:rPr>
              <w:t>Term shall automatically extend for additional periods of one year each unless either</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89"/>
              </w:rPr>
              <w:t>party provides notice of non-extension at least 12 months prior to the end of the Term</w:t>
            </w:r>
          </w:p>
        </w:tc>
        <w:tc>
          <w:tcPr>
            <w:tcW w:w="1320" w:type="dxa"/>
            <w:vAlign w:val="bottom"/>
          </w:tcPr>
          <w:p>
            <w:pPr>
              <w:spacing w:after="0"/>
              <w:rPr>
                <w:sz w:val="19"/>
                <w:szCs w:val="19"/>
                <w:color w:val="auto"/>
              </w:rPr>
            </w:pPr>
          </w:p>
        </w:tc>
      </w:tr>
      <w:tr>
        <w:trPr>
          <w:trHeight w:val="250"/>
        </w:trPr>
        <w:tc>
          <w:tcPr>
            <w:tcW w:w="13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89"/>
              </w:rPr>
              <w:t>or any extended Term, as applicable, unless otherwise terminated as provided herein.</w:t>
            </w:r>
          </w:p>
        </w:tc>
        <w:tc>
          <w:tcPr>
            <w:tcW w:w="1320" w:type="dxa"/>
            <w:vAlign w:val="bottom"/>
          </w:tcPr>
          <w:p>
            <w:pPr>
              <w:spacing w:after="0"/>
              <w:rPr>
                <w:sz w:val="21"/>
                <w:szCs w:val="21"/>
                <w:color w:val="auto"/>
              </w:rPr>
            </w:pPr>
          </w:p>
        </w:tc>
      </w:tr>
      <w:tr>
        <w:trPr>
          <w:trHeight w:val="317"/>
        </w:trPr>
        <w:tc>
          <w:tcPr>
            <w:tcW w:w="13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5"/>
              </w:rPr>
              <w:t>Buyer may unilaterally terminate this Agreement at any time and for any reason,</w:t>
            </w:r>
          </w:p>
        </w:tc>
        <w:tc>
          <w:tcPr>
            <w:tcW w:w="1320" w:type="dxa"/>
            <w:vAlign w:val="bottom"/>
          </w:tcPr>
          <w:p>
            <w:pPr>
              <w:spacing w:after="0"/>
              <w:rPr>
                <w:sz w:val="24"/>
                <w:szCs w:val="24"/>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6"/>
              </w:rPr>
              <w:t>without liability therefor, upon 180 days advance written notice of termination to</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Seller, provided that each party’s rights and obligations pertaining to Product</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7"/>
              </w:rPr>
              <w:t>committed to prior to such advance notice shall survive termination. Seller may</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1"/>
              </w:rPr>
              <w:t>unilaterally terminate this Agreement at any time and for any reason, without liability</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1"/>
              </w:rPr>
              <w:t>therefor, upon 90 days advance written notice of termination to Buyer, provided that</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3"/>
              </w:rPr>
              <w:t>each party’s rights and obligations pertaining to Product committed to prior to such</w:t>
            </w:r>
          </w:p>
        </w:tc>
        <w:tc>
          <w:tcPr>
            <w:tcW w:w="1320" w:type="dxa"/>
            <w:vAlign w:val="bottom"/>
          </w:tcPr>
          <w:p>
            <w:pPr>
              <w:spacing w:after="0"/>
              <w:rPr>
                <w:sz w:val="19"/>
                <w:szCs w:val="19"/>
                <w:color w:val="auto"/>
              </w:rPr>
            </w:pPr>
          </w:p>
        </w:tc>
      </w:tr>
      <w:tr>
        <w:trPr>
          <w:trHeight w:val="250"/>
        </w:trPr>
        <w:tc>
          <w:tcPr>
            <w:tcW w:w="13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advance notice shall survive termination.</w:t>
            </w:r>
          </w:p>
        </w:tc>
        <w:tc>
          <w:tcPr>
            <w:tcW w:w="1320" w:type="dxa"/>
            <w:vAlign w:val="bottom"/>
          </w:tcPr>
          <w:p>
            <w:pPr>
              <w:spacing w:after="0"/>
              <w:rPr>
                <w:sz w:val="21"/>
                <w:szCs w:val="21"/>
                <w:color w:val="auto"/>
              </w:rPr>
            </w:pPr>
          </w:p>
        </w:tc>
      </w:tr>
      <w:tr>
        <w:trPr>
          <w:trHeight w:val="317"/>
        </w:trPr>
        <w:tc>
          <w:tcPr>
            <w:tcW w:w="13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Either party may terminate this Agreement (a) upon a material breach of this</w:t>
            </w:r>
          </w:p>
        </w:tc>
        <w:tc>
          <w:tcPr>
            <w:tcW w:w="1320" w:type="dxa"/>
            <w:vAlign w:val="bottom"/>
          </w:tcPr>
          <w:p>
            <w:pPr>
              <w:spacing w:after="0"/>
              <w:rPr>
                <w:sz w:val="24"/>
                <w:szCs w:val="24"/>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1"/>
              </w:rPr>
              <w:t>Agreement by the other party which, if capable of being cured, is not cured within 30</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1"/>
              </w:rPr>
              <w:t>days of notice of such material breach, or (b) if the other party becomes insolvent or</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2"/>
              </w:rPr>
              <w:t>is generally unable to pay, or fails to pay, its debts as they become due, files or has</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6"/>
              </w:rPr>
              <w:t>filed against it a petition for bankruptcy, seeks reorganization or other relief with</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3"/>
              </w:rPr>
              <w:t>respect to its debts, makes a general assignment for the benefit of its creditors, or</w:t>
            </w:r>
          </w:p>
        </w:tc>
        <w:tc>
          <w:tcPr>
            <w:tcW w:w="1320" w:type="dxa"/>
            <w:vAlign w:val="bottom"/>
          </w:tcPr>
          <w:p>
            <w:pPr>
              <w:spacing w:after="0"/>
              <w:rPr>
                <w:sz w:val="19"/>
                <w:szCs w:val="19"/>
                <w:color w:val="auto"/>
              </w:rPr>
            </w:pPr>
          </w:p>
        </w:tc>
      </w:tr>
      <w:tr>
        <w:trPr>
          <w:trHeight w:val="250"/>
        </w:trPr>
        <w:tc>
          <w:tcPr>
            <w:tcW w:w="13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applies for or has appointed a receiver, trustee, custodian, or similar agent.</w:t>
            </w:r>
          </w:p>
        </w:tc>
        <w:tc>
          <w:tcPr>
            <w:tcW w:w="1320" w:type="dxa"/>
            <w:vAlign w:val="bottom"/>
          </w:tcPr>
          <w:p>
            <w:pPr>
              <w:spacing w:after="0"/>
              <w:rPr>
                <w:sz w:val="21"/>
                <w:szCs w:val="21"/>
                <w:color w:val="auto"/>
              </w:rPr>
            </w:pPr>
          </w:p>
        </w:tc>
      </w:tr>
      <w:tr>
        <w:trPr>
          <w:trHeight w:val="104"/>
        </w:trPr>
        <w:tc>
          <w:tcPr>
            <w:tcW w:w="1360" w:type="dxa"/>
            <w:vAlign w:val="bottom"/>
            <w:tcBorders>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1320" w:type="dxa"/>
            <w:vAlign w:val="bottom"/>
          </w:tcPr>
          <w:p>
            <w:pPr>
              <w:spacing w:after="0"/>
              <w:rPr>
                <w:sz w:val="9"/>
                <w:szCs w:val="9"/>
                <w:color w:val="auto"/>
              </w:rPr>
            </w:pPr>
          </w:p>
        </w:tc>
      </w:tr>
      <w:tr>
        <w:trPr>
          <w:trHeight w:val="314"/>
        </w:trPr>
        <w:tc>
          <w:tcPr>
            <w:tcW w:w="13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5.Product</w:t>
            </w: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6"/>
              </w:rPr>
              <w:t>Urea ammonium nitrate (“UAN” or "Product"). The specifications for the Product</w:t>
            </w:r>
          </w:p>
        </w:tc>
        <w:tc>
          <w:tcPr>
            <w:tcW w:w="1320" w:type="dxa"/>
            <w:vAlign w:val="bottom"/>
          </w:tcPr>
          <w:p>
            <w:pPr>
              <w:spacing w:after="0"/>
              <w:rPr>
                <w:sz w:val="24"/>
                <w:szCs w:val="24"/>
                <w:color w:val="auto"/>
              </w:rPr>
            </w:pPr>
          </w:p>
        </w:tc>
      </w:tr>
      <w:tr>
        <w:trPr>
          <w:trHeight w:val="206"/>
        </w:trPr>
        <w:tc>
          <w:tcPr>
            <w:tcW w:w="1360" w:type="dxa"/>
            <w:vAlign w:val="bottom"/>
            <w:tcBorders>
              <w:right w:val="single" w:sz="8" w:color="auto"/>
            </w:tcBorders>
          </w:tcPr>
          <w:p>
            <w:pPr>
              <w:spacing w:after="0"/>
              <w:rPr>
                <w:sz w:val="17"/>
                <w:szCs w:val="17"/>
                <w:color w:val="auto"/>
              </w:rPr>
            </w:pPr>
          </w:p>
        </w:tc>
        <w:tc>
          <w:tcPr>
            <w:tcW w:w="1940" w:type="dxa"/>
            <w:vAlign w:val="bottom"/>
            <w:tcBorders>
              <w:right w:val="single" w:sz="8" w:color="auto"/>
            </w:tcBorders>
          </w:tcPr>
          <w:p>
            <w:pPr>
              <w:spacing w:after="0"/>
              <w:rPr>
                <w:sz w:val="17"/>
                <w:szCs w:val="17"/>
                <w:color w:val="auto"/>
              </w:rPr>
            </w:pPr>
          </w:p>
        </w:tc>
        <w:tc>
          <w:tcPr>
            <w:tcW w:w="6820" w:type="dxa"/>
            <w:vAlign w:val="bottom"/>
            <w:tcBorders>
              <w:right w:val="single" w:sz="8" w:color="auto"/>
            </w:tcBorders>
            <w:gridSpan w:val="7"/>
          </w:tcPr>
          <w:p>
            <w:pPr>
              <w:spacing w:after="0" w:line="206" w:lineRule="exact"/>
              <w:rPr>
                <w:sz w:val="20"/>
                <w:szCs w:val="20"/>
                <w:color w:val="auto"/>
              </w:rPr>
            </w:pPr>
            <w:r>
              <w:rPr>
                <w:rFonts w:ascii="Arial" w:cs="Arial" w:eastAsia="Arial" w:hAnsi="Arial"/>
                <w:sz w:val="20"/>
                <w:szCs w:val="20"/>
                <w:color w:val="auto"/>
                <w:w w:val="94"/>
              </w:rPr>
              <w:t>are contained in Appendix I (“Specifications”). Seller warrants title to the Products</w:t>
            </w:r>
          </w:p>
        </w:tc>
        <w:tc>
          <w:tcPr>
            <w:tcW w:w="1320" w:type="dxa"/>
            <w:vAlign w:val="bottom"/>
          </w:tcPr>
          <w:p>
            <w:pPr>
              <w:spacing w:after="0"/>
              <w:rPr>
                <w:sz w:val="17"/>
                <w:szCs w:val="17"/>
                <w:color w:val="auto"/>
              </w:rPr>
            </w:pP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40" w:type="dxa"/>
            <w:vAlign w:val="bottom"/>
            <w:tcBorders>
              <w:right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3"/>
        </w:trPr>
        <w:tc>
          <w:tcPr>
            <w:tcW w:w="136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4"/>
              </w:rPr>
              <w:t>and warrants that the Products shall conform to the Specifications. Except for the</w:t>
            </w:r>
          </w:p>
        </w:tc>
        <w:tc>
          <w:tcPr>
            <w:tcW w:w="1320" w:type="dxa"/>
            <w:vAlign w:val="bottom"/>
          </w:tcPr>
          <w:p>
            <w:pPr>
              <w:spacing w:after="0"/>
              <w:rPr>
                <w:sz w:val="20"/>
                <w:szCs w:val="20"/>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9"/>
              </w:rPr>
              <w:t>foregoing, Seller makes no representation or warranty of any kind, express or</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7"/>
              </w:rPr>
              <w:t>implied, including, without limitation, any warranty of merchantability, fitness for</w:t>
            </w:r>
          </w:p>
        </w:tc>
        <w:tc>
          <w:tcPr>
            <w:tcW w:w="1320" w:type="dxa"/>
            <w:vAlign w:val="bottom"/>
          </w:tcPr>
          <w:p>
            <w:pPr>
              <w:spacing w:after="0"/>
              <w:rPr>
                <w:sz w:val="19"/>
                <w:szCs w:val="19"/>
                <w:color w:val="auto"/>
              </w:rPr>
            </w:pPr>
          </w:p>
        </w:tc>
      </w:tr>
      <w:tr>
        <w:trPr>
          <w:trHeight w:val="230"/>
        </w:trPr>
        <w:tc>
          <w:tcPr>
            <w:tcW w:w="136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89"/>
              </w:rPr>
              <w:t>any particular purpose, or any other matters with respect to the Products, whether the</w:t>
            </w:r>
          </w:p>
        </w:tc>
        <w:tc>
          <w:tcPr>
            <w:tcW w:w="1320" w:type="dxa"/>
            <w:vAlign w:val="bottom"/>
          </w:tcPr>
          <w:p>
            <w:pPr>
              <w:spacing w:after="0"/>
              <w:rPr>
                <w:sz w:val="19"/>
                <w:szCs w:val="19"/>
                <w:color w:val="auto"/>
              </w:rPr>
            </w:pPr>
          </w:p>
        </w:tc>
      </w:tr>
      <w:tr>
        <w:trPr>
          <w:trHeight w:val="250"/>
        </w:trPr>
        <w:tc>
          <w:tcPr>
            <w:tcW w:w="136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rPr>
              <w:t>Products are used alone or in combination with any other material.</w:t>
            </w:r>
          </w:p>
        </w:tc>
        <w:tc>
          <w:tcPr>
            <w:tcW w:w="1320" w:type="dxa"/>
            <w:vAlign w:val="bottom"/>
          </w:tcPr>
          <w:p>
            <w:pPr>
              <w:spacing w:after="0"/>
              <w:rPr>
                <w:sz w:val="21"/>
                <w:szCs w:val="21"/>
                <w:color w:val="auto"/>
              </w:rPr>
            </w:pPr>
          </w:p>
        </w:tc>
      </w:tr>
      <w:tr>
        <w:trPr>
          <w:trHeight w:val="104"/>
        </w:trPr>
        <w:tc>
          <w:tcPr>
            <w:tcW w:w="1360" w:type="dxa"/>
            <w:vAlign w:val="bottom"/>
            <w:tcBorders>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040" w:type="dxa"/>
            <w:vAlign w:val="bottom"/>
            <w:tcBorders>
              <w:bottom w:val="single" w:sz="8" w:color="auto"/>
              <w:right w:val="single" w:sz="8" w:color="auto"/>
            </w:tcBorders>
          </w:tcPr>
          <w:p>
            <w:pPr>
              <w:spacing w:after="0"/>
              <w:rPr>
                <w:sz w:val="9"/>
                <w:szCs w:val="9"/>
                <w:color w:val="auto"/>
              </w:rPr>
            </w:pPr>
          </w:p>
        </w:tc>
        <w:tc>
          <w:tcPr>
            <w:tcW w:w="1320" w:type="dxa"/>
            <w:vAlign w:val="bottom"/>
          </w:tcPr>
          <w:p>
            <w:pPr>
              <w:spacing w:after="0"/>
              <w:rPr>
                <w:sz w:val="9"/>
                <w:szCs w:val="9"/>
                <w:color w:val="auto"/>
              </w:rPr>
            </w:pPr>
          </w:p>
        </w:tc>
      </w:tr>
      <w:tr>
        <w:trPr>
          <w:trHeight w:val="291"/>
        </w:trPr>
        <w:tc>
          <w:tcPr>
            <w:tcW w:w="1360" w:type="dxa"/>
            <w:vAlign w:val="bottom"/>
            <w:tcBorders>
              <w:right w:val="single" w:sz="8" w:color="auto"/>
            </w:tcBorders>
          </w:tcPr>
          <w:p>
            <w:pPr>
              <w:spacing w:after="0"/>
              <w:rPr>
                <w:sz w:val="24"/>
                <w:szCs w:val="24"/>
                <w:color w:val="auto"/>
              </w:rPr>
            </w:pPr>
          </w:p>
        </w:tc>
        <w:tc>
          <w:tcPr>
            <w:tcW w:w="19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6.Price</w:t>
            </w:r>
          </w:p>
        </w:tc>
        <w:tc>
          <w:tcPr>
            <w:tcW w:w="6820" w:type="dxa"/>
            <w:vAlign w:val="bottom"/>
            <w:tcBorders>
              <w:right w:val="single" w:sz="8" w:color="auto"/>
            </w:tcBorders>
            <w:gridSpan w:val="7"/>
          </w:tcPr>
          <w:p>
            <w:pPr>
              <w:spacing w:after="0"/>
              <w:rPr>
                <w:sz w:val="20"/>
                <w:szCs w:val="20"/>
                <w:color w:val="auto"/>
              </w:rPr>
            </w:pPr>
            <w:r>
              <w:rPr>
                <w:rFonts w:ascii="Arial" w:cs="Arial" w:eastAsia="Arial" w:hAnsi="Arial"/>
                <w:sz w:val="20"/>
                <w:szCs w:val="20"/>
                <w:color w:val="auto"/>
                <w:w w:val="92"/>
              </w:rPr>
              <w:t>The price for Product is set forth in Appendix II. An example of the price calculation</w:t>
            </w:r>
          </w:p>
        </w:tc>
        <w:tc>
          <w:tcPr>
            <w:tcW w:w="1320" w:type="dxa"/>
            <w:vAlign w:val="bottom"/>
          </w:tcPr>
          <w:p>
            <w:pPr>
              <w:spacing w:after="0"/>
              <w:rPr>
                <w:sz w:val="24"/>
                <w:szCs w:val="24"/>
                <w:color w:val="auto"/>
              </w:rPr>
            </w:pPr>
          </w:p>
        </w:tc>
      </w:tr>
      <w:tr>
        <w:trPr>
          <w:trHeight w:val="210"/>
        </w:trPr>
        <w:tc>
          <w:tcPr>
            <w:tcW w:w="136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2820" w:type="dxa"/>
            <w:vAlign w:val="bottom"/>
            <w:gridSpan w:val="5"/>
          </w:tcPr>
          <w:p>
            <w:pPr>
              <w:spacing w:after="0" w:line="209" w:lineRule="exact"/>
              <w:rPr>
                <w:sz w:val="20"/>
                <w:szCs w:val="20"/>
                <w:color w:val="auto"/>
              </w:rPr>
            </w:pPr>
            <w:r>
              <w:rPr>
                <w:rFonts w:ascii="Arial" w:cs="Arial" w:eastAsia="Arial" w:hAnsi="Arial"/>
                <w:sz w:val="20"/>
                <w:szCs w:val="20"/>
                <w:color w:val="auto"/>
              </w:rPr>
              <w:t>is included in Appendix II.</w:t>
            </w:r>
          </w:p>
        </w:tc>
        <w:tc>
          <w:tcPr>
            <w:tcW w:w="960" w:type="dxa"/>
            <w:vAlign w:val="bottom"/>
            <w:tcBorders>
              <w:top w:val="single" w:sz="8" w:color="auto"/>
            </w:tcBorders>
          </w:tcPr>
          <w:p>
            <w:pPr>
              <w:spacing w:after="0"/>
              <w:rPr>
                <w:sz w:val="18"/>
                <w:szCs w:val="18"/>
                <w:color w:val="auto"/>
              </w:rPr>
            </w:pPr>
          </w:p>
        </w:tc>
        <w:tc>
          <w:tcPr>
            <w:tcW w:w="3040" w:type="dxa"/>
            <w:vAlign w:val="bottom"/>
            <w:tcBorders>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r>
      <w:tr>
        <w:trPr>
          <w:trHeight w:val="129"/>
        </w:trPr>
        <w:tc>
          <w:tcPr>
            <w:tcW w:w="1360" w:type="dxa"/>
            <w:vAlign w:val="bottom"/>
            <w:tcBorders>
              <w:right w:val="single" w:sz="8" w:color="auto"/>
            </w:tcBorders>
          </w:tcPr>
          <w:p>
            <w:pPr>
              <w:spacing w:after="0"/>
              <w:rPr>
                <w:sz w:val="11"/>
                <w:szCs w:val="11"/>
                <w:color w:val="auto"/>
              </w:rPr>
            </w:pPr>
          </w:p>
        </w:tc>
        <w:tc>
          <w:tcPr>
            <w:tcW w:w="194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040" w:type="dxa"/>
            <w:vAlign w:val="bottom"/>
            <w:tcBorders>
              <w:bottom w:val="single" w:sz="8" w:color="auto"/>
              <w:right w:val="single" w:sz="8" w:color="auto"/>
            </w:tcBorders>
          </w:tcPr>
          <w:p>
            <w:pPr>
              <w:spacing w:after="0"/>
              <w:rPr>
                <w:sz w:val="11"/>
                <w:szCs w:val="11"/>
                <w:color w:val="auto"/>
              </w:rPr>
            </w:pPr>
          </w:p>
        </w:tc>
        <w:tc>
          <w:tcPr>
            <w:tcW w:w="1320" w:type="dxa"/>
            <w:vAlign w:val="bottom"/>
          </w:tcPr>
          <w:p>
            <w:pPr>
              <w:spacing w:after="0"/>
              <w:rPr>
                <w:sz w:val="11"/>
                <w:szCs w:val="11"/>
                <w:color w:val="auto"/>
              </w:rPr>
            </w:pPr>
          </w:p>
        </w:tc>
      </w:tr>
      <w:tr>
        <w:trPr>
          <w:trHeight w:val="443"/>
        </w:trPr>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20" w:type="dxa"/>
            <w:vAlign w:val="bottom"/>
            <w:gridSpan w:val="5"/>
          </w:tcPr>
          <w:p>
            <w:pPr>
              <w:jc w:val="center"/>
              <w:ind w:left="1900"/>
              <w:spacing w:after="0"/>
              <w:rPr>
                <w:sz w:val="20"/>
                <w:szCs w:val="20"/>
                <w:color w:val="auto"/>
              </w:rPr>
            </w:pPr>
            <w:r>
              <w:rPr>
                <w:rFonts w:ascii="Arial" w:cs="Arial" w:eastAsia="Arial" w:hAnsi="Arial"/>
                <w:sz w:val="20"/>
                <w:szCs w:val="20"/>
                <w:color w:val="auto"/>
                <w:w w:val="89"/>
              </w:rPr>
              <w:t>1</w:t>
            </w: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6"/>
        </w:trPr>
        <w:tc>
          <w:tcPr>
            <w:tcW w:w="1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54" w:name="page55"/>
    <w:bookmarkEnd w:id="54"/>
    <w:p>
      <w:pPr>
        <w:jc w:val="center"/>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121285</wp:posOffset>
            </wp:positionV>
            <wp:extent cx="5574030" cy="72123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7212330"/>
                    </a:xfrm>
                    <a:prstGeom prst="rect">
                      <a:avLst/>
                    </a:prstGeom>
                    <a:noFill/>
                  </pic:spPr>
                </pic:pic>
              </a:graphicData>
            </a:graphic>
          </wp:anchor>
        </w:drawing>
      </w:r>
    </w:p>
    <w:p>
      <w:pPr>
        <w:spacing w:after="0" w:line="27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20"/>
                <w:szCs w:val="20"/>
                <w:color w:val="auto"/>
                <w:w w:val="92"/>
              </w:rPr>
              <w:t>7.Sales Rebate</w:t>
            </w:r>
          </w:p>
        </w:tc>
        <w:tc>
          <w:tcPr>
            <w:tcW w:w="7240" w:type="dxa"/>
            <w:vAlign w:val="bottom"/>
          </w:tcPr>
          <w:p>
            <w:pPr>
              <w:ind w:left="100"/>
              <w:spacing w:after="0"/>
              <w:rPr>
                <w:sz w:val="20"/>
                <w:szCs w:val="20"/>
                <w:color w:val="auto"/>
              </w:rPr>
            </w:pPr>
            <w:r>
              <w:rPr>
                <w:rFonts w:ascii="Arial" w:cs="Arial" w:eastAsia="Arial" w:hAnsi="Arial"/>
                <w:sz w:val="20"/>
                <w:szCs w:val="20"/>
                <w:color w:val="auto"/>
                <w:w w:val="95"/>
              </w:rPr>
              <w:t>Some of *** may qualify for sales rebate incentives. *** will provide *** with details on</w:t>
            </w:r>
          </w:p>
        </w:tc>
      </w:tr>
      <w:tr>
        <w:trPr>
          <w:trHeight w:val="230"/>
        </w:trPr>
        <w:tc>
          <w:tcPr>
            <w:tcW w:w="1280" w:type="dxa"/>
            <w:vAlign w:val="bottom"/>
          </w:tcPr>
          <w:p>
            <w:pPr>
              <w:ind w:left="320"/>
              <w:spacing w:after="0"/>
              <w:rPr>
                <w:sz w:val="20"/>
                <w:szCs w:val="20"/>
                <w:color w:val="auto"/>
              </w:rPr>
            </w:pPr>
            <w:r>
              <w:rPr>
                <w:rFonts w:ascii="Arial" w:cs="Arial" w:eastAsia="Arial" w:hAnsi="Arial"/>
                <w:sz w:val="20"/>
                <w:szCs w:val="20"/>
                <w:color w:val="auto"/>
              </w:rPr>
              <w:t>Incentives</w:t>
            </w:r>
          </w:p>
        </w:tc>
        <w:tc>
          <w:tcPr>
            <w:tcW w:w="7240" w:type="dxa"/>
            <w:vAlign w:val="bottom"/>
          </w:tcPr>
          <w:p>
            <w:pPr>
              <w:ind w:left="100"/>
              <w:spacing w:after="0"/>
              <w:rPr>
                <w:sz w:val="20"/>
                <w:szCs w:val="20"/>
                <w:color w:val="auto"/>
              </w:rPr>
            </w:pPr>
            <w:r>
              <w:rPr>
                <w:rFonts w:ascii="Arial" w:cs="Arial" w:eastAsia="Arial" w:hAnsi="Arial"/>
                <w:sz w:val="20"/>
                <w:szCs w:val="20"/>
                <w:color w:val="auto"/>
                <w:w w:val="89"/>
              </w:rPr>
              <w:t>the accrued balances of such sales rebate incentives within *** days after the end of each</w:t>
            </w:r>
          </w:p>
        </w:tc>
      </w:tr>
      <w:tr>
        <w:trPr>
          <w:trHeight w:val="230"/>
        </w:trPr>
        <w:tc>
          <w:tcPr>
            <w:tcW w:w="1280" w:type="dxa"/>
            <w:vAlign w:val="bottom"/>
          </w:tcPr>
          <w:p>
            <w:pPr>
              <w:spacing w:after="0"/>
              <w:rPr>
                <w:sz w:val="19"/>
                <w:szCs w:val="19"/>
                <w:color w:val="auto"/>
              </w:rPr>
            </w:pPr>
          </w:p>
        </w:tc>
        <w:tc>
          <w:tcPr>
            <w:tcW w:w="7240" w:type="dxa"/>
            <w:vAlign w:val="bottom"/>
          </w:tcPr>
          <w:p>
            <w:pPr>
              <w:ind w:left="100"/>
              <w:spacing w:after="0"/>
              <w:rPr>
                <w:sz w:val="20"/>
                <w:szCs w:val="20"/>
                <w:color w:val="auto"/>
              </w:rPr>
            </w:pPr>
            <w:r>
              <w:rPr>
                <w:rFonts w:ascii="Arial" w:cs="Arial" w:eastAsia="Arial" w:hAnsi="Arial"/>
                <w:sz w:val="20"/>
                <w:szCs w:val="20"/>
                <w:color w:val="auto"/>
                <w:w w:val="94"/>
              </w:rPr>
              <w:t>month. If *** sales rebate incentives *** with respect to Products purchased under this</w:t>
            </w:r>
          </w:p>
        </w:tc>
      </w:tr>
      <w:tr>
        <w:trPr>
          <w:trHeight w:val="230"/>
        </w:trPr>
        <w:tc>
          <w:tcPr>
            <w:tcW w:w="1280" w:type="dxa"/>
            <w:vAlign w:val="bottom"/>
          </w:tcPr>
          <w:p>
            <w:pPr>
              <w:spacing w:after="0"/>
              <w:rPr>
                <w:sz w:val="19"/>
                <w:szCs w:val="19"/>
                <w:color w:val="auto"/>
              </w:rPr>
            </w:pPr>
          </w:p>
        </w:tc>
        <w:tc>
          <w:tcPr>
            <w:tcW w:w="7240" w:type="dxa"/>
            <w:vAlign w:val="bottom"/>
          </w:tcPr>
          <w:p>
            <w:pPr>
              <w:ind w:left="100"/>
              <w:spacing w:after="0"/>
              <w:rPr>
                <w:sz w:val="20"/>
                <w:szCs w:val="20"/>
                <w:color w:val="auto"/>
              </w:rPr>
            </w:pPr>
            <w:r>
              <w:rPr>
                <w:rFonts w:ascii="Arial" w:cs="Arial" w:eastAsia="Arial" w:hAnsi="Arial"/>
                <w:sz w:val="20"/>
                <w:szCs w:val="20"/>
                <w:color w:val="auto"/>
                <w:w w:val="96"/>
              </w:rPr>
              <w:t>Agreement, *** shall *** for all such sales rebate incentives *** no later than *** days</w:t>
            </w:r>
          </w:p>
        </w:tc>
      </w:tr>
      <w:tr>
        <w:trPr>
          <w:trHeight w:val="250"/>
        </w:trPr>
        <w:tc>
          <w:tcPr>
            <w:tcW w:w="1280" w:type="dxa"/>
            <w:vAlign w:val="bottom"/>
          </w:tcPr>
          <w:p>
            <w:pPr>
              <w:spacing w:after="0"/>
              <w:rPr>
                <w:sz w:val="21"/>
                <w:szCs w:val="21"/>
                <w:color w:val="auto"/>
              </w:rPr>
            </w:pPr>
          </w:p>
        </w:tc>
        <w:tc>
          <w:tcPr>
            <w:tcW w:w="7240" w:type="dxa"/>
            <w:vAlign w:val="bottom"/>
          </w:tcPr>
          <w:p>
            <w:pPr>
              <w:ind w:left="100"/>
              <w:spacing w:after="0"/>
              <w:rPr>
                <w:sz w:val="20"/>
                <w:szCs w:val="20"/>
                <w:color w:val="auto"/>
              </w:rPr>
            </w:pPr>
            <w:r>
              <w:rPr>
                <w:rFonts w:ascii="Arial" w:cs="Arial" w:eastAsia="Arial" w:hAnsi="Arial"/>
                <w:sz w:val="20"/>
                <w:szCs w:val="20"/>
                <w:color w:val="auto"/>
              </w:rPr>
              <w:t>following *** reporting to *** of the payment of such</w:t>
            </w:r>
          </w:p>
        </w:tc>
      </w:tr>
      <w:tr>
        <w:trPr>
          <w:trHeight w:val="338"/>
        </w:trPr>
        <w:tc>
          <w:tcPr>
            <w:tcW w:w="1280" w:type="dxa"/>
            <w:vAlign w:val="bottom"/>
          </w:tcPr>
          <w:p>
            <w:pPr>
              <w:spacing w:after="0"/>
              <w:rPr>
                <w:sz w:val="24"/>
                <w:szCs w:val="24"/>
                <w:color w:val="auto"/>
              </w:rPr>
            </w:pPr>
          </w:p>
        </w:tc>
        <w:tc>
          <w:tcPr>
            <w:tcW w:w="7240" w:type="dxa"/>
            <w:vAlign w:val="bottom"/>
          </w:tcPr>
          <w:p>
            <w:pPr>
              <w:ind w:left="100"/>
              <w:spacing w:after="0"/>
              <w:rPr>
                <w:sz w:val="20"/>
                <w:szCs w:val="20"/>
                <w:color w:val="auto"/>
              </w:rPr>
            </w:pPr>
            <w:r>
              <w:rPr>
                <w:rFonts w:ascii="Arial" w:cs="Arial" w:eastAsia="Arial" w:hAnsi="Arial"/>
                <w:sz w:val="20"/>
                <w:szCs w:val="20"/>
                <w:color w:val="auto"/>
              </w:rPr>
              <w:t>sales rebate incentives.</w:t>
            </w:r>
          </w:p>
        </w:tc>
      </w:tr>
    </w:tbl>
    <w:p>
      <w:pPr>
        <w:spacing w:after="0" w:line="209" w:lineRule="exact"/>
        <w:rPr>
          <w:sz w:val="20"/>
          <w:szCs w:val="20"/>
          <w:color w:val="auto"/>
        </w:rPr>
      </w:pPr>
    </w:p>
    <w:p>
      <w:pPr>
        <w:jc w:val="both"/>
        <w:ind w:left="2720" w:right="1660" w:hanging="1377"/>
        <w:spacing w:after="0" w:line="342" w:lineRule="auto"/>
        <w:rPr>
          <w:sz w:val="20"/>
          <w:szCs w:val="20"/>
          <w:color w:val="auto"/>
        </w:rPr>
      </w:pPr>
      <w:r>
        <w:rPr>
          <w:rFonts w:ascii="Arial" w:cs="Arial" w:eastAsia="Arial" w:hAnsi="Arial"/>
          <w:sz w:val="16"/>
          <w:szCs w:val="16"/>
          <w:color w:val="auto"/>
        </w:rPr>
        <w:t>8.Available Tons Seller shall advise Buyer each month as to how many Tons of Product it expects to make available to Buyer for purchase in future months (“Expected Available Tons”). Expected Available Tons shall not be a commitment by Seller, but only a good faith forecast.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9.Quantity,</w:t>
            </w:r>
          </w:p>
        </w:tc>
        <w:tc>
          <w:tcPr>
            <w:tcW w:w="7440" w:type="dxa"/>
            <w:vAlign w:val="bottom"/>
          </w:tcPr>
          <w:p>
            <w:pPr>
              <w:ind w:left="60"/>
              <w:spacing w:after="0"/>
              <w:rPr>
                <w:sz w:val="20"/>
                <w:szCs w:val="20"/>
                <w:color w:val="auto"/>
              </w:rPr>
            </w:pPr>
            <w:r>
              <w:rPr>
                <w:rFonts w:ascii="Arial" w:cs="Arial" w:eastAsia="Arial" w:hAnsi="Arial"/>
                <w:sz w:val="20"/>
                <w:szCs w:val="20"/>
                <w:color w:val="auto"/>
                <w:w w:val="93"/>
              </w:rPr>
              <w:t>Buyer shall have the exclusive right (but not the obligation) to purchase all UAN produced</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20"/>
                <w:szCs w:val="20"/>
                <w:color w:val="auto"/>
                <w:w w:val="99"/>
              </w:rPr>
              <w:t>Exclusivity,</w:t>
            </w:r>
          </w:p>
        </w:tc>
        <w:tc>
          <w:tcPr>
            <w:tcW w:w="7440" w:type="dxa"/>
            <w:vAlign w:val="bottom"/>
          </w:tcPr>
          <w:p>
            <w:pPr>
              <w:ind w:left="60"/>
              <w:spacing w:after="0"/>
              <w:rPr>
                <w:sz w:val="20"/>
                <w:szCs w:val="20"/>
                <w:color w:val="auto"/>
              </w:rPr>
            </w:pPr>
            <w:r>
              <w:rPr>
                <w:rFonts w:ascii="Arial" w:cs="Arial" w:eastAsia="Arial" w:hAnsi="Arial"/>
                <w:sz w:val="20"/>
                <w:szCs w:val="20"/>
                <w:color w:val="auto"/>
                <w:w w:val="90"/>
              </w:rPr>
              <w:t>at Seller’s Facility up to the number of Expected Available Tons except a) Seller’s or Seller’s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20"/>
                <w:szCs w:val="20"/>
                <w:color w:val="auto"/>
              </w:rPr>
              <w:t>Seller’s</w:t>
            </w:r>
          </w:p>
        </w:tc>
        <w:tc>
          <w:tcPr>
            <w:tcW w:w="7440" w:type="dxa"/>
            <w:vAlign w:val="bottom"/>
          </w:tcPr>
          <w:p>
            <w:pPr>
              <w:ind w:left="60"/>
              <w:spacing w:after="0"/>
              <w:rPr>
                <w:sz w:val="20"/>
                <w:szCs w:val="20"/>
                <w:color w:val="auto"/>
              </w:rPr>
            </w:pPr>
            <w:r>
              <w:rPr>
                <w:rFonts w:ascii="Arial" w:cs="Arial" w:eastAsia="Arial" w:hAnsi="Arial"/>
                <w:sz w:val="20"/>
                <w:szCs w:val="20"/>
                <w:color w:val="auto"/>
                <w:w w:val="89"/>
              </w:rPr>
              <w:t>Affiliate’s requirements, which shall be no more than 30,000 Tons per year and no more than</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20"/>
                <w:szCs w:val="20"/>
                <w:color w:val="auto"/>
              </w:rPr>
              <w:t>Rights</w:t>
            </w:r>
          </w:p>
        </w:tc>
        <w:tc>
          <w:tcPr>
            <w:tcW w:w="7440" w:type="dxa"/>
            <w:vAlign w:val="bottom"/>
          </w:tcPr>
          <w:p>
            <w:pPr>
              <w:ind w:left="60"/>
              <w:spacing w:after="0"/>
              <w:rPr>
                <w:sz w:val="20"/>
                <w:szCs w:val="20"/>
                <w:color w:val="auto"/>
              </w:rPr>
            </w:pPr>
            <w:r>
              <w:rPr>
                <w:rFonts w:ascii="Arial" w:cs="Arial" w:eastAsia="Arial" w:hAnsi="Arial"/>
                <w:sz w:val="20"/>
                <w:szCs w:val="20"/>
                <w:color w:val="auto"/>
                <w:w w:val="94"/>
              </w:rPr>
              <w:t>10,000 Tons in any calendar quarter (“Carve-Out Product”), and b) UAN that constitutes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4"/>
              </w:rPr>
              <w:t>“Unpurchased Product” (as defined below). Seller will provide notice to Buyer of Seller’s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8"/>
              </w:rPr>
              <w:t>intent to ship Carve-Out Product no later than *** days prior to the beginning of each</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6"/>
              </w:rPr>
              <w:t>calendar quarter. For all other requests from Seller, the parties shall use commercially</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0"/>
              </w:rPr>
              <w:t>reasonable efforts to satisfy Seller’s requirements. Buyer shall market the Product produced</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2"/>
              </w:rPr>
              <w:t>by Seller with the same effort and priority as similarly situated Product produced by Buyer.</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6"/>
              </w:rPr>
              <w:t>If (i) Buyer fails to take delivery of Product produced at Seller’s Facility, and (ii) Buyer’s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2"/>
              </w:rPr>
              <w:t>failure described in (i) above causes the (a) Product storage capacity at Seller’s Facility of</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2"/>
              </w:rPr>
              <w:t>*** Tons to be more than 75% utilized, or (b) the unit at Seller’s Facility at which Product is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6"/>
              </w:rPr>
              <w:t>produced to be slowed down, shut-down or idled (“Unpurchased Product”), Seller may</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0"/>
              </w:rPr>
              <w:t>immediately sell such Unpurchased Product without restriction as Seller’s exclusive remedy.</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3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10.Reporting</w:t>
            </w:r>
          </w:p>
        </w:tc>
        <w:tc>
          <w:tcPr>
            <w:tcW w:w="7440" w:type="dxa"/>
            <w:vAlign w:val="bottom"/>
          </w:tcPr>
          <w:p>
            <w:pPr>
              <w:ind w:left="60"/>
              <w:spacing w:after="0"/>
              <w:rPr>
                <w:sz w:val="20"/>
                <w:szCs w:val="20"/>
                <w:color w:val="auto"/>
              </w:rPr>
            </w:pPr>
            <w:r>
              <w:rPr>
                <w:rFonts w:ascii="Arial" w:cs="Arial" w:eastAsia="Arial" w:hAnsi="Arial"/>
                <w:sz w:val="20"/>
                <w:szCs w:val="20"/>
                <w:color w:val="auto"/>
                <w:w w:val="90"/>
              </w:rPr>
              <w:t>Buyer shall submit Product orders to Seller, and Seller shall process such orders and submit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8760" w:type="dxa"/>
            <w:vAlign w:val="bottom"/>
            <w:gridSpan w:val="2"/>
          </w:tcPr>
          <w:p>
            <w:pPr>
              <w:ind w:left="320"/>
              <w:spacing w:after="0"/>
              <w:rPr>
                <w:sz w:val="20"/>
                <w:szCs w:val="20"/>
                <w:color w:val="auto"/>
              </w:rPr>
            </w:pPr>
            <w:r>
              <w:rPr>
                <w:rFonts w:ascii="Arial" w:cs="Arial" w:eastAsia="Arial" w:hAnsi="Arial"/>
                <w:sz w:val="20"/>
                <w:szCs w:val="20"/>
                <w:color w:val="auto"/>
                <w:w w:val="93"/>
              </w:rPr>
              <w:t>and Payment invoices to Buyer, all in accordance with the pricing outlined in Section 6. Within *** from</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0"/>
              </w:rPr>
              <w:t>the invoice date, Buyer will make payment to Seller by means of Automated Clearing House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rPr>
              <w:t>(ACH) into a U.S. bank account designated by Seller and payable in U.S. dollars.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5"/>
              </w:rPr>
              <w:t>The parties acknowledge that minor variances may occur in the billing process, such as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7"/>
              </w:rPr>
              <w:t>differences in the actual and expected freight rates due to fuel surcharges. As such, a</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rPr>
              <w:t>quarterly reconciliation process will be conducted where either party may propose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4"/>
              </w:rPr>
              <w:t>adjustments to the prior month’s billings.  The parties shall use commercially reasonable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3"/>
              </w:rPr>
              <w:t>efforts to resolve the billing differences in a timely manner, but in no case later than three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rPr>
              <w:t>weeks following the end of each calendar quarter.</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3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11.Buyers</w:t>
            </w:r>
          </w:p>
        </w:tc>
        <w:tc>
          <w:tcPr>
            <w:tcW w:w="7440" w:type="dxa"/>
            <w:vAlign w:val="bottom"/>
          </w:tcPr>
          <w:p>
            <w:pPr>
              <w:ind w:left="60"/>
              <w:spacing w:after="0"/>
              <w:rPr>
                <w:sz w:val="20"/>
                <w:szCs w:val="20"/>
                <w:color w:val="auto"/>
              </w:rPr>
            </w:pPr>
            <w:r>
              <w:rPr>
                <w:rFonts w:ascii="Arial" w:cs="Arial" w:eastAsia="Arial" w:hAnsi="Arial"/>
                <w:sz w:val="20"/>
                <w:szCs w:val="20"/>
                <w:color w:val="auto"/>
                <w:w w:val="94"/>
              </w:rPr>
              <w:t>Buyer will report weekly to Seller the volume of Product on the books for future delivery,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ind w:left="320"/>
              <w:spacing w:after="0"/>
              <w:rPr>
                <w:sz w:val="20"/>
                <w:szCs w:val="20"/>
                <w:color w:val="auto"/>
              </w:rPr>
            </w:pPr>
            <w:r>
              <w:rPr>
                <w:rFonts w:ascii="Arial" w:cs="Arial" w:eastAsia="Arial" w:hAnsi="Arial"/>
                <w:sz w:val="20"/>
                <w:szCs w:val="20"/>
                <w:color w:val="auto"/>
              </w:rPr>
              <w:t>Position</w:t>
            </w:r>
          </w:p>
        </w:tc>
        <w:tc>
          <w:tcPr>
            <w:tcW w:w="7440" w:type="dxa"/>
            <w:vAlign w:val="bottom"/>
          </w:tcPr>
          <w:p>
            <w:pPr>
              <w:ind w:left="60"/>
              <w:spacing w:after="0"/>
              <w:rPr>
                <w:sz w:val="20"/>
                <w:szCs w:val="20"/>
                <w:color w:val="auto"/>
              </w:rPr>
            </w:pPr>
            <w:r>
              <w:rPr>
                <w:rFonts w:ascii="Arial" w:cs="Arial" w:eastAsia="Arial" w:hAnsi="Arial"/>
                <w:sz w:val="20"/>
                <w:szCs w:val="20"/>
                <w:color w:val="auto"/>
              </w:rPr>
              <w:t>and an estimated timeframe for delivery of said Product.</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320" w:type="dxa"/>
            <w:vAlign w:val="bottom"/>
          </w:tcPr>
          <w:p>
            <w:pPr>
              <w:ind w:left="320"/>
              <w:spacing w:after="0"/>
              <w:rPr>
                <w:sz w:val="20"/>
                <w:szCs w:val="20"/>
                <w:color w:val="auto"/>
              </w:rPr>
            </w:pPr>
            <w:r>
              <w:rPr>
                <w:rFonts w:ascii="Arial" w:cs="Arial" w:eastAsia="Arial" w:hAnsi="Arial"/>
                <w:sz w:val="20"/>
                <w:szCs w:val="20"/>
                <w:color w:val="auto"/>
              </w:rPr>
              <w:t>Report</w:t>
            </w:r>
          </w:p>
        </w:tc>
        <w:tc>
          <w:tcPr>
            <w:tcW w:w="7440" w:type="dxa"/>
            <w:vAlign w:val="bottom"/>
            <w:vMerge w:val="restart"/>
          </w:tcPr>
          <w:p>
            <w:pPr>
              <w:ind w:left="60"/>
              <w:spacing w:after="0"/>
              <w:rPr>
                <w:sz w:val="20"/>
                <w:szCs w:val="20"/>
                <w:color w:val="auto"/>
              </w:rPr>
            </w:pPr>
            <w:r>
              <w:rPr>
                <w:rFonts w:ascii="Arial" w:cs="Arial" w:eastAsia="Arial" w:hAnsi="Arial"/>
                <w:sz w:val="20"/>
                <w:szCs w:val="20"/>
                <w:color w:val="auto"/>
                <w:w w:val="89"/>
              </w:rPr>
              <w:t>Buyer shall maintain adequate books and records to document all sales of Seller’s Product to</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744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6"/>
              </w:rPr>
              <w:t>third parties (“Third-Party Sales”). At Seller’s request, but not more frequently than one</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6"/>
              </w:rPr>
              <w:t>request in any 12 month period, Seller shall have the rights to audit Buyer’s books and</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w w:val="93"/>
              </w:rPr>
              <w:t>records pertaining to the Third-Party Sales. The Seller’s right to audit is conditioned upon</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7440" w:type="dxa"/>
            <w:vAlign w:val="bottom"/>
          </w:tcPr>
          <w:p>
            <w:pPr>
              <w:ind w:left="60"/>
              <w:spacing w:after="0"/>
              <w:rPr>
                <w:sz w:val="20"/>
                <w:szCs w:val="20"/>
                <w:color w:val="auto"/>
              </w:rPr>
            </w:pPr>
            <w:r>
              <w:rPr>
                <w:rFonts w:ascii="Arial" w:cs="Arial" w:eastAsia="Arial" w:hAnsi="Arial"/>
                <w:sz w:val="20"/>
                <w:szCs w:val="20"/>
                <w:color w:val="auto"/>
              </w:rPr>
              <w:t>reasonable prior written notice and shall be conducted at reasonable times.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34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4"/>
        </w:trPr>
        <w:tc>
          <w:tcPr>
            <w:tcW w:w="13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20"/>
                <w:szCs w:val="20"/>
                <w:color w:val="auto"/>
              </w:rPr>
              <w:t>12.Seller’s</w:t>
            </w:r>
          </w:p>
        </w:tc>
        <w:tc>
          <w:tcPr>
            <w:tcW w:w="7440" w:type="dxa"/>
            <w:vAlign w:val="bottom"/>
          </w:tcPr>
          <w:p>
            <w:pPr>
              <w:ind w:left="60"/>
              <w:spacing w:after="0"/>
              <w:rPr>
                <w:sz w:val="20"/>
                <w:szCs w:val="20"/>
                <w:color w:val="auto"/>
              </w:rPr>
            </w:pPr>
            <w:r>
              <w:rPr>
                <w:rFonts w:ascii="Arial" w:cs="Arial" w:eastAsia="Arial" w:hAnsi="Arial"/>
                <w:sz w:val="20"/>
                <w:szCs w:val="20"/>
                <w:color w:val="auto"/>
              </w:rPr>
              <w:t>Seller’s chemical plant facility located at Pryor, Oklahoma (“Seller’s Facility”).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340" w:type="dxa"/>
            <w:vAlign w:val="bottom"/>
          </w:tcPr>
          <w:p>
            <w:pPr>
              <w:spacing w:after="0"/>
              <w:rPr>
                <w:sz w:val="21"/>
                <w:szCs w:val="21"/>
                <w:color w:val="auto"/>
              </w:rPr>
            </w:pPr>
          </w:p>
        </w:tc>
        <w:tc>
          <w:tcPr>
            <w:tcW w:w="132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Facility</w:t>
            </w:r>
          </w:p>
        </w:tc>
        <w:tc>
          <w:tcPr>
            <w:tcW w:w="7440" w:type="dxa"/>
            <w:vAlign w:val="bottom"/>
            <w:tcBorders>
              <w:bottom w:val="single" w:sz="8" w:color="auto"/>
            </w:tcBorders>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40" w:type="dxa"/>
            <w:vAlign w:val="bottom"/>
          </w:tcPr>
          <w:p>
            <w:pPr>
              <w:ind w:left="3000"/>
              <w:spacing w:after="0"/>
              <w:rPr>
                <w:sz w:val="20"/>
                <w:szCs w:val="20"/>
                <w:color w:val="auto"/>
              </w:rPr>
            </w:pPr>
            <w:r>
              <w:rPr>
                <w:rFonts w:ascii="Arial" w:cs="Arial" w:eastAsia="Arial" w:hAnsi="Arial"/>
                <w:sz w:val="20"/>
                <w:szCs w:val="20"/>
                <w:color w:val="auto"/>
              </w:rPr>
              <w:t>2</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1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5" w:name="page56"/>
    <w:bookmarkEnd w:id="55"/>
    <w:p>
      <w:pPr>
        <w:jc w:val="center"/>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795020</wp:posOffset>
            </wp:positionH>
            <wp:positionV relativeFrom="paragraph">
              <wp:posOffset>121285</wp:posOffset>
            </wp:positionV>
            <wp:extent cx="5574030" cy="74352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7435215"/>
                    </a:xfrm>
                    <a:prstGeom prst="rect">
                      <a:avLst/>
                    </a:prstGeom>
                    <a:noFill/>
                  </pic:spPr>
                </pic:pic>
              </a:graphicData>
            </a:graphic>
          </wp:anchor>
        </w:drawing>
      </w:r>
    </w:p>
    <w:p>
      <w:pPr>
        <w:spacing w:after="0" w:line="276"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13.Delivery</w:t>
            </w:r>
          </w:p>
        </w:tc>
        <w:tc>
          <w:tcPr>
            <w:tcW w:w="7300" w:type="dxa"/>
            <w:vAlign w:val="bottom"/>
          </w:tcPr>
          <w:p>
            <w:pPr>
              <w:ind w:left="160"/>
              <w:spacing w:after="0"/>
              <w:rPr>
                <w:sz w:val="20"/>
                <w:szCs w:val="20"/>
                <w:color w:val="auto"/>
              </w:rPr>
            </w:pPr>
            <w:r>
              <w:rPr>
                <w:rFonts w:ascii="Arial" w:cs="Arial" w:eastAsia="Arial" w:hAnsi="Arial"/>
                <w:sz w:val="20"/>
                <w:szCs w:val="20"/>
                <w:color w:val="auto"/>
                <w:w w:val="96"/>
              </w:rPr>
              <w:t>All Product shall be delivered to Buyer on an FCA Free Carrier (INCOTERMS 2010)</w:t>
            </w:r>
          </w:p>
        </w:tc>
      </w:tr>
      <w:tr>
        <w:trPr>
          <w:trHeight w:val="230"/>
        </w:trPr>
        <w:tc>
          <w:tcPr>
            <w:tcW w:w="8760" w:type="dxa"/>
            <w:vAlign w:val="bottom"/>
            <w:gridSpan w:val="2"/>
          </w:tcPr>
          <w:p>
            <w:pPr>
              <w:ind w:left="320"/>
              <w:spacing w:after="0"/>
              <w:rPr>
                <w:sz w:val="20"/>
                <w:szCs w:val="20"/>
                <w:color w:val="auto"/>
              </w:rPr>
            </w:pPr>
            <w:r>
              <w:rPr>
                <w:rFonts w:ascii="Arial" w:cs="Arial" w:eastAsia="Arial" w:hAnsi="Arial"/>
                <w:sz w:val="20"/>
                <w:szCs w:val="20"/>
                <w:color w:val="auto"/>
                <w:w w:val="98"/>
              </w:rPr>
              <w:t>Terms/Shipping Seller’s Facility basis. Product may be delivered to railcars or trucks arranged by</w:t>
            </w:r>
          </w:p>
        </w:tc>
      </w:tr>
      <w:tr>
        <w:trPr>
          <w:trHeight w:val="250"/>
        </w:trPr>
        <w:tc>
          <w:tcPr>
            <w:tcW w:w="1460" w:type="dxa"/>
            <w:vAlign w:val="bottom"/>
          </w:tcPr>
          <w:p>
            <w:pPr>
              <w:ind w:left="320"/>
              <w:spacing w:after="0"/>
              <w:rPr>
                <w:sz w:val="20"/>
                <w:szCs w:val="20"/>
                <w:color w:val="auto"/>
              </w:rPr>
            </w:pPr>
            <w:r>
              <w:rPr>
                <w:rFonts w:ascii="Arial" w:cs="Arial" w:eastAsia="Arial" w:hAnsi="Arial"/>
                <w:sz w:val="20"/>
                <w:szCs w:val="20"/>
                <w:color w:val="auto"/>
              </w:rPr>
              <w:t>Mode</w:t>
            </w:r>
          </w:p>
        </w:tc>
        <w:tc>
          <w:tcPr>
            <w:tcW w:w="7300" w:type="dxa"/>
            <w:vAlign w:val="bottom"/>
          </w:tcPr>
          <w:p>
            <w:pPr>
              <w:ind w:left="160"/>
              <w:spacing w:after="0"/>
              <w:rPr>
                <w:sz w:val="20"/>
                <w:szCs w:val="20"/>
                <w:color w:val="auto"/>
              </w:rPr>
            </w:pPr>
            <w:r>
              <w:rPr>
                <w:rFonts w:ascii="Arial" w:cs="Arial" w:eastAsia="Arial" w:hAnsi="Arial"/>
                <w:sz w:val="20"/>
                <w:szCs w:val="20"/>
                <w:color w:val="auto"/>
              </w:rPr>
              <w:t>Buyer. Timely delivery of Product is of importance to the parties.</w:t>
            </w:r>
          </w:p>
        </w:tc>
      </w:tr>
      <w:tr>
        <w:trPr>
          <w:trHeight w:val="104"/>
        </w:trPr>
        <w:tc>
          <w:tcPr>
            <w:tcW w:w="1460" w:type="dxa"/>
            <w:vAlign w:val="bottom"/>
            <w:tcBorders>
              <w:bottom w:val="single" w:sz="8" w:color="auto"/>
            </w:tcBorders>
          </w:tcPr>
          <w:p>
            <w:pPr>
              <w:spacing w:after="0"/>
              <w:rPr>
                <w:sz w:val="9"/>
                <w:szCs w:val="9"/>
                <w:color w:val="auto"/>
              </w:rPr>
            </w:pPr>
          </w:p>
        </w:tc>
        <w:tc>
          <w:tcPr>
            <w:tcW w:w="7300" w:type="dxa"/>
            <w:vAlign w:val="bottom"/>
            <w:tcBorders>
              <w:bottom w:val="single" w:sz="8" w:color="auto"/>
            </w:tcBorders>
          </w:tcPr>
          <w:p>
            <w:pPr>
              <w:spacing w:after="0"/>
              <w:rPr>
                <w:sz w:val="9"/>
                <w:szCs w:val="9"/>
                <w:color w:val="auto"/>
              </w:rPr>
            </w:pPr>
          </w:p>
        </w:tc>
      </w:tr>
      <w:tr>
        <w:trPr>
          <w:trHeight w:val="314"/>
        </w:trPr>
        <w:tc>
          <w:tcPr>
            <w:tcW w:w="1460" w:type="dxa"/>
            <w:vAlign w:val="bottom"/>
          </w:tcPr>
          <w:p>
            <w:pPr>
              <w:spacing w:after="0"/>
              <w:rPr>
                <w:sz w:val="20"/>
                <w:szCs w:val="20"/>
                <w:color w:val="auto"/>
              </w:rPr>
            </w:pPr>
            <w:r>
              <w:rPr>
                <w:rFonts w:ascii="Arial" w:cs="Arial" w:eastAsia="Arial" w:hAnsi="Arial"/>
                <w:sz w:val="20"/>
                <w:szCs w:val="20"/>
                <w:color w:val="auto"/>
              </w:rPr>
              <w:t>14.Seller</w:t>
            </w:r>
          </w:p>
        </w:tc>
        <w:tc>
          <w:tcPr>
            <w:tcW w:w="7300" w:type="dxa"/>
            <w:vAlign w:val="bottom"/>
          </w:tcPr>
          <w:p>
            <w:pPr>
              <w:ind w:left="160"/>
              <w:spacing w:after="0"/>
              <w:rPr>
                <w:sz w:val="20"/>
                <w:szCs w:val="20"/>
                <w:color w:val="auto"/>
              </w:rPr>
            </w:pPr>
            <w:r>
              <w:rPr>
                <w:rFonts w:ascii="Arial" w:cs="Arial" w:eastAsia="Arial" w:hAnsi="Arial"/>
                <w:sz w:val="20"/>
                <w:szCs w:val="20"/>
                <w:color w:val="auto"/>
                <w:w w:val="92"/>
              </w:rPr>
              <w:t>Seller shall use commercially reasonable efforts to provide Buyer with at least 120 days</w:t>
            </w:r>
          </w:p>
        </w:tc>
      </w:tr>
      <w:tr>
        <w:trPr>
          <w:trHeight w:val="230"/>
        </w:trPr>
        <w:tc>
          <w:tcPr>
            <w:tcW w:w="1460" w:type="dxa"/>
            <w:vAlign w:val="bottom"/>
          </w:tcPr>
          <w:p>
            <w:pPr>
              <w:ind w:left="320"/>
              <w:spacing w:after="0"/>
              <w:rPr>
                <w:sz w:val="20"/>
                <w:szCs w:val="20"/>
                <w:color w:val="auto"/>
              </w:rPr>
            </w:pPr>
            <w:r>
              <w:rPr>
                <w:rFonts w:ascii="Arial" w:cs="Arial" w:eastAsia="Arial" w:hAnsi="Arial"/>
                <w:sz w:val="20"/>
                <w:szCs w:val="20"/>
                <w:color w:val="auto"/>
              </w:rPr>
              <w:t>Turnaround</w:t>
            </w:r>
          </w:p>
        </w:tc>
        <w:tc>
          <w:tcPr>
            <w:tcW w:w="7300" w:type="dxa"/>
            <w:vAlign w:val="bottom"/>
          </w:tcPr>
          <w:p>
            <w:pPr>
              <w:ind w:left="160"/>
              <w:spacing w:after="0"/>
              <w:rPr>
                <w:sz w:val="20"/>
                <w:szCs w:val="20"/>
                <w:color w:val="auto"/>
              </w:rPr>
            </w:pPr>
            <w:r>
              <w:rPr>
                <w:rFonts w:ascii="Arial" w:cs="Arial" w:eastAsia="Arial" w:hAnsi="Arial"/>
                <w:sz w:val="20"/>
                <w:szCs w:val="20"/>
                <w:color w:val="auto"/>
                <w:w w:val="93"/>
              </w:rPr>
              <w:t>prior notice of the commencement of any turnaround at Seller’s Facility, describing the</w:t>
            </w:r>
          </w:p>
        </w:tc>
      </w:tr>
      <w:tr>
        <w:trPr>
          <w:trHeight w:val="250"/>
        </w:trPr>
        <w:tc>
          <w:tcPr>
            <w:tcW w:w="146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expected commencement date, scope, and length of such turnaround.</w:t>
            </w:r>
          </w:p>
        </w:tc>
      </w:tr>
      <w:tr>
        <w:trPr>
          <w:trHeight w:val="104"/>
        </w:trPr>
        <w:tc>
          <w:tcPr>
            <w:tcW w:w="1460" w:type="dxa"/>
            <w:vAlign w:val="bottom"/>
            <w:tcBorders>
              <w:bottom w:val="single" w:sz="8" w:color="auto"/>
            </w:tcBorders>
          </w:tcPr>
          <w:p>
            <w:pPr>
              <w:spacing w:after="0"/>
              <w:rPr>
                <w:sz w:val="9"/>
                <w:szCs w:val="9"/>
                <w:color w:val="auto"/>
              </w:rPr>
            </w:pPr>
          </w:p>
        </w:tc>
        <w:tc>
          <w:tcPr>
            <w:tcW w:w="7300" w:type="dxa"/>
            <w:vAlign w:val="bottom"/>
            <w:tcBorders>
              <w:bottom w:val="single" w:sz="8" w:color="auto"/>
            </w:tcBorders>
          </w:tcPr>
          <w:p>
            <w:pPr>
              <w:spacing w:after="0"/>
              <w:rPr>
                <w:sz w:val="9"/>
                <w:szCs w:val="9"/>
                <w:color w:val="auto"/>
              </w:rPr>
            </w:pPr>
          </w:p>
        </w:tc>
      </w:tr>
      <w:tr>
        <w:trPr>
          <w:trHeight w:val="314"/>
        </w:trPr>
        <w:tc>
          <w:tcPr>
            <w:tcW w:w="1460" w:type="dxa"/>
            <w:vAlign w:val="bottom"/>
          </w:tcPr>
          <w:p>
            <w:pPr>
              <w:spacing w:after="0"/>
              <w:rPr>
                <w:sz w:val="20"/>
                <w:szCs w:val="20"/>
                <w:color w:val="auto"/>
              </w:rPr>
            </w:pPr>
            <w:r>
              <w:rPr>
                <w:rFonts w:ascii="Arial" w:cs="Arial" w:eastAsia="Arial" w:hAnsi="Arial"/>
                <w:sz w:val="20"/>
                <w:szCs w:val="20"/>
                <w:color w:val="auto"/>
              </w:rPr>
              <w:t>15.Make-Whole</w:t>
            </w:r>
          </w:p>
        </w:tc>
        <w:tc>
          <w:tcPr>
            <w:tcW w:w="7300" w:type="dxa"/>
            <w:vAlign w:val="bottom"/>
          </w:tcPr>
          <w:p>
            <w:pPr>
              <w:ind w:left="160"/>
              <w:spacing w:after="0"/>
              <w:rPr>
                <w:sz w:val="20"/>
                <w:szCs w:val="20"/>
                <w:color w:val="auto"/>
              </w:rPr>
            </w:pPr>
            <w:r>
              <w:rPr>
                <w:rFonts w:ascii="Arial" w:cs="Arial" w:eastAsia="Arial" w:hAnsi="Arial"/>
                <w:sz w:val="20"/>
                <w:szCs w:val="20"/>
                <w:color w:val="auto"/>
                <w:w w:val="98"/>
              </w:rPr>
              <w:t>Seller must timely deliver all Product ordered by Buyer. Seller’s obligation to make</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0"/>
              </w:rPr>
              <w:t>timely delivery of Product ordered by Buyer is absolute and shall not be affected by force</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2"/>
              </w:rPr>
              <w:t>majeure, other than a tornado, earthquake, hurricane, or terrorist attack that destroys or</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otherwise incapacitates Seller’s Facility (in such limited cases, a “Force Majeure</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3"/>
              </w:rPr>
              <w:t>Event”). Seller shall notify Buyer as far in advance as practical if Seller anticipates any</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3"/>
              </w:rPr>
              <w:t>inability to make timely delivery of Product ordered by Buyer from Product produced at</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2"/>
              </w:rPr>
              <w:t>Seller’s Facility (a “Product Shortfall”). In the event of a Product Shortfall for any reason</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3"/>
              </w:rPr>
              <w:t>(other than a Force Majeure Event), Seller shall procure Product from other sources to</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meet Buyer’s order schedule at no additional cost to Buyer. Buyer will work</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cooperatively with Seller to help minimize the cost incurred by Seller to procure</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2"/>
              </w:rPr>
              <w:t>substitute Product to cover Product delivery commitments of Seller. Without limiting the</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5"/>
              </w:rPr>
              <w:t>foregoing obligations of Seller, except in the case of a Force Majeure Event, if Buyer</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4"/>
              </w:rPr>
              <w:t>reasonably determines that Seller will not timely deliver Product (whether produced at</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8"/>
              </w:rPr>
              <w:t>Seller’s Facility or obtained by Seller on the market) ordered by Buyer, Buyer may</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9"/>
              </w:rPr>
              <w:t>procure Product from other sources, and in such cases Seller shall pay Buyer the</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1"/>
              </w:rPr>
              <w:t>difference between the price for Product ordered from Seller and the price Buyer pays to</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6"/>
              </w:rPr>
              <w:t>procure Product from another source, plus any additional costs incurred by Buyer in</w:t>
            </w:r>
          </w:p>
        </w:tc>
      </w:tr>
      <w:tr>
        <w:trPr>
          <w:trHeight w:val="250"/>
        </w:trPr>
        <w:tc>
          <w:tcPr>
            <w:tcW w:w="146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procuring such Product from another source.</w:t>
            </w:r>
          </w:p>
        </w:tc>
      </w:tr>
      <w:tr>
        <w:trPr>
          <w:trHeight w:val="317"/>
        </w:trPr>
        <w:tc>
          <w:tcPr>
            <w:tcW w:w="146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1"/>
              </w:rPr>
              <w:t>Each party stipulates that the payment obligation in this Section 15 is reasonable in light</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3"/>
              </w:rPr>
              <w:t>of the anticipated harm and the difficulty of estimation or calculation of actual damages</w:t>
            </w:r>
          </w:p>
        </w:tc>
      </w:tr>
      <w:tr>
        <w:trPr>
          <w:trHeight w:val="230"/>
        </w:trPr>
        <w:tc>
          <w:tcPr>
            <w:tcW w:w="146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6"/>
              </w:rPr>
              <w:t>and hereby waives the right to contest such payment as an unreasonable penalty or</w:t>
            </w:r>
          </w:p>
        </w:tc>
      </w:tr>
      <w:tr>
        <w:trPr>
          <w:trHeight w:val="250"/>
        </w:trPr>
        <w:tc>
          <w:tcPr>
            <w:tcW w:w="146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otherwise.</w:t>
            </w:r>
          </w:p>
        </w:tc>
      </w:tr>
      <w:tr>
        <w:trPr>
          <w:trHeight w:val="317"/>
        </w:trPr>
        <w:tc>
          <w:tcPr>
            <w:tcW w:w="1460" w:type="dxa"/>
            <w:vAlign w:val="bottom"/>
          </w:tcPr>
          <w:p>
            <w:pPr>
              <w:spacing w:after="0"/>
              <w:rPr>
                <w:sz w:val="24"/>
                <w:szCs w:val="24"/>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Notwithstanding anything seemingly to the contrary in this Agreement, Seller’s</w:t>
            </w:r>
          </w:p>
        </w:tc>
      </w:tr>
      <w:tr>
        <w:trPr>
          <w:trHeight w:val="250"/>
        </w:trPr>
        <w:tc>
          <w:tcPr>
            <w:tcW w:w="146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w w:val="98"/>
              </w:rPr>
              <w:t>obligation to deliver Product to Buyer is limited to Product orders placed by Buyer.</w:t>
            </w:r>
          </w:p>
        </w:tc>
      </w:tr>
      <w:tr>
        <w:trPr>
          <w:trHeight w:val="104"/>
        </w:trPr>
        <w:tc>
          <w:tcPr>
            <w:tcW w:w="1460" w:type="dxa"/>
            <w:vAlign w:val="bottom"/>
            <w:tcBorders>
              <w:bottom w:val="single" w:sz="8" w:color="auto"/>
            </w:tcBorders>
          </w:tcPr>
          <w:p>
            <w:pPr>
              <w:spacing w:after="0"/>
              <w:rPr>
                <w:sz w:val="9"/>
                <w:szCs w:val="9"/>
                <w:color w:val="auto"/>
              </w:rPr>
            </w:pPr>
          </w:p>
        </w:tc>
        <w:tc>
          <w:tcPr>
            <w:tcW w:w="7300" w:type="dxa"/>
            <w:vAlign w:val="bottom"/>
            <w:tcBorders>
              <w:bottom w:val="single" w:sz="8" w:color="auto"/>
            </w:tcBorders>
          </w:tcPr>
          <w:p>
            <w:pPr>
              <w:spacing w:after="0"/>
              <w:rPr>
                <w:sz w:val="9"/>
                <w:szCs w:val="9"/>
                <w:color w:val="auto"/>
              </w:rPr>
            </w:pPr>
          </w:p>
        </w:tc>
      </w:tr>
      <w:tr>
        <w:trPr>
          <w:trHeight w:val="314"/>
        </w:trPr>
        <w:tc>
          <w:tcPr>
            <w:tcW w:w="1460" w:type="dxa"/>
            <w:vAlign w:val="bottom"/>
          </w:tcPr>
          <w:p>
            <w:pPr>
              <w:spacing w:after="0"/>
              <w:rPr>
                <w:sz w:val="20"/>
                <w:szCs w:val="20"/>
                <w:color w:val="auto"/>
              </w:rPr>
            </w:pPr>
            <w:r>
              <w:rPr>
                <w:rFonts w:ascii="Arial" w:cs="Arial" w:eastAsia="Arial" w:hAnsi="Arial"/>
                <w:sz w:val="20"/>
                <w:szCs w:val="20"/>
                <w:color w:val="auto"/>
              </w:rPr>
              <w:t>16.Railcars</w:t>
            </w:r>
          </w:p>
        </w:tc>
        <w:tc>
          <w:tcPr>
            <w:tcW w:w="7300" w:type="dxa"/>
            <w:vAlign w:val="bottom"/>
          </w:tcPr>
          <w:p>
            <w:pPr>
              <w:ind w:left="160"/>
              <w:spacing w:after="0"/>
              <w:rPr>
                <w:sz w:val="20"/>
                <w:szCs w:val="20"/>
                <w:color w:val="auto"/>
              </w:rPr>
            </w:pPr>
            <w:r>
              <w:rPr>
                <w:rFonts w:ascii="Arial" w:cs="Arial" w:eastAsia="Arial" w:hAnsi="Arial"/>
                <w:sz w:val="20"/>
                <w:szCs w:val="20"/>
                <w:color w:val="auto"/>
                <w:w w:val="94"/>
              </w:rPr>
              <w:t>Seller will provide railcars to Buyer (the “Railcars”) to facilitate deliveries of Product to</w:t>
            </w:r>
          </w:p>
        </w:tc>
      </w:tr>
      <w:tr>
        <w:trPr>
          <w:trHeight w:val="250"/>
        </w:trPr>
        <w:tc>
          <w:tcPr>
            <w:tcW w:w="1460" w:type="dxa"/>
            <w:vAlign w:val="bottom"/>
          </w:tcPr>
          <w:p>
            <w:pPr>
              <w:spacing w:after="0"/>
              <w:rPr>
                <w:sz w:val="21"/>
                <w:szCs w:val="21"/>
                <w:color w:val="auto"/>
              </w:rPr>
            </w:pPr>
          </w:p>
        </w:tc>
        <w:tc>
          <w:tcPr>
            <w:tcW w:w="7300" w:type="dxa"/>
            <w:vAlign w:val="bottom"/>
          </w:tcPr>
          <w:p>
            <w:pPr>
              <w:ind w:left="160"/>
              <w:spacing w:after="0"/>
              <w:rPr>
                <w:sz w:val="20"/>
                <w:szCs w:val="20"/>
                <w:color w:val="auto"/>
              </w:rPr>
            </w:pPr>
            <w:r>
              <w:rPr>
                <w:rFonts w:ascii="Arial" w:cs="Arial" w:eastAsia="Arial" w:hAnsi="Arial"/>
                <w:sz w:val="20"/>
                <w:szCs w:val="20"/>
                <w:color w:val="auto"/>
              </w:rPr>
              <w:t>Buyer and its customers, under a Railcar Agreement.</w:t>
            </w:r>
          </w:p>
        </w:tc>
      </w:tr>
      <w:tr>
        <w:trPr>
          <w:trHeight w:val="104"/>
        </w:trPr>
        <w:tc>
          <w:tcPr>
            <w:tcW w:w="1460" w:type="dxa"/>
            <w:vAlign w:val="bottom"/>
            <w:tcBorders>
              <w:bottom w:val="single" w:sz="8" w:color="auto"/>
            </w:tcBorders>
          </w:tcPr>
          <w:p>
            <w:pPr>
              <w:spacing w:after="0"/>
              <w:rPr>
                <w:sz w:val="9"/>
                <w:szCs w:val="9"/>
                <w:color w:val="auto"/>
              </w:rPr>
            </w:pPr>
          </w:p>
        </w:tc>
        <w:tc>
          <w:tcPr>
            <w:tcW w:w="7300" w:type="dxa"/>
            <w:vAlign w:val="bottom"/>
            <w:tcBorders>
              <w:bottom w:val="single" w:sz="8" w:color="auto"/>
            </w:tcBorders>
          </w:tcPr>
          <w:p>
            <w:pPr>
              <w:spacing w:after="0"/>
              <w:rPr>
                <w:sz w:val="9"/>
                <w:szCs w:val="9"/>
                <w:color w:val="auto"/>
              </w:rPr>
            </w:pPr>
          </w:p>
        </w:tc>
      </w:tr>
      <w:tr>
        <w:trPr>
          <w:trHeight w:val="314"/>
        </w:trPr>
        <w:tc>
          <w:tcPr>
            <w:tcW w:w="1460" w:type="dxa"/>
            <w:vAlign w:val="bottom"/>
          </w:tcPr>
          <w:p>
            <w:pPr>
              <w:spacing w:after="0"/>
              <w:rPr>
                <w:sz w:val="20"/>
                <w:szCs w:val="20"/>
                <w:color w:val="auto"/>
              </w:rPr>
            </w:pPr>
            <w:r>
              <w:rPr>
                <w:rFonts w:ascii="Arial" w:cs="Arial" w:eastAsia="Arial" w:hAnsi="Arial"/>
                <w:sz w:val="20"/>
                <w:szCs w:val="20"/>
                <w:color w:val="auto"/>
              </w:rPr>
              <w:t>17.Access to</w:t>
            </w:r>
          </w:p>
        </w:tc>
        <w:tc>
          <w:tcPr>
            <w:tcW w:w="7300" w:type="dxa"/>
            <w:vAlign w:val="bottom"/>
          </w:tcPr>
          <w:p>
            <w:pPr>
              <w:ind w:left="160"/>
              <w:spacing w:after="0"/>
              <w:rPr>
                <w:sz w:val="20"/>
                <w:szCs w:val="20"/>
                <w:color w:val="auto"/>
              </w:rPr>
            </w:pPr>
            <w:r>
              <w:rPr>
                <w:rFonts w:ascii="Arial" w:cs="Arial" w:eastAsia="Arial" w:hAnsi="Arial"/>
                <w:sz w:val="20"/>
                <w:szCs w:val="20"/>
                <w:color w:val="auto"/>
                <w:w w:val="95"/>
              </w:rPr>
              <w:t>All drivers for motor carriers loading Product at the Seller’s Facility will be required to</w:t>
            </w:r>
          </w:p>
        </w:tc>
      </w:tr>
      <w:tr>
        <w:trPr>
          <w:trHeight w:val="250"/>
        </w:trPr>
        <w:tc>
          <w:tcPr>
            <w:tcW w:w="8760" w:type="dxa"/>
            <w:vAlign w:val="bottom"/>
            <w:gridSpan w:val="2"/>
          </w:tcPr>
          <w:p>
            <w:pPr>
              <w:ind w:left="320"/>
              <w:spacing w:after="0"/>
              <w:rPr>
                <w:sz w:val="20"/>
                <w:szCs w:val="20"/>
                <w:color w:val="auto"/>
              </w:rPr>
            </w:pPr>
            <w:r>
              <w:rPr>
                <w:rFonts w:ascii="Arial" w:cs="Arial" w:eastAsia="Arial" w:hAnsi="Arial"/>
                <w:sz w:val="20"/>
                <w:szCs w:val="20"/>
                <w:color w:val="auto"/>
              </w:rPr>
              <w:t>Seller’s Facility follow Seller’s plant safety rules.</w:t>
            </w:r>
          </w:p>
        </w:tc>
      </w:tr>
    </w:tbl>
    <w:p>
      <w:pPr>
        <w:spacing w:after="0" w:line="209" w:lineRule="exact"/>
        <w:rPr>
          <w:sz w:val="20"/>
          <w:szCs w:val="20"/>
          <w:color w:val="auto"/>
        </w:rPr>
      </w:pPr>
    </w:p>
    <w:p>
      <w:pPr>
        <w:ind w:left="2880" w:right="1280" w:hanging="1606"/>
        <w:spacing w:after="0" w:line="241" w:lineRule="auto"/>
        <w:rPr>
          <w:sz w:val="20"/>
          <w:szCs w:val="20"/>
          <w:color w:val="auto"/>
        </w:rPr>
      </w:pPr>
      <w:r>
        <w:rPr>
          <w:rFonts w:ascii="Arial" w:cs="Arial" w:eastAsia="Arial" w:hAnsi="Arial"/>
          <w:sz w:val="20"/>
          <w:szCs w:val="20"/>
          <w:color w:val="auto"/>
        </w:rPr>
        <w:t>18.Indemnification Seller shall indemnify, defend, and hold harmless Buyer, its direct and indirect parent, affiliate, and subsidiary entities, and each of their respective officers, directors, employees, and agents (each an “Indemnified Party”) against any and all losses, damages, liabilities, deficiencies, claims, actions, judgments, settlements, awards, penalties, fines, costs or expenses of any kind, including reasonable attorneys’ fees (collectively, “Losses”), incurred by an Indemnified Party relating to any claim of a third party arising out of or in connection with the Products purchased from Seller or from Seller’s negligence, willful misconduct, or breach of this Agreement. Seller’s parent shall execute this Agreement for the sole purpose of guaranteeing Seller’s obligations under this Section.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297815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126" w:right="299" w:bottom="1440" w:gutter="0" w:footer="0" w:header="0"/>
        </w:sectPr>
      </w:pPr>
    </w:p>
    <w:bookmarkStart w:id="56" w:name="page57"/>
    <w:bookmarkEnd w:id="56"/>
    <w:p>
      <w:pPr>
        <w:jc w:val="center"/>
        <w:ind w:left="320"/>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121285</wp:posOffset>
            </wp:positionV>
            <wp:extent cx="5574030" cy="58400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5840095"/>
                    </a:xfrm>
                    <a:prstGeom prst="rect">
                      <a:avLst/>
                    </a:prstGeom>
                    <a:noFill/>
                  </pic:spPr>
                </pic:pic>
              </a:graphicData>
            </a:graphic>
          </wp:anchor>
        </w:drawing>
      </w:r>
    </w:p>
    <w:p>
      <w:pPr>
        <w:spacing w:after="0" w:line="27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20"/>
                <w:szCs w:val="20"/>
                <w:color w:val="auto"/>
              </w:rPr>
              <w:t>19.Insurance</w:t>
            </w:r>
          </w:p>
        </w:tc>
        <w:tc>
          <w:tcPr>
            <w:tcW w:w="7420" w:type="dxa"/>
            <w:vAlign w:val="bottom"/>
          </w:tcPr>
          <w:p>
            <w:pPr>
              <w:ind w:left="140"/>
              <w:spacing w:after="0"/>
              <w:rPr>
                <w:sz w:val="20"/>
                <w:szCs w:val="20"/>
                <w:color w:val="auto"/>
              </w:rPr>
            </w:pPr>
            <w:r>
              <w:rPr>
                <w:rFonts w:ascii="Arial" w:cs="Arial" w:eastAsia="Arial" w:hAnsi="Arial"/>
                <w:sz w:val="20"/>
                <w:szCs w:val="20"/>
                <w:color w:val="auto"/>
                <w:w w:val="92"/>
              </w:rPr>
              <w:t>Seller agrees to maintain during the term of this Agreement Commercial General Liability</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w w:val="92"/>
              </w:rPr>
              <w:t>insurance with a minimum limit of $5,000,000 per occurrence. This insurance will include</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w w:val="91"/>
              </w:rPr>
              <w:t>vendor endorsement naming Buyer as Additional Named Insured using ISO form #CG 20-</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w w:val="92"/>
              </w:rPr>
              <w:t>15-11-88, or equivalent. Seller agrees to waive their insurers’ right of subrogation against</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rPr>
              <w:t>Buyer, for any insurance maintained by Seller which meets any indemnification</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w w:val="95"/>
              </w:rPr>
              <w:t>requirements of Seller in this Agreement. Seller will provide Buyer with a Certificate of</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w w:val="91"/>
              </w:rPr>
              <w:t>Insurance evidencing this insurance is continuously maintained. The amount of insurance</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rPr>
              <w:t>required is not intended to limit or cap indemnity obligations of Seller under this</w:t>
            </w:r>
          </w:p>
        </w:tc>
      </w:tr>
      <w:tr>
        <w:trPr>
          <w:trHeight w:val="250"/>
        </w:trPr>
        <w:tc>
          <w:tcPr>
            <w:tcW w:w="1340" w:type="dxa"/>
            <w:vAlign w:val="bottom"/>
          </w:tcPr>
          <w:p>
            <w:pPr>
              <w:spacing w:after="0"/>
              <w:rPr>
                <w:sz w:val="21"/>
                <w:szCs w:val="21"/>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rPr>
              <w:t>Agreement.</w:t>
            </w:r>
          </w:p>
        </w:tc>
      </w:tr>
      <w:tr>
        <w:trPr>
          <w:trHeight w:val="104"/>
        </w:trPr>
        <w:tc>
          <w:tcPr>
            <w:tcW w:w="1340" w:type="dxa"/>
            <w:vAlign w:val="bottom"/>
            <w:tcBorders>
              <w:bottom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r>
      <w:tr>
        <w:trPr>
          <w:trHeight w:val="314"/>
        </w:trPr>
        <w:tc>
          <w:tcPr>
            <w:tcW w:w="1340" w:type="dxa"/>
            <w:vAlign w:val="bottom"/>
          </w:tcPr>
          <w:p>
            <w:pPr>
              <w:spacing w:after="0"/>
              <w:rPr>
                <w:sz w:val="20"/>
                <w:szCs w:val="20"/>
                <w:color w:val="auto"/>
              </w:rPr>
            </w:pPr>
            <w:r>
              <w:rPr>
                <w:rFonts w:ascii="Arial" w:cs="Arial" w:eastAsia="Arial" w:hAnsi="Arial"/>
                <w:sz w:val="20"/>
                <w:szCs w:val="20"/>
                <w:color w:val="auto"/>
              </w:rPr>
              <w:t>20.Buyer’s</w:t>
            </w:r>
          </w:p>
        </w:tc>
        <w:tc>
          <w:tcPr>
            <w:tcW w:w="7420" w:type="dxa"/>
            <w:vAlign w:val="bottom"/>
          </w:tcPr>
          <w:p>
            <w:pPr>
              <w:ind w:left="140"/>
              <w:spacing w:after="0"/>
              <w:rPr>
                <w:sz w:val="20"/>
                <w:szCs w:val="20"/>
                <w:color w:val="auto"/>
              </w:rPr>
            </w:pPr>
            <w:r>
              <w:rPr>
                <w:rFonts w:ascii="Arial" w:cs="Arial" w:eastAsia="Arial" w:hAnsi="Arial"/>
                <w:sz w:val="20"/>
                <w:szCs w:val="20"/>
                <w:color w:val="auto"/>
                <w:w w:val="93"/>
              </w:rPr>
              <w:t>The General Terms and Conditions for Sales of Fertilizer Products (“General Terms and</w:t>
            </w:r>
          </w:p>
        </w:tc>
      </w:tr>
      <w:tr>
        <w:trPr>
          <w:trHeight w:val="230"/>
        </w:trPr>
        <w:tc>
          <w:tcPr>
            <w:tcW w:w="1340" w:type="dxa"/>
            <w:vAlign w:val="bottom"/>
          </w:tcPr>
          <w:p>
            <w:pPr>
              <w:ind w:left="320"/>
              <w:spacing w:after="0"/>
              <w:rPr>
                <w:sz w:val="20"/>
                <w:szCs w:val="20"/>
                <w:color w:val="auto"/>
              </w:rPr>
            </w:pPr>
            <w:r>
              <w:rPr>
                <w:rFonts w:ascii="Arial" w:cs="Arial" w:eastAsia="Arial" w:hAnsi="Arial"/>
                <w:sz w:val="20"/>
                <w:szCs w:val="20"/>
                <w:color w:val="auto"/>
              </w:rPr>
              <w:t>General</w:t>
            </w:r>
          </w:p>
        </w:tc>
        <w:tc>
          <w:tcPr>
            <w:tcW w:w="7420" w:type="dxa"/>
            <w:vAlign w:val="bottom"/>
          </w:tcPr>
          <w:p>
            <w:pPr>
              <w:ind w:left="140"/>
              <w:spacing w:after="0"/>
              <w:rPr>
                <w:sz w:val="20"/>
                <w:szCs w:val="20"/>
                <w:color w:val="auto"/>
              </w:rPr>
            </w:pPr>
            <w:r>
              <w:rPr>
                <w:rFonts w:ascii="Arial" w:cs="Arial" w:eastAsia="Arial" w:hAnsi="Arial"/>
                <w:sz w:val="20"/>
                <w:szCs w:val="20"/>
                <w:color w:val="auto"/>
              </w:rPr>
              <w:t>Conditions”) attached as Appendix III control the terms and conditions of sale and</w:t>
            </w:r>
          </w:p>
        </w:tc>
      </w:tr>
      <w:tr>
        <w:trPr>
          <w:trHeight w:val="230"/>
        </w:trPr>
        <w:tc>
          <w:tcPr>
            <w:tcW w:w="1340" w:type="dxa"/>
            <w:vAlign w:val="bottom"/>
          </w:tcPr>
          <w:p>
            <w:pPr>
              <w:ind w:left="320"/>
              <w:spacing w:after="0"/>
              <w:rPr>
                <w:sz w:val="20"/>
                <w:szCs w:val="20"/>
                <w:color w:val="auto"/>
              </w:rPr>
            </w:pPr>
            <w:r>
              <w:rPr>
                <w:rFonts w:ascii="Arial" w:cs="Arial" w:eastAsia="Arial" w:hAnsi="Arial"/>
                <w:sz w:val="20"/>
                <w:szCs w:val="20"/>
                <w:color w:val="auto"/>
              </w:rPr>
              <w:t>Terms and</w:t>
            </w:r>
          </w:p>
        </w:tc>
        <w:tc>
          <w:tcPr>
            <w:tcW w:w="7420" w:type="dxa"/>
            <w:vAlign w:val="bottom"/>
          </w:tcPr>
          <w:p>
            <w:pPr>
              <w:ind w:left="140"/>
              <w:spacing w:after="0"/>
              <w:rPr>
                <w:sz w:val="20"/>
                <w:szCs w:val="20"/>
                <w:color w:val="auto"/>
              </w:rPr>
            </w:pPr>
            <w:r>
              <w:rPr>
                <w:rFonts w:ascii="Arial" w:cs="Arial" w:eastAsia="Arial" w:hAnsi="Arial"/>
                <w:sz w:val="20"/>
                <w:szCs w:val="20"/>
                <w:color w:val="auto"/>
                <w:w w:val="92"/>
              </w:rPr>
              <w:t>purchase of Product from Seller to Buyer unless otherwise expressly set forth set forth in</w:t>
            </w:r>
          </w:p>
        </w:tc>
      </w:tr>
      <w:tr>
        <w:trPr>
          <w:trHeight w:val="230"/>
        </w:trPr>
        <w:tc>
          <w:tcPr>
            <w:tcW w:w="1340" w:type="dxa"/>
            <w:vAlign w:val="bottom"/>
          </w:tcPr>
          <w:p>
            <w:pPr>
              <w:ind w:left="320"/>
              <w:spacing w:after="0"/>
              <w:rPr>
                <w:sz w:val="20"/>
                <w:szCs w:val="20"/>
                <w:color w:val="auto"/>
              </w:rPr>
            </w:pPr>
            <w:r>
              <w:rPr>
                <w:rFonts w:ascii="Arial" w:cs="Arial" w:eastAsia="Arial" w:hAnsi="Arial"/>
                <w:sz w:val="20"/>
                <w:szCs w:val="20"/>
                <w:color w:val="auto"/>
              </w:rPr>
              <w:t>Conditions</w:t>
            </w:r>
          </w:p>
        </w:tc>
        <w:tc>
          <w:tcPr>
            <w:tcW w:w="7420" w:type="dxa"/>
            <w:vAlign w:val="bottom"/>
          </w:tcPr>
          <w:p>
            <w:pPr>
              <w:ind w:left="140"/>
              <w:spacing w:after="0"/>
              <w:rPr>
                <w:sz w:val="20"/>
                <w:szCs w:val="20"/>
                <w:color w:val="auto"/>
              </w:rPr>
            </w:pPr>
            <w:r>
              <w:rPr>
                <w:rFonts w:ascii="Arial" w:cs="Arial" w:eastAsia="Arial" w:hAnsi="Arial"/>
                <w:sz w:val="20"/>
                <w:szCs w:val="20"/>
                <w:color w:val="auto"/>
                <w:w w:val="97"/>
              </w:rPr>
              <w:t>the Agreement. Without limiting the foregoing, for the avoidance of doubt, Section 15</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rPr>
              <w:t>(Make-Whole), Section 16 (Railcars), Section 18 (Indemnification), and Section 19</w:t>
            </w:r>
          </w:p>
        </w:tc>
      </w:tr>
      <w:tr>
        <w:trPr>
          <w:trHeight w:val="230"/>
        </w:trPr>
        <w:tc>
          <w:tcPr>
            <w:tcW w:w="134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rPr>
              <w:t>(Insurance) of this Agreement shall not be limited by the General Terms and</w:t>
            </w:r>
          </w:p>
        </w:tc>
      </w:tr>
      <w:tr>
        <w:trPr>
          <w:trHeight w:val="250"/>
        </w:trPr>
        <w:tc>
          <w:tcPr>
            <w:tcW w:w="1340" w:type="dxa"/>
            <w:vAlign w:val="bottom"/>
          </w:tcPr>
          <w:p>
            <w:pPr>
              <w:spacing w:after="0"/>
              <w:rPr>
                <w:sz w:val="21"/>
                <w:szCs w:val="21"/>
                <w:color w:val="auto"/>
              </w:rPr>
            </w:pPr>
          </w:p>
        </w:tc>
        <w:tc>
          <w:tcPr>
            <w:tcW w:w="7420" w:type="dxa"/>
            <w:vAlign w:val="bottom"/>
          </w:tcPr>
          <w:p>
            <w:pPr>
              <w:ind w:left="140"/>
              <w:spacing w:after="0"/>
              <w:rPr>
                <w:sz w:val="20"/>
                <w:szCs w:val="20"/>
                <w:color w:val="auto"/>
              </w:rPr>
            </w:pPr>
            <w:r>
              <w:rPr>
                <w:rFonts w:ascii="Arial" w:cs="Arial" w:eastAsia="Arial" w:hAnsi="Arial"/>
                <w:sz w:val="20"/>
                <w:szCs w:val="20"/>
                <w:color w:val="auto"/>
              </w:rPr>
              <w:t>Conditions. All Attachments are incorporated in this Agreement by reference.</w:t>
            </w:r>
          </w:p>
        </w:tc>
      </w:tr>
    </w:tbl>
    <w:p>
      <w:pPr>
        <w:spacing w:after="0" w:line="209" w:lineRule="exact"/>
        <w:rPr>
          <w:sz w:val="20"/>
          <w:szCs w:val="20"/>
          <w:color w:val="auto"/>
        </w:rPr>
      </w:pPr>
    </w:p>
    <w:p>
      <w:pPr>
        <w:ind w:left="2820" w:right="1280" w:hanging="1471"/>
        <w:spacing w:after="0" w:line="255" w:lineRule="auto"/>
        <w:rPr>
          <w:sz w:val="20"/>
          <w:szCs w:val="20"/>
          <w:color w:val="auto"/>
        </w:rPr>
      </w:pPr>
      <w:r>
        <w:rPr>
          <w:rFonts w:ascii="Arial" w:cs="Arial" w:eastAsia="Arial" w:hAnsi="Arial"/>
          <w:sz w:val="19"/>
          <w:szCs w:val="19"/>
          <w:color w:val="auto"/>
        </w:rPr>
        <w:t>21.Confidentiality This Agreement, and the information exchanged between the parties in connection with this Agreement (“Confidential Information”), is confidential. Neither party shall disclose the existence of this Agreement or any Confidential Information without the prior written consent of the other party, except to the extent required by law. Confidential Information shall not be used for any purpose other than furthering each party’s respective obligations under this Agreement. Confidential Information shall not include information to the extent such information (a) is or becomes generally available to the public, (b) is or becomes generally available to one party on a non-confidential basis from a source other than the other party, provided that the source is not known by the receiving party to be bound by a confidentiality agreement, or (c) was previously known by a party or is or was independently developed by such party.</w:t>
      </w:r>
    </w:p>
    <w:p>
      <w:pPr>
        <w:spacing w:after="0" w:line="201" w:lineRule="exact"/>
        <w:rPr>
          <w:sz w:val="20"/>
          <w:szCs w:val="20"/>
          <w:color w:val="auto"/>
        </w:rPr>
      </w:pPr>
    </w:p>
    <w:p>
      <w:pPr>
        <w:ind w:left="2820" w:right="1440" w:hanging="1471"/>
        <w:spacing w:after="0" w:line="272" w:lineRule="auto"/>
        <w:tabs>
          <w:tab w:leader="none" w:pos="2800" w:val="left"/>
        </w:tabs>
        <w:rPr>
          <w:sz w:val="20"/>
          <w:szCs w:val="20"/>
          <w:color w:val="auto"/>
        </w:rPr>
      </w:pPr>
      <w:r>
        <w:rPr>
          <w:rFonts w:ascii="Arial" w:cs="Arial" w:eastAsia="Arial" w:hAnsi="Arial"/>
          <w:sz w:val="20"/>
          <w:szCs w:val="20"/>
          <w:color w:val="auto"/>
        </w:rPr>
        <w:t>22.Counterparts</w:t>
      </w:r>
      <w:r>
        <w:rPr>
          <w:sz w:val="20"/>
          <w:szCs w:val="20"/>
          <w:color w:val="auto"/>
        </w:rPr>
        <w:tab/>
      </w:r>
      <w:r>
        <w:rPr>
          <w:rFonts w:ascii="Arial" w:cs="Arial" w:eastAsia="Arial" w:hAnsi="Arial"/>
          <w:sz w:val="18"/>
          <w:szCs w:val="18"/>
          <w:color w:val="auto"/>
        </w:rPr>
        <w:t>This Agreement may be executed in one or more counterparts, each of which will be deemed to be an original copy and all of which, when taken together, will be deemed to constitute one and the same agreement or document, and will be effective when counterparts have been signed by each of the parties and delivered to the other parties. A manual signature on the signature page to this Agreement, an image of which shall have been transmitted electronically, will constitute an original signature for all purposes. The delivery of copies of the signature page to this Agreement or any other document to be delivered pursuant to this Agreement, including executed signature pages where required, by electronic transmission will constitute effective delivery for all purposes.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[Signatures on following page]</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6" w:right="299" w:bottom="1440" w:gutter="0" w:footer="0" w:header="0"/>
        </w:sectPr>
      </w:pPr>
    </w:p>
    <w:bookmarkStart w:id="57" w:name="page58"/>
    <w:bookmarkEnd w:id="57"/>
    <w:p>
      <w:pPr>
        <w:jc w:val="center"/>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39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BUYER:</w:t>
      </w:r>
    </w:p>
    <w:p>
      <w:pPr>
        <w:spacing w:after="0" w:line="21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COFFEYVILLE RESOURCES NITROGEN FERTILIZERS,</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LLC</w:t>
      </w:r>
    </w:p>
    <w:p>
      <w:pPr>
        <w:spacing w:after="0" w:line="200" w:lineRule="exact"/>
        <w:rPr>
          <w:sz w:val="20"/>
          <w:szCs w:val="20"/>
          <w:color w:val="auto"/>
        </w:rPr>
      </w:pP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Mark A. Pytosh</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Name:Mark A. Pytosh</w:t>
      </w:r>
    </w:p>
    <w:p>
      <w:pPr>
        <w:ind w:left="1300"/>
        <w:spacing w:after="0"/>
        <w:rPr>
          <w:sz w:val="20"/>
          <w:szCs w:val="20"/>
          <w:color w:val="auto"/>
        </w:rPr>
      </w:pPr>
      <w:r>
        <w:rPr>
          <w:rFonts w:ascii="Arial" w:cs="Arial" w:eastAsia="Arial" w:hAnsi="Arial"/>
          <w:sz w:val="20"/>
          <w:szCs w:val="20"/>
          <w:color w:val="auto"/>
        </w:rPr>
        <w:t>Title:Chief Executive Officer and President</w:t>
      </w:r>
    </w:p>
    <w:p>
      <w:pPr>
        <w:spacing w:after="0" w:line="200" w:lineRule="exact"/>
        <w:rPr>
          <w:sz w:val="20"/>
          <w:szCs w:val="20"/>
          <w:color w:val="auto"/>
        </w:rPr>
      </w:pPr>
    </w:p>
    <w:p>
      <w:pPr>
        <w:spacing w:after="0" w:line="216"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SELLER:</w:t>
      </w:r>
    </w:p>
    <w:p>
      <w:pPr>
        <w:spacing w:after="0" w:line="21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PRYOR CHEMICAL COMPANY</w:t>
      </w: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Brian Lewis</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Name: Brian Lewis</w:t>
      </w:r>
    </w:p>
    <w:p>
      <w:pPr>
        <w:ind w:left="1300"/>
        <w:spacing w:after="0"/>
        <w:rPr>
          <w:sz w:val="20"/>
          <w:szCs w:val="20"/>
          <w:color w:val="auto"/>
        </w:rPr>
      </w:pPr>
      <w:r>
        <w:rPr>
          <w:rFonts w:ascii="Arial" w:cs="Arial" w:eastAsia="Arial" w:hAnsi="Arial"/>
          <w:sz w:val="20"/>
          <w:szCs w:val="20"/>
          <w:color w:val="auto"/>
        </w:rPr>
        <w:t>Title:  General Manager and Vice President</w:t>
      </w: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PARENT (FOR THE SOLE PURPOSE OF GUARANTEEING</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SELLER’S OBLIGATIONS UNDER SECTION 18 OF THE</w:t>
      </w:r>
    </w:p>
    <w:p>
      <w:pPr>
        <w:ind w:left="5260"/>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LSB INDUSTRIES, INC.</w:t>
      </w:r>
    </w:p>
    <w:p>
      <w:pPr>
        <w:spacing w:after="0" w:line="200" w:lineRule="exact"/>
        <w:rPr>
          <w:sz w:val="20"/>
          <w:szCs w:val="20"/>
          <w:color w:val="auto"/>
        </w:rPr>
      </w:pPr>
    </w:p>
    <w:p>
      <w:pPr>
        <w:spacing w:after="0" w:line="23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D. Greenwell</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Name: Dan Greenwell</w:t>
      </w:r>
    </w:p>
    <w:p>
      <w:pPr>
        <w:ind w:left="1300"/>
        <w:spacing w:after="0"/>
        <w:rPr>
          <w:sz w:val="20"/>
          <w:szCs w:val="20"/>
          <w:color w:val="auto"/>
        </w:rPr>
      </w:pPr>
      <w:r>
        <w:rPr>
          <w:rFonts w:ascii="Arial" w:cs="Arial" w:eastAsia="Arial" w:hAnsi="Arial"/>
          <w:sz w:val="20"/>
          <w:szCs w:val="20"/>
          <w:color w:val="auto"/>
        </w:rPr>
        <w:t>Title: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297815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531" w:right="299" w:bottom="1440" w:gutter="0" w:footer="0" w:header="0"/>
        </w:sectPr>
      </w:pPr>
    </w:p>
    <w:bookmarkStart w:id="58" w:name="page59"/>
    <w:bookmarkEnd w:id="58"/>
    <w:p>
      <w:pPr>
        <w:jc w:val="center"/>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Product Specifications</w:t>
      </w:r>
    </w:p>
    <w:p>
      <w:pPr>
        <w:spacing w:after="0" w:line="200" w:lineRule="exact"/>
        <w:rPr>
          <w:sz w:val="20"/>
          <w:szCs w:val="20"/>
          <w:color w:val="auto"/>
        </w:rPr>
      </w:pPr>
    </w:p>
    <w:p>
      <w:pPr>
        <w:spacing w:after="0" w:line="210" w:lineRule="exact"/>
        <w:rPr>
          <w:sz w:val="20"/>
          <w:szCs w:val="20"/>
          <w:color w:val="auto"/>
        </w:rPr>
      </w:pPr>
    </w:p>
    <w:tbl>
      <w:tblPr>
        <w:tblLayout w:type="fixed"/>
        <w:tblInd w:w="1040" w:type="dxa"/>
        <w:tblCellMar>
          <w:top w:w="0" w:type="dxa"/>
          <w:left w:w="0" w:type="dxa"/>
          <w:bottom w:w="0" w:type="dxa"/>
          <w:right w:w="0" w:type="dxa"/>
        </w:tblCellMar>
      </w:tblPr>
      <w:tr>
        <w:trPr>
          <w:trHeight w:val="236"/>
        </w:trPr>
        <w:tc>
          <w:tcPr>
            <w:tcW w:w="4280" w:type="dxa"/>
            <w:vAlign w:val="bottom"/>
          </w:tcPr>
          <w:p>
            <w:pPr>
              <w:spacing w:after="0"/>
              <w:rPr>
                <w:sz w:val="20"/>
                <w:szCs w:val="20"/>
                <w:color w:val="auto"/>
              </w:rPr>
            </w:pPr>
            <w:r>
              <w:rPr>
                <w:rFonts w:ascii="Arial" w:cs="Arial" w:eastAsia="Arial" w:hAnsi="Arial"/>
                <w:sz w:val="20"/>
                <w:szCs w:val="20"/>
                <w:b w:val="1"/>
                <w:bCs w:val="1"/>
                <w:color w:val="auto"/>
              </w:rPr>
              <w:t>UAN</w:t>
            </w:r>
          </w:p>
        </w:tc>
        <w:tc>
          <w:tcPr>
            <w:tcW w:w="1100" w:type="dxa"/>
            <w:vAlign w:val="bottom"/>
          </w:tcPr>
          <w:p>
            <w:pPr>
              <w:spacing w:after="0"/>
              <w:rPr>
                <w:sz w:val="20"/>
                <w:szCs w:val="20"/>
                <w:color w:val="auto"/>
              </w:rPr>
            </w:pPr>
          </w:p>
        </w:tc>
        <w:tc>
          <w:tcPr>
            <w:tcW w:w="1300" w:type="dxa"/>
            <w:vAlign w:val="bottom"/>
          </w:tcPr>
          <w:p>
            <w:pPr>
              <w:ind w:left="260"/>
              <w:spacing w:after="0"/>
              <w:rPr>
                <w:sz w:val="20"/>
                <w:szCs w:val="20"/>
                <w:color w:val="auto"/>
              </w:rPr>
            </w:pPr>
            <w:r>
              <w:rPr>
                <w:rFonts w:ascii="Arial" w:cs="Arial" w:eastAsia="Arial" w:hAnsi="Arial"/>
                <w:sz w:val="20"/>
                <w:szCs w:val="20"/>
                <w:b w:val="1"/>
                <w:bCs w:val="1"/>
                <w:color w:val="auto"/>
              </w:rPr>
              <w:t>Typical</w:t>
            </w:r>
          </w:p>
        </w:tc>
        <w:tc>
          <w:tcPr>
            <w:tcW w:w="1160" w:type="dxa"/>
            <w:vAlign w:val="bottom"/>
          </w:tcPr>
          <w:p>
            <w:pPr>
              <w:ind w:left="140"/>
              <w:spacing w:after="0"/>
              <w:rPr>
                <w:sz w:val="20"/>
                <w:szCs w:val="20"/>
                <w:color w:val="auto"/>
              </w:rPr>
            </w:pPr>
            <w:r>
              <w:rPr>
                <w:rFonts w:ascii="Arial" w:cs="Arial" w:eastAsia="Arial" w:hAnsi="Arial"/>
                <w:sz w:val="20"/>
                <w:szCs w:val="20"/>
                <w:b w:val="1"/>
                <w:bCs w:val="1"/>
                <w:color w:val="auto"/>
              </w:rPr>
              <w:t>Min</w:t>
            </w:r>
          </w:p>
        </w:tc>
        <w:tc>
          <w:tcPr>
            <w:tcW w:w="1040" w:type="dxa"/>
            <w:vAlign w:val="bottom"/>
          </w:tcPr>
          <w:p>
            <w:pPr>
              <w:ind w:left="160"/>
              <w:spacing w:after="0"/>
              <w:rPr>
                <w:sz w:val="20"/>
                <w:szCs w:val="20"/>
                <w:color w:val="auto"/>
              </w:rPr>
            </w:pPr>
            <w:r>
              <w:rPr>
                <w:rFonts w:ascii="Arial" w:cs="Arial" w:eastAsia="Arial" w:hAnsi="Arial"/>
                <w:sz w:val="20"/>
                <w:szCs w:val="20"/>
                <w:b w:val="1"/>
                <w:bCs w:val="1"/>
                <w:color w:val="auto"/>
              </w:rPr>
              <w:t>Max</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 Nitrogen</w:t>
            </w:r>
          </w:p>
        </w:tc>
        <w:tc>
          <w:tcPr>
            <w:tcW w:w="1100" w:type="dxa"/>
            <w:vAlign w:val="bottom"/>
          </w:tcPr>
          <w:p>
            <w:pPr>
              <w:spacing w:after="0"/>
              <w:rPr>
                <w:sz w:val="19"/>
                <w:szCs w:val="19"/>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32.00%</w:t>
            </w:r>
          </w:p>
        </w:tc>
        <w:tc>
          <w:tcPr>
            <w:tcW w:w="1160" w:type="dxa"/>
            <w:vAlign w:val="bottom"/>
          </w:tcPr>
          <w:p>
            <w:pPr>
              <w:ind w:left="140"/>
              <w:spacing w:after="0"/>
              <w:rPr>
                <w:sz w:val="20"/>
                <w:szCs w:val="20"/>
                <w:color w:val="auto"/>
              </w:rPr>
            </w:pPr>
            <w:r>
              <w:rPr>
                <w:rFonts w:ascii="Arial" w:cs="Arial" w:eastAsia="Arial" w:hAnsi="Arial"/>
                <w:sz w:val="20"/>
                <w:szCs w:val="20"/>
                <w:color w:val="auto"/>
              </w:rPr>
              <w:t>31.80%</w:t>
            </w:r>
          </w:p>
        </w:tc>
        <w:tc>
          <w:tcPr>
            <w:tcW w:w="1040" w:type="dxa"/>
            <w:vAlign w:val="bottom"/>
          </w:tcPr>
          <w:p>
            <w:pPr>
              <w:ind w:left="160"/>
              <w:spacing w:after="0"/>
              <w:rPr>
                <w:sz w:val="20"/>
                <w:szCs w:val="20"/>
                <w:color w:val="auto"/>
              </w:rPr>
            </w:pPr>
            <w:r>
              <w:rPr>
                <w:rFonts w:ascii="Arial" w:cs="Arial" w:eastAsia="Arial" w:hAnsi="Arial"/>
                <w:sz w:val="20"/>
                <w:szCs w:val="20"/>
                <w:color w:val="auto"/>
              </w:rPr>
              <w:t>32.50%</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Appearance</w:t>
            </w:r>
          </w:p>
        </w:tc>
        <w:tc>
          <w:tcPr>
            <w:tcW w:w="1100" w:type="dxa"/>
            <w:vAlign w:val="bottom"/>
          </w:tcPr>
          <w:p>
            <w:pPr>
              <w:spacing w:after="0"/>
              <w:rPr>
                <w:sz w:val="19"/>
                <w:szCs w:val="19"/>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Clear</w:t>
            </w:r>
          </w:p>
        </w:tc>
        <w:tc>
          <w:tcPr>
            <w:tcW w:w="1160" w:type="dxa"/>
            <w:vAlign w:val="bottom"/>
          </w:tcPr>
          <w:p>
            <w:pPr>
              <w:ind w:left="140"/>
              <w:spacing w:after="0"/>
              <w:rPr>
                <w:sz w:val="20"/>
                <w:szCs w:val="20"/>
                <w:color w:val="auto"/>
              </w:rPr>
            </w:pPr>
            <w:r>
              <w:rPr>
                <w:rFonts w:ascii="Arial" w:cs="Arial" w:eastAsia="Arial" w:hAnsi="Arial"/>
                <w:sz w:val="20"/>
                <w:szCs w:val="20"/>
                <w:color w:val="auto"/>
              </w:rPr>
              <w:t>Clear</w:t>
            </w:r>
          </w:p>
        </w:tc>
        <w:tc>
          <w:tcPr>
            <w:tcW w:w="1040" w:type="dxa"/>
            <w:vAlign w:val="bottom"/>
          </w:tcPr>
          <w:p>
            <w:pPr>
              <w:ind w:left="160"/>
              <w:spacing w:after="0"/>
              <w:rPr>
                <w:sz w:val="20"/>
                <w:szCs w:val="20"/>
                <w:color w:val="auto"/>
              </w:rPr>
            </w:pPr>
            <w:r>
              <w:rPr>
                <w:rFonts w:ascii="Arial" w:cs="Arial" w:eastAsia="Arial" w:hAnsi="Arial"/>
                <w:sz w:val="20"/>
                <w:szCs w:val="20"/>
                <w:color w:val="auto"/>
              </w:rPr>
              <w:t>Clear</w:t>
            </w:r>
          </w:p>
        </w:tc>
      </w:tr>
      <w:tr>
        <w:trPr>
          <w:trHeight w:val="243"/>
        </w:trPr>
        <w:tc>
          <w:tcPr>
            <w:tcW w:w="4280" w:type="dxa"/>
            <w:vAlign w:val="bottom"/>
          </w:tcPr>
          <w:p>
            <w:pPr>
              <w:spacing w:after="0"/>
              <w:rPr>
                <w:sz w:val="20"/>
                <w:szCs w:val="20"/>
                <w:color w:val="auto"/>
              </w:rPr>
            </w:pPr>
            <w:r>
              <w:rPr>
                <w:rFonts w:ascii="Arial" w:cs="Arial" w:eastAsia="Arial" w:hAnsi="Arial"/>
                <w:sz w:val="20"/>
                <w:szCs w:val="20"/>
                <w:color w:val="auto"/>
              </w:rPr>
              <w:t>Color</w:t>
            </w:r>
          </w:p>
        </w:tc>
        <w:tc>
          <w:tcPr>
            <w:tcW w:w="1100" w:type="dxa"/>
            <w:vAlign w:val="bottom"/>
          </w:tcPr>
          <w:p>
            <w:pPr>
              <w:spacing w:after="0"/>
              <w:rPr>
                <w:sz w:val="21"/>
                <w:szCs w:val="21"/>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colorless</w:t>
            </w:r>
          </w:p>
        </w:tc>
        <w:tc>
          <w:tcPr>
            <w:tcW w:w="1160" w:type="dxa"/>
            <w:vAlign w:val="bottom"/>
          </w:tcPr>
          <w:p>
            <w:pPr>
              <w:ind w:left="140"/>
              <w:spacing w:after="0"/>
              <w:rPr>
                <w:sz w:val="20"/>
                <w:szCs w:val="20"/>
                <w:color w:val="auto"/>
              </w:rPr>
            </w:pPr>
            <w:r>
              <w:rPr>
                <w:rFonts w:ascii="Arial" w:cs="Arial" w:eastAsia="Arial" w:hAnsi="Arial"/>
                <w:sz w:val="20"/>
                <w:szCs w:val="20"/>
                <w:color w:val="auto"/>
              </w:rPr>
              <w:t>colorless</w:t>
            </w:r>
          </w:p>
        </w:tc>
        <w:tc>
          <w:tcPr>
            <w:tcW w:w="1040" w:type="dxa"/>
            <w:vAlign w:val="bottom"/>
          </w:tcPr>
          <w:p>
            <w:pPr>
              <w:ind w:left="160"/>
              <w:spacing w:after="0"/>
              <w:rPr>
                <w:sz w:val="20"/>
                <w:szCs w:val="20"/>
                <w:color w:val="auto"/>
              </w:rPr>
            </w:pPr>
            <w:r>
              <w:rPr>
                <w:rFonts w:ascii="Arial" w:cs="Arial" w:eastAsia="Arial" w:hAnsi="Arial"/>
                <w:sz w:val="20"/>
                <w:szCs w:val="20"/>
                <w:color w:val="auto"/>
              </w:rPr>
              <w:t>colorless</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Free Ammonia</w:t>
            </w:r>
          </w:p>
        </w:tc>
        <w:tc>
          <w:tcPr>
            <w:tcW w:w="1100" w:type="dxa"/>
            <w:vAlign w:val="bottom"/>
          </w:tcPr>
          <w:p>
            <w:pPr>
              <w:spacing w:after="0"/>
              <w:rPr>
                <w:sz w:val="19"/>
                <w:szCs w:val="19"/>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500 ppm</w:t>
            </w:r>
          </w:p>
        </w:tc>
        <w:tc>
          <w:tcPr>
            <w:tcW w:w="1160" w:type="dxa"/>
            <w:vAlign w:val="bottom"/>
          </w:tcPr>
          <w:p>
            <w:pPr>
              <w:ind w:left="140"/>
              <w:spacing w:after="0"/>
              <w:rPr>
                <w:sz w:val="20"/>
                <w:szCs w:val="20"/>
                <w:color w:val="auto"/>
              </w:rPr>
            </w:pPr>
            <w:r>
              <w:rPr>
                <w:rFonts w:ascii="Arial" w:cs="Arial" w:eastAsia="Arial" w:hAnsi="Arial"/>
                <w:sz w:val="20"/>
                <w:szCs w:val="20"/>
                <w:color w:val="auto"/>
              </w:rPr>
              <w:t>200 ppm</w:t>
            </w:r>
          </w:p>
        </w:tc>
        <w:tc>
          <w:tcPr>
            <w:tcW w:w="1040" w:type="dxa"/>
            <w:vAlign w:val="bottom"/>
          </w:tcPr>
          <w:p>
            <w:pPr>
              <w:ind w:left="160"/>
              <w:spacing w:after="0"/>
              <w:rPr>
                <w:sz w:val="20"/>
                <w:szCs w:val="20"/>
                <w:color w:val="auto"/>
              </w:rPr>
            </w:pPr>
            <w:r>
              <w:rPr>
                <w:rFonts w:ascii="Arial" w:cs="Arial" w:eastAsia="Arial" w:hAnsi="Arial"/>
                <w:sz w:val="20"/>
                <w:szCs w:val="20"/>
                <w:color w:val="auto"/>
              </w:rPr>
              <w:t>700 ppm</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Specific Gravity @ 60 deg F</w:t>
            </w:r>
          </w:p>
        </w:tc>
        <w:tc>
          <w:tcPr>
            <w:tcW w:w="1100" w:type="dxa"/>
            <w:vAlign w:val="bottom"/>
          </w:tcPr>
          <w:p>
            <w:pPr>
              <w:spacing w:after="0"/>
              <w:rPr>
                <w:sz w:val="19"/>
                <w:szCs w:val="19"/>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1.32</w:t>
            </w:r>
          </w:p>
        </w:tc>
        <w:tc>
          <w:tcPr>
            <w:tcW w:w="1160" w:type="dxa"/>
            <w:vAlign w:val="bottom"/>
          </w:tcPr>
          <w:p>
            <w:pPr>
              <w:ind w:left="140"/>
              <w:spacing w:after="0"/>
              <w:rPr>
                <w:sz w:val="20"/>
                <w:szCs w:val="20"/>
                <w:color w:val="auto"/>
              </w:rPr>
            </w:pPr>
            <w:r>
              <w:rPr>
                <w:rFonts w:ascii="Arial" w:cs="Arial" w:eastAsia="Arial" w:hAnsi="Arial"/>
                <w:sz w:val="20"/>
                <w:szCs w:val="20"/>
                <w:color w:val="auto"/>
              </w:rPr>
              <w:t>1.30</w:t>
            </w:r>
          </w:p>
        </w:tc>
        <w:tc>
          <w:tcPr>
            <w:tcW w:w="1040" w:type="dxa"/>
            <w:vAlign w:val="bottom"/>
          </w:tcPr>
          <w:p>
            <w:pPr>
              <w:ind w:left="160"/>
              <w:spacing w:after="0"/>
              <w:rPr>
                <w:sz w:val="20"/>
                <w:szCs w:val="20"/>
                <w:color w:val="auto"/>
              </w:rPr>
            </w:pPr>
            <w:r>
              <w:rPr>
                <w:rFonts w:ascii="Arial" w:cs="Arial" w:eastAsia="Arial" w:hAnsi="Arial"/>
                <w:sz w:val="20"/>
                <w:szCs w:val="20"/>
                <w:color w:val="auto"/>
              </w:rPr>
              <w:t>1.34</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Gauge Pressure @ 140 deg F</w:t>
            </w:r>
          </w:p>
        </w:tc>
        <w:tc>
          <w:tcPr>
            <w:tcW w:w="1100" w:type="dxa"/>
            <w:vAlign w:val="bottom"/>
          </w:tcPr>
          <w:p>
            <w:pPr>
              <w:ind w:left="340"/>
              <w:spacing w:after="0"/>
              <w:rPr>
                <w:sz w:val="20"/>
                <w:szCs w:val="20"/>
                <w:color w:val="auto"/>
              </w:rPr>
            </w:pPr>
            <w:r>
              <w:rPr>
                <w:rFonts w:ascii="Arial" w:cs="Arial" w:eastAsia="Arial" w:hAnsi="Arial"/>
                <w:sz w:val="20"/>
                <w:szCs w:val="20"/>
                <w:color w:val="auto"/>
              </w:rPr>
              <w:t>PSIG</w:t>
            </w: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Approx. Salt Out Temp (deg F)</w:t>
            </w:r>
          </w:p>
        </w:tc>
        <w:tc>
          <w:tcPr>
            <w:tcW w:w="1100" w:type="dxa"/>
            <w:vAlign w:val="bottom"/>
          </w:tcPr>
          <w:p>
            <w:pPr>
              <w:ind w:left="340"/>
              <w:spacing w:after="0"/>
              <w:rPr>
                <w:sz w:val="20"/>
                <w:szCs w:val="20"/>
                <w:color w:val="auto"/>
              </w:rPr>
            </w:pPr>
            <w:r>
              <w:rPr>
                <w:rFonts w:ascii="Arial" w:cs="Arial" w:eastAsia="Arial" w:hAnsi="Arial"/>
                <w:sz w:val="20"/>
                <w:szCs w:val="20"/>
                <w:color w:val="auto"/>
              </w:rPr>
              <w:t>Deg F</w:t>
            </w:r>
          </w:p>
        </w:tc>
        <w:tc>
          <w:tcPr>
            <w:tcW w:w="1300" w:type="dxa"/>
            <w:vAlign w:val="bottom"/>
          </w:tcPr>
          <w:p>
            <w:pPr>
              <w:ind w:left="260"/>
              <w:spacing w:after="0"/>
              <w:rPr>
                <w:sz w:val="20"/>
                <w:szCs w:val="20"/>
                <w:color w:val="auto"/>
              </w:rPr>
            </w:pPr>
            <w:r>
              <w:rPr>
                <w:rFonts w:ascii="Arial" w:cs="Arial" w:eastAsia="Arial" w:hAnsi="Arial"/>
                <w:sz w:val="20"/>
                <w:szCs w:val="20"/>
                <w:color w:val="auto"/>
              </w:rPr>
              <w:t>32 F</w:t>
            </w:r>
          </w:p>
        </w:tc>
        <w:tc>
          <w:tcPr>
            <w:tcW w:w="1160" w:type="dxa"/>
            <w:vAlign w:val="bottom"/>
          </w:tcPr>
          <w:p>
            <w:pPr>
              <w:ind w:left="140"/>
              <w:spacing w:after="0"/>
              <w:rPr>
                <w:sz w:val="20"/>
                <w:szCs w:val="20"/>
                <w:color w:val="auto"/>
              </w:rPr>
            </w:pPr>
            <w:r>
              <w:rPr>
                <w:rFonts w:ascii="Arial" w:cs="Arial" w:eastAsia="Arial" w:hAnsi="Arial"/>
                <w:sz w:val="20"/>
                <w:szCs w:val="20"/>
                <w:color w:val="auto"/>
              </w:rPr>
              <w:t>32 F</w:t>
            </w:r>
          </w:p>
        </w:tc>
        <w:tc>
          <w:tcPr>
            <w:tcW w:w="1040" w:type="dxa"/>
            <w:vAlign w:val="bottom"/>
          </w:tcPr>
          <w:p>
            <w:pPr>
              <w:ind w:left="160"/>
              <w:spacing w:after="0"/>
              <w:rPr>
                <w:sz w:val="20"/>
                <w:szCs w:val="20"/>
                <w:color w:val="auto"/>
              </w:rPr>
            </w:pPr>
            <w:r>
              <w:rPr>
                <w:rFonts w:ascii="Arial" w:cs="Arial" w:eastAsia="Arial" w:hAnsi="Arial"/>
                <w:sz w:val="20"/>
                <w:szCs w:val="20"/>
                <w:color w:val="auto"/>
              </w:rPr>
              <w:t>32 F</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Approx. Salt Out Temp (deg C)</w:t>
            </w:r>
          </w:p>
        </w:tc>
        <w:tc>
          <w:tcPr>
            <w:tcW w:w="1100" w:type="dxa"/>
            <w:vAlign w:val="bottom"/>
          </w:tcPr>
          <w:p>
            <w:pPr>
              <w:ind w:left="340"/>
              <w:spacing w:after="0"/>
              <w:rPr>
                <w:sz w:val="20"/>
                <w:szCs w:val="20"/>
                <w:color w:val="auto"/>
              </w:rPr>
            </w:pPr>
            <w:r>
              <w:rPr>
                <w:rFonts w:ascii="Arial" w:cs="Arial" w:eastAsia="Arial" w:hAnsi="Arial"/>
                <w:sz w:val="20"/>
                <w:szCs w:val="20"/>
                <w:color w:val="auto"/>
              </w:rPr>
              <w:t>Deg C</w:t>
            </w:r>
          </w:p>
        </w:tc>
        <w:tc>
          <w:tcPr>
            <w:tcW w:w="1300" w:type="dxa"/>
            <w:vAlign w:val="bottom"/>
          </w:tcPr>
          <w:p>
            <w:pPr>
              <w:ind w:left="260"/>
              <w:spacing w:after="0"/>
              <w:rPr>
                <w:sz w:val="20"/>
                <w:szCs w:val="20"/>
                <w:color w:val="auto"/>
              </w:rPr>
            </w:pPr>
            <w:r>
              <w:rPr>
                <w:rFonts w:ascii="Arial" w:cs="Arial" w:eastAsia="Arial" w:hAnsi="Arial"/>
                <w:sz w:val="20"/>
                <w:szCs w:val="20"/>
                <w:color w:val="auto"/>
              </w:rPr>
              <w:t>0 C</w:t>
            </w:r>
          </w:p>
        </w:tc>
        <w:tc>
          <w:tcPr>
            <w:tcW w:w="1160" w:type="dxa"/>
            <w:vAlign w:val="bottom"/>
          </w:tcPr>
          <w:p>
            <w:pPr>
              <w:ind w:left="140"/>
              <w:spacing w:after="0"/>
              <w:rPr>
                <w:sz w:val="20"/>
                <w:szCs w:val="20"/>
                <w:color w:val="auto"/>
              </w:rPr>
            </w:pPr>
            <w:r>
              <w:rPr>
                <w:rFonts w:ascii="Arial" w:cs="Arial" w:eastAsia="Arial" w:hAnsi="Arial"/>
                <w:sz w:val="20"/>
                <w:szCs w:val="20"/>
                <w:color w:val="auto"/>
              </w:rPr>
              <w:t>0 C</w:t>
            </w:r>
          </w:p>
        </w:tc>
        <w:tc>
          <w:tcPr>
            <w:tcW w:w="1040" w:type="dxa"/>
            <w:vAlign w:val="bottom"/>
          </w:tcPr>
          <w:p>
            <w:pPr>
              <w:ind w:left="160"/>
              <w:spacing w:after="0"/>
              <w:rPr>
                <w:sz w:val="20"/>
                <w:szCs w:val="20"/>
                <w:color w:val="auto"/>
              </w:rPr>
            </w:pPr>
            <w:r>
              <w:rPr>
                <w:rFonts w:ascii="Arial" w:cs="Arial" w:eastAsia="Arial" w:hAnsi="Arial"/>
                <w:sz w:val="20"/>
                <w:szCs w:val="20"/>
                <w:color w:val="auto"/>
              </w:rPr>
              <w:t>0 C</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w w:val="99"/>
              </w:rPr>
              <w:t>PH UAN Day Tank (to maintain 0.1% Free NH3)</w:t>
            </w:r>
          </w:p>
        </w:tc>
        <w:tc>
          <w:tcPr>
            <w:tcW w:w="1100" w:type="dxa"/>
            <w:vAlign w:val="bottom"/>
          </w:tcPr>
          <w:p>
            <w:pPr>
              <w:spacing w:after="0"/>
              <w:rPr>
                <w:sz w:val="19"/>
                <w:szCs w:val="19"/>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7</w:t>
            </w:r>
          </w:p>
        </w:tc>
        <w:tc>
          <w:tcPr>
            <w:tcW w:w="1160" w:type="dxa"/>
            <w:vAlign w:val="bottom"/>
          </w:tcPr>
          <w:p>
            <w:pPr>
              <w:ind w:left="140"/>
              <w:spacing w:after="0"/>
              <w:rPr>
                <w:sz w:val="20"/>
                <w:szCs w:val="20"/>
                <w:color w:val="auto"/>
              </w:rPr>
            </w:pPr>
            <w:r>
              <w:rPr>
                <w:rFonts w:ascii="Arial" w:cs="Arial" w:eastAsia="Arial" w:hAnsi="Arial"/>
                <w:sz w:val="20"/>
                <w:szCs w:val="20"/>
                <w:color w:val="auto"/>
              </w:rPr>
              <w:t>6.8</w:t>
            </w:r>
          </w:p>
        </w:tc>
        <w:tc>
          <w:tcPr>
            <w:tcW w:w="1040" w:type="dxa"/>
            <w:vAlign w:val="bottom"/>
          </w:tcPr>
          <w:p>
            <w:pPr>
              <w:ind w:left="160"/>
              <w:spacing w:after="0"/>
              <w:rPr>
                <w:sz w:val="20"/>
                <w:szCs w:val="20"/>
                <w:color w:val="auto"/>
              </w:rPr>
            </w:pPr>
            <w:r>
              <w:rPr>
                <w:rFonts w:ascii="Arial" w:cs="Arial" w:eastAsia="Arial" w:hAnsi="Arial"/>
                <w:sz w:val="20"/>
                <w:szCs w:val="20"/>
                <w:color w:val="auto"/>
              </w:rPr>
              <w:t>7.2</w:t>
            </w:r>
          </w:p>
        </w:tc>
      </w:tr>
      <w:tr>
        <w:trPr>
          <w:trHeight w:val="250"/>
        </w:trPr>
        <w:tc>
          <w:tcPr>
            <w:tcW w:w="4280" w:type="dxa"/>
            <w:vAlign w:val="bottom"/>
          </w:tcPr>
          <w:p>
            <w:pPr>
              <w:spacing w:after="0"/>
              <w:rPr>
                <w:sz w:val="20"/>
                <w:szCs w:val="20"/>
                <w:color w:val="auto"/>
              </w:rPr>
            </w:pPr>
            <w:r>
              <w:rPr>
                <w:rFonts w:ascii="Arial" w:cs="Arial" w:eastAsia="Arial" w:hAnsi="Arial"/>
                <w:sz w:val="20"/>
                <w:szCs w:val="20"/>
                <w:color w:val="auto"/>
              </w:rPr>
              <w:t>AN/UREA Ratio @ Origin</w:t>
            </w:r>
          </w:p>
        </w:tc>
        <w:tc>
          <w:tcPr>
            <w:tcW w:w="1100" w:type="dxa"/>
            <w:vAlign w:val="bottom"/>
          </w:tcPr>
          <w:p>
            <w:pPr>
              <w:spacing w:after="0"/>
              <w:rPr>
                <w:sz w:val="21"/>
                <w:szCs w:val="21"/>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1.33</w:t>
            </w:r>
          </w:p>
        </w:tc>
        <w:tc>
          <w:tcPr>
            <w:tcW w:w="1160" w:type="dxa"/>
            <w:vAlign w:val="bottom"/>
          </w:tcPr>
          <w:p>
            <w:pPr>
              <w:ind w:left="140"/>
              <w:spacing w:after="0"/>
              <w:rPr>
                <w:sz w:val="20"/>
                <w:szCs w:val="20"/>
                <w:color w:val="auto"/>
              </w:rPr>
            </w:pPr>
            <w:r>
              <w:rPr>
                <w:rFonts w:ascii="Arial" w:cs="Arial" w:eastAsia="Arial" w:hAnsi="Arial"/>
                <w:sz w:val="20"/>
                <w:szCs w:val="20"/>
                <w:color w:val="auto"/>
              </w:rPr>
              <w:t>1.1</w:t>
            </w:r>
          </w:p>
        </w:tc>
        <w:tc>
          <w:tcPr>
            <w:tcW w:w="1040" w:type="dxa"/>
            <w:vAlign w:val="bottom"/>
          </w:tcPr>
          <w:p>
            <w:pPr>
              <w:ind w:left="160"/>
              <w:spacing w:after="0"/>
              <w:rPr>
                <w:sz w:val="20"/>
                <w:szCs w:val="20"/>
                <w:color w:val="auto"/>
              </w:rPr>
            </w:pPr>
            <w:r>
              <w:rPr>
                <w:rFonts w:ascii="Arial" w:cs="Arial" w:eastAsia="Arial" w:hAnsi="Arial"/>
                <w:sz w:val="20"/>
                <w:szCs w:val="20"/>
                <w:color w:val="auto"/>
              </w:rPr>
              <w:t>1.35</w:t>
            </w:r>
          </w:p>
        </w:tc>
      </w:tr>
      <w:tr>
        <w:trPr>
          <w:trHeight w:val="438"/>
        </w:trPr>
        <w:tc>
          <w:tcPr>
            <w:tcW w:w="4280" w:type="dxa"/>
            <w:vAlign w:val="bottom"/>
          </w:tcPr>
          <w:p>
            <w:pPr>
              <w:spacing w:after="0"/>
              <w:rPr>
                <w:sz w:val="20"/>
                <w:szCs w:val="20"/>
                <w:color w:val="auto"/>
              </w:rPr>
            </w:pPr>
            <w:r>
              <w:rPr>
                <w:rFonts w:ascii="Arial" w:cs="Arial" w:eastAsia="Arial" w:hAnsi="Arial"/>
                <w:sz w:val="20"/>
                <w:szCs w:val="20"/>
                <w:color w:val="auto"/>
              </w:rPr>
              <w:t>Corrosion Inhibitor</w:t>
            </w:r>
          </w:p>
        </w:tc>
        <w:tc>
          <w:tcPr>
            <w:tcW w:w="110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w w:val="99"/>
              </w:rPr>
              <w:t>PO4 Based</w:t>
            </w:r>
          </w:p>
        </w:tc>
        <w:tc>
          <w:tcPr>
            <w:tcW w:w="1160" w:type="dxa"/>
            <w:vAlign w:val="bottom"/>
          </w:tcPr>
          <w:p>
            <w:pPr>
              <w:ind w:left="140"/>
              <w:spacing w:after="0"/>
              <w:rPr>
                <w:sz w:val="20"/>
                <w:szCs w:val="20"/>
                <w:color w:val="auto"/>
              </w:rPr>
            </w:pPr>
            <w:r>
              <w:rPr>
                <w:rFonts w:ascii="Arial" w:cs="Arial" w:eastAsia="Arial" w:hAnsi="Arial"/>
                <w:sz w:val="20"/>
                <w:szCs w:val="20"/>
                <w:color w:val="auto"/>
                <w:w w:val="97"/>
              </w:rPr>
              <w:t>PO4 Based</w:t>
            </w:r>
          </w:p>
        </w:tc>
        <w:tc>
          <w:tcPr>
            <w:tcW w:w="1040" w:type="dxa"/>
            <w:vAlign w:val="bottom"/>
          </w:tcPr>
          <w:p>
            <w:pPr>
              <w:ind w:left="160"/>
              <w:spacing w:after="0"/>
              <w:rPr>
                <w:sz w:val="20"/>
                <w:szCs w:val="20"/>
                <w:color w:val="auto"/>
              </w:rPr>
            </w:pPr>
            <w:r>
              <w:rPr>
                <w:rFonts w:ascii="Arial" w:cs="Arial" w:eastAsia="Arial" w:hAnsi="Arial"/>
                <w:sz w:val="20"/>
                <w:szCs w:val="20"/>
                <w:color w:val="auto"/>
                <w:w w:val="84"/>
              </w:rPr>
              <w:t>PO4 Based</w:t>
            </w:r>
          </w:p>
        </w:tc>
      </w:tr>
      <w:tr>
        <w:trPr>
          <w:trHeight w:val="250"/>
        </w:trPr>
        <w:tc>
          <w:tcPr>
            <w:tcW w:w="4280" w:type="dxa"/>
            <w:vAlign w:val="bottom"/>
          </w:tcPr>
          <w:p>
            <w:pPr>
              <w:spacing w:after="0"/>
              <w:rPr>
                <w:sz w:val="20"/>
                <w:szCs w:val="20"/>
                <w:color w:val="auto"/>
              </w:rPr>
            </w:pPr>
            <w:r>
              <w:rPr>
                <w:rFonts w:ascii="Arial" w:cs="Arial" w:eastAsia="Arial" w:hAnsi="Arial"/>
                <w:sz w:val="20"/>
                <w:szCs w:val="20"/>
                <w:color w:val="auto"/>
              </w:rPr>
              <w:t>Inhibitor rate</w:t>
            </w:r>
          </w:p>
        </w:tc>
        <w:tc>
          <w:tcPr>
            <w:tcW w:w="1100" w:type="dxa"/>
            <w:vAlign w:val="bottom"/>
          </w:tcPr>
          <w:p>
            <w:pPr>
              <w:ind w:left="340"/>
              <w:spacing w:after="0"/>
              <w:rPr>
                <w:sz w:val="20"/>
                <w:szCs w:val="20"/>
                <w:color w:val="auto"/>
              </w:rPr>
            </w:pPr>
            <w:r>
              <w:rPr>
                <w:rFonts w:ascii="Arial" w:cs="Arial" w:eastAsia="Arial" w:hAnsi="Arial"/>
                <w:sz w:val="20"/>
                <w:szCs w:val="20"/>
                <w:color w:val="auto"/>
              </w:rPr>
              <w:t>ppm</w:t>
            </w:r>
          </w:p>
        </w:tc>
        <w:tc>
          <w:tcPr>
            <w:tcW w:w="1300" w:type="dxa"/>
            <w:vAlign w:val="bottom"/>
          </w:tcPr>
          <w:p>
            <w:pPr>
              <w:ind w:left="260"/>
              <w:spacing w:after="0"/>
              <w:rPr>
                <w:sz w:val="20"/>
                <w:szCs w:val="20"/>
                <w:color w:val="auto"/>
              </w:rPr>
            </w:pPr>
            <w:r>
              <w:rPr>
                <w:rFonts w:ascii="Arial" w:cs="Arial" w:eastAsia="Arial" w:hAnsi="Arial"/>
                <w:sz w:val="20"/>
                <w:szCs w:val="20"/>
                <w:color w:val="auto"/>
              </w:rPr>
              <w:t>100 ppm</w:t>
            </w:r>
          </w:p>
        </w:tc>
        <w:tc>
          <w:tcPr>
            <w:tcW w:w="1160" w:type="dxa"/>
            <w:vAlign w:val="bottom"/>
          </w:tcPr>
          <w:p>
            <w:pPr>
              <w:ind w:left="140"/>
              <w:spacing w:after="0"/>
              <w:rPr>
                <w:sz w:val="20"/>
                <w:szCs w:val="20"/>
                <w:color w:val="auto"/>
              </w:rPr>
            </w:pPr>
            <w:r>
              <w:rPr>
                <w:rFonts w:ascii="Arial" w:cs="Arial" w:eastAsia="Arial" w:hAnsi="Arial"/>
                <w:sz w:val="20"/>
                <w:szCs w:val="20"/>
                <w:color w:val="auto"/>
              </w:rPr>
              <w:t>80 ppm</w:t>
            </w:r>
          </w:p>
        </w:tc>
        <w:tc>
          <w:tcPr>
            <w:tcW w:w="1040" w:type="dxa"/>
            <w:vAlign w:val="bottom"/>
          </w:tcPr>
          <w:p>
            <w:pPr>
              <w:ind w:left="160"/>
              <w:spacing w:after="0"/>
              <w:rPr>
                <w:sz w:val="20"/>
                <w:szCs w:val="20"/>
                <w:color w:val="auto"/>
              </w:rPr>
            </w:pPr>
            <w:r>
              <w:rPr>
                <w:rFonts w:ascii="Arial" w:cs="Arial" w:eastAsia="Arial" w:hAnsi="Arial"/>
                <w:sz w:val="20"/>
                <w:szCs w:val="20"/>
                <w:color w:val="auto"/>
              </w:rPr>
              <w:t>120 ppm</w:t>
            </w:r>
          </w:p>
        </w:tc>
      </w:tr>
      <w:tr>
        <w:trPr>
          <w:trHeight w:val="438"/>
        </w:trPr>
        <w:tc>
          <w:tcPr>
            <w:tcW w:w="4280" w:type="dxa"/>
            <w:vAlign w:val="bottom"/>
          </w:tcPr>
          <w:p>
            <w:pPr>
              <w:spacing w:after="0"/>
              <w:rPr>
                <w:sz w:val="20"/>
                <w:szCs w:val="20"/>
                <w:color w:val="auto"/>
              </w:rPr>
            </w:pPr>
            <w:r>
              <w:rPr>
                <w:rFonts w:ascii="Arial" w:cs="Arial" w:eastAsia="Arial" w:hAnsi="Arial"/>
                <w:sz w:val="20"/>
                <w:szCs w:val="20"/>
                <w:color w:val="auto"/>
              </w:rPr>
              <w:t>% Nitrogen</w:t>
            </w:r>
          </w:p>
        </w:tc>
        <w:tc>
          <w:tcPr>
            <w:tcW w:w="1100" w:type="dxa"/>
            <w:vAlign w:val="bottom"/>
          </w:tcPr>
          <w:p>
            <w:pPr>
              <w:spacing w:after="0"/>
              <w:rPr>
                <w:sz w:val="24"/>
                <w:szCs w:val="24"/>
                <w:color w:val="auto"/>
              </w:rPr>
            </w:pPr>
          </w:p>
        </w:tc>
        <w:tc>
          <w:tcPr>
            <w:tcW w:w="1300" w:type="dxa"/>
            <w:vAlign w:val="bottom"/>
          </w:tcPr>
          <w:p>
            <w:pPr>
              <w:ind w:left="260"/>
              <w:spacing w:after="0"/>
              <w:rPr>
                <w:sz w:val="20"/>
                <w:szCs w:val="20"/>
                <w:color w:val="auto"/>
              </w:rPr>
            </w:pPr>
            <w:r>
              <w:rPr>
                <w:rFonts w:ascii="Arial" w:cs="Arial" w:eastAsia="Arial" w:hAnsi="Arial"/>
                <w:sz w:val="20"/>
                <w:szCs w:val="20"/>
                <w:color w:val="auto"/>
              </w:rPr>
              <w:t>28.00%</w:t>
            </w:r>
          </w:p>
        </w:tc>
        <w:tc>
          <w:tcPr>
            <w:tcW w:w="1160" w:type="dxa"/>
            <w:vAlign w:val="bottom"/>
          </w:tcPr>
          <w:p>
            <w:pPr>
              <w:ind w:left="140"/>
              <w:spacing w:after="0"/>
              <w:rPr>
                <w:sz w:val="20"/>
                <w:szCs w:val="20"/>
                <w:color w:val="auto"/>
              </w:rPr>
            </w:pPr>
            <w:r>
              <w:rPr>
                <w:rFonts w:ascii="Arial" w:cs="Arial" w:eastAsia="Arial" w:hAnsi="Arial"/>
                <w:sz w:val="20"/>
                <w:szCs w:val="20"/>
                <w:color w:val="auto"/>
              </w:rPr>
              <w:t>27.80%</w:t>
            </w:r>
          </w:p>
        </w:tc>
        <w:tc>
          <w:tcPr>
            <w:tcW w:w="1040" w:type="dxa"/>
            <w:vAlign w:val="bottom"/>
          </w:tcPr>
          <w:p>
            <w:pPr>
              <w:ind w:left="160"/>
              <w:spacing w:after="0"/>
              <w:rPr>
                <w:sz w:val="20"/>
                <w:szCs w:val="20"/>
                <w:color w:val="auto"/>
              </w:rPr>
            </w:pPr>
            <w:r>
              <w:rPr>
                <w:rFonts w:ascii="Arial" w:cs="Arial" w:eastAsia="Arial" w:hAnsi="Arial"/>
                <w:sz w:val="20"/>
                <w:szCs w:val="20"/>
                <w:color w:val="auto"/>
              </w:rPr>
              <w:t>28.50%</w:t>
            </w:r>
          </w:p>
        </w:tc>
      </w:tr>
      <w:tr>
        <w:trPr>
          <w:trHeight w:val="230"/>
        </w:trPr>
        <w:tc>
          <w:tcPr>
            <w:tcW w:w="4280" w:type="dxa"/>
            <w:vAlign w:val="bottom"/>
          </w:tcPr>
          <w:p>
            <w:pPr>
              <w:spacing w:after="0"/>
              <w:rPr>
                <w:sz w:val="20"/>
                <w:szCs w:val="20"/>
                <w:color w:val="auto"/>
              </w:rPr>
            </w:pPr>
            <w:r>
              <w:rPr>
                <w:rFonts w:ascii="Arial" w:cs="Arial" w:eastAsia="Arial" w:hAnsi="Arial"/>
                <w:sz w:val="20"/>
                <w:szCs w:val="20"/>
                <w:color w:val="auto"/>
              </w:rPr>
              <w:t>Approx. Salt Out Temp (deg F)</w:t>
            </w:r>
          </w:p>
        </w:tc>
        <w:tc>
          <w:tcPr>
            <w:tcW w:w="1100" w:type="dxa"/>
            <w:vAlign w:val="bottom"/>
          </w:tcPr>
          <w:p>
            <w:pPr>
              <w:ind w:left="340"/>
              <w:spacing w:after="0"/>
              <w:rPr>
                <w:sz w:val="20"/>
                <w:szCs w:val="20"/>
                <w:color w:val="auto"/>
              </w:rPr>
            </w:pPr>
            <w:r>
              <w:rPr>
                <w:rFonts w:ascii="Arial" w:cs="Arial" w:eastAsia="Arial" w:hAnsi="Arial"/>
                <w:sz w:val="20"/>
                <w:szCs w:val="20"/>
                <w:color w:val="auto"/>
              </w:rPr>
              <w:t>Deg F</w:t>
            </w:r>
          </w:p>
        </w:tc>
        <w:tc>
          <w:tcPr>
            <w:tcW w:w="1300" w:type="dxa"/>
            <w:vAlign w:val="bottom"/>
          </w:tcPr>
          <w:p>
            <w:pPr>
              <w:ind w:left="260"/>
              <w:spacing w:after="0"/>
              <w:rPr>
                <w:sz w:val="20"/>
                <w:szCs w:val="20"/>
                <w:color w:val="auto"/>
              </w:rPr>
            </w:pPr>
            <w:r>
              <w:rPr>
                <w:rFonts w:ascii="Arial" w:cs="Arial" w:eastAsia="Arial" w:hAnsi="Arial"/>
                <w:sz w:val="20"/>
                <w:szCs w:val="20"/>
                <w:color w:val="auto"/>
              </w:rPr>
              <w:t>0 F</w:t>
            </w:r>
          </w:p>
        </w:tc>
        <w:tc>
          <w:tcPr>
            <w:tcW w:w="1160" w:type="dxa"/>
            <w:vAlign w:val="bottom"/>
          </w:tcPr>
          <w:p>
            <w:pPr>
              <w:ind w:left="140"/>
              <w:spacing w:after="0"/>
              <w:rPr>
                <w:sz w:val="20"/>
                <w:szCs w:val="20"/>
                <w:color w:val="auto"/>
              </w:rPr>
            </w:pPr>
            <w:r>
              <w:rPr>
                <w:rFonts w:ascii="Arial" w:cs="Arial" w:eastAsia="Arial" w:hAnsi="Arial"/>
                <w:sz w:val="20"/>
                <w:szCs w:val="20"/>
                <w:color w:val="auto"/>
              </w:rPr>
              <w:t>0 F</w:t>
            </w:r>
          </w:p>
        </w:tc>
        <w:tc>
          <w:tcPr>
            <w:tcW w:w="1040" w:type="dxa"/>
            <w:vAlign w:val="bottom"/>
          </w:tcPr>
          <w:p>
            <w:pPr>
              <w:ind w:left="160"/>
              <w:spacing w:after="0"/>
              <w:rPr>
                <w:sz w:val="20"/>
                <w:szCs w:val="20"/>
                <w:color w:val="auto"/>
              </w:rPr>
            </w:pPr>
            <w:r>
              <w:rPr>
                <w:rFonts w:ascii="Arial" w:cs="Arial" w:eastAsia="Arial" w:hAnsi="Arial"/>
                <w:sz w:val="20"/>
                <w:szCs w:val="20"/>
                <w:color w:val="auto"/>
              </w:rPr>
              <w:t>0 F</w:t>
            </w:r>
          </w:p>
        </w:tc>
      </w:tr>
      <w:tr>
        <w:trPr>
          <w:trHeight w:val="250"/>
        </w:trPr>
        <w:tc>
          <w:tcPr>
            <w:tcW w:w="4280" w:type="dxa"/>
            <w:vAlign w:val="bottom"/>
          </w:tcPr>
          <w:p>
            <w:pPr>
              <w:spacing w:after="0"/>
              <w:rPr>
                <w:sz w:val="20"/>
                <w:szCs w:val="20"/>
                <w:color w:val="auto"/>
              </w:rPr>
            </w:pPr>
            <w:r>
              <w:rPr>
                <w:rFonts w:ascii="Arial" w:cs="Arial" w:eastAsia="Arial" w:hAnsi="Arial"/>
                <w:sz w:val="20"/>
                <w:szCs w:val="20"/>
                <w:color w:val="auto"/>
              </w:rPr>
              <w:t>Approx. Salt Out Temp (deg C)</w:t>
            </w:r>
          </w:p>
        </w:tc>
        <w:tc>
          <w:tcPr>
            <w:tcW w:w="1100" w:type="dxa"/>
            <w:vAlign w:val="bottom"/>
          </w:tcPr>
          <w:p>
            <w:pPr>
              <w:ind w:left="340"/>
              <w:spacing w:after="0"/>
              <w:rPr>
                <w:sz w:val="20"/>
                <w:szCs w:val="20"/>
                <w:color w:val="auto"/>
              </w:rPr>
            </w:pPr>
            <w:r>
              <w:rPr>
                <w:rFonts w:ascii="Arial" w:cs="Arial" w:eastAsia="Arial" w:hAnsi="Arial"/>
                <w:sz w:val="20"/>
                <w:szCs w:val="20"/>
                <w:color w:val="auto"/>
              </w:rPr>
              <w:t>Deg C</w:t>
            </w:r>
          </w:p>
        </w:tc>
        <w:tc>
          <w:tcPr>
            <w:tcW w:w="1300" w:type="dxa"/>
            <w:vAlign w:val="bottom"/>
          </w:tcPr>
          <w:p>
            <w:pPr>
              <w:ind w:left="260"/>
              <w:spacing w:after="0"/>
              <w:rPr>
                <w:sz w:val="20"/>
                <w:szCs w:val="20"/>
                <w:color w:val="auto"/>
              </w:rPr>
            </w:pPr>
            <w:r>
              <w:rPr>
                <w:rFonts w:ascii="Arial" w:cs="Arial" w:eastAsia="Arial" w:hAnsi="Arial"/>
                <w:sz w:val="20"/>
                <w:szCs w:val="20"/>
                <w:color w:val="auto"/>
              </w:rPr>
              <w:t>- 18 C</w:t>
            </w:r>
          </w:p>
        </w:tc>
        <w:tc>
          <w:tcPr>
            <w:tcW w:w="1160" w:type="dxa"/>
            <w:vAlign w:val="bottom"/>
          </w:tcPr>
          <w:p>
            <w:pPr>
              <w:ind w:left="140"/>
              <w:spacing w:after="0"/>
              <w:rPr>
                <w:sz w:val="20"/>
                <w:szCs w:val="20"/>
                <w:color w:val="auto"/>
              </w:rPr>
            </w:pPr>
            <w:r>
              <w:rPr>
                <w:rFonts w:ascii="Arial" w:cs="Arial" w:eastAsia="Arial" w:hAnsi="Arial"/>
                <w:sz w:val="20"/>
                <w:szCs w:val="20"/>
                <w:color w:val="auto"/>
              </w:rPr>
              <w:t>- 18 C</w:t>
            </w:r>
          </w:p>
        </w:tc>
        <w:tc>
          <w:tcPr>
            <w:tcW w:w="1040" w:type="dxa"/>
            <w:vAlign w:val="bottom"/>
          </w:tcPr>
          <w:p>
            <w:pPr>
              <w:ind w:left="160"/>
              <w:spacing w:after="0"/>
              <w:rPr>
                <w:sz w:val="20"/>
                <w:szCs w:val="20"/>
                <w:color w:val="auto"/>
              </w:rPr>
            </w:pPr>
            <w:r>
              <w:rPr>
                <w:rFonts w:ascii="Arial" w:cs="Arial" w:eastAsia="Arial" w:hAnsi="Arial"/>
                <w:sz w:val="20"/>
                <w:szCs w:val="20"/>
                <w:color w:val="auto"/>
              </w:rPr>
              <w:t>- 18 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297815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320" w:top="531" w:right="299" w:bottom="1440" w:gutter="0" w:footer="0" w:header="0"/>
        </w:sectPr>
      </w:pPr>
    </w:p>
    <w:bookmarkStart w:id="59" w:name="page60"/>
    <w:bookmarkEnd w:id="59"/>
    <w:p>
      <w:pPr>
        <w:jc w:val="center"/>
        <w:ind w:left="280" w:right="40"/>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Appendix 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Product Pricing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 Sales Price</w:t>
      </w:r>
      <w:r>
        <w:rPr>
          <w:rFonts w:ascii="Arial" w:cs="Arial" w:eastAsia="Arial" w:hAnsi="Arial"/>
          <w:sz w:val="20"/>
          <w:szCs w:val="20"/>
          <w:b w:val="1"/>
          <w:bCs w:val="1"/>
          <w:color w:val="auto"/>
        </w:rPr>
        <w:t>:</w:t>
      </w:r>
    </w:p>
    <w:p>
      <w:pPr>
        <w:spacing w:after="0" w:line="114"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Buyer will prepare and email to Seller an order acknowledgment for all Product orders that are to be sold from Seller’s Facility. The order acknowledgement will include the quantity to be sold and the Net Sales Price, with the Net Sales Price being equal to the following:</w:t>
      </w:r>
    </w:p>
    <w:p>
      <w:pPr>
        <w:spacing w:after="0" w:line="238" w:lineRule="exact"/>
        <w:rPr>
          <w:sz w:val="20"/>
          <w:szCs w:val="20"/>
          <w:color w:val="auto"/>
        </w:rPr>
      </w:pPr>
    </w:p>
    <w:p>
      <w:pPr>
        <w:ind w:left="440"/>
        <w:spacing w:after="0"/>
        <w:rPr>
          <w:sz w:val="20"/>
          <w:szCs w:val="20"/>
          <w:color w:val="auto"/>
        </w:rPr>
      </w:pPr>
      <w:r>
        <w:rPr>
          <w:rFonts w:ascii="Arial" w:cs="Arial" w:eastAsia="Arial" w:hAnsi="Arial"/>
          <w:sz w:val="20"/>
          <w:szCs w:val="20"/>
          <w:color w:val="auto"/>
        </w:rPr>
        <w:t>Net Sales Price (expressed in US$ per short ton) = Ptp – Freight– Commission</w:t>
      </w:r>
    </w:p>
    <w:p>
      <w:pPr>
        <w:spacing w:after="0" w:line="210" w:lineRule="exact"/>
        <w:rPr>
          <w:sz w:val="20"/>
          <w:szCs w:val="20"/>
          <w:color w:val="auto"/>
        </w:rPr>
      </w:pPr>
    </w:p>
    <w:p>
      <w:pPr>
        <w:ind w:left="700"/>
        <w:spacing w:after="0"/>
        <w:rPr>
          <w:sz w:val="20"/>
          <w:szCs w:val="20"/>
          <w:color w:val="auto"/>
        </w:rPr>
      </w:pPr>
      <w:r>
        <w:rPr>
          <w:rFonts w:ascii="Arial" w:cs="Arial" w:eastAsia="Arial" w:hAnsi="Arial"/>
          <w:sz w:val="20"/>
          <w:szCs w:val="20"/>
          <w:b w:val="1"/>
          <w:bCs w:val="1"/>
          <w:color w:val="auto"/>
        </w:rPr>
        <w:t>Where:</w:t>
      </w:r>
    </w:p>
    <w:p>
      <w:pPr>
        <w:spacing w:after="0" w:line="235"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Ptp = Actual price per short ton sold by Buyer for Product shipped from Seller’s Facility.</w:t>
      </w:r>
    </w:p>
    <w:p>
      <w:pPr>
        <w:spacing w:after="0" w:line="216" w:lineRule="exact"/>
        <w:rPr>
          <w:sz w:val="20"/>
          <w:szCs w:val="20"/>
          <w:color w:val="auto"/>
        </w:rPr>
      </w:pPr>
    </w:p>
    <w:p>
      <w:pPr>
        <w:ind w:left="1960" w:right="220"/>
        <w:spacing w:after="0" w:line="260" w:lineRule="auto"/>
        <w:rPr>
          <w:sz w:val="20"/>
          <w:szCs w:val="20"/>
          <w:color w:val="auto"/>
        </w:rPr>
      </w:pPr>
      <w:r>
        <w:rPr>
          <w:rFonts w:ascii="Arial" w:cs="Arial" w:eastAsia="Arial" w:hAnsi="Arial"/>
          <w:sz w:val="20"/>
          <w:szCs w:val="20"/>
          <w:color w:val="auto"/>
        </w:rPr>
        <w:t>Freight = Actual freight rate per ton to be incurred by Buyer (including fuel surcharges and excluding demurrage) to deliver Product from Seller’s Facility to a third-party pursuant to a third-party sale. ***.</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Commission = ***</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31" w:right="259" w:bottom="1440" w:gutter="0" w:footer="0" w:header="0"/>
        </w:sectPr>
      </w:pPr>
    </w:p>
    <w:bookmarkStart w:id="60" w:name="page61"/>
    <w:bookmarkEnd w:id="60"/>
    <w:p>
      <w:pPr>
        <w:jc w:val="center"/>
        <w:ind w:left="300" w:right="20"/>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69"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Appendix III</w:t>
      </w:r>
    </w:p>
    <w:p>
      <w:pPr>
        <w:spacing w:after="0" w:line="22"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Additional Terms and Conditions</w:t>
      </w:r>
    </w:p>
    <w:p>
      <w:pPr>
        <w:spacing w:after="0" w:line="200" w:lineRule="exact"/>
        <w:rPr>
          <w:sz w:val="20"/>
          <w:szCs w:val="20"/>
          <w:color w:val="auto"/>
        </w:rPr>
      </w:pPr>
    </w:p>
    <w:p>
      <w:pPr>
        <w:spacing w:after="0" w:line="237" w:lineRule="exact"/>
        <w:rPr>
          <w:sz w:val="20"/>
          <w:szCs w:val="20"/>
          <w:color w:val="auto"/>
        </w:rPr>
      </w:pPr>
    </w:p>
    <w:p>
      <w:pPr>
        <w:ind w:left="-8" w:right="60" w:firstLine="8"/>
        <w:spacing w:after="0" w:line="248" w:lineRule="auto"/>
        <w:tabs>
          <w:tab w:leader="none" w:pos="19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Product Measurement. </w:t>
      </w:r>
      <w:r>
        <w:rPr>
          <w:rFonts w:ascii="Arial" w:cs="Arial" w:eastAsia="Arial" w:hAnsi="Arial"/>
          <w:sz w:val="20"/>
          <w:szCs w:val="20"/>
          <w:color w:val="auto"/>
        </w:rPr>
        <w:t>Products shall be measured by calibrated meters or scales. Product weights shall be measured in short tons (2,000</w:t>
      </w:r>
      <w:r>
        <w:rPr>
          <w:rFonts w:ascii="Arial" w:cs="Arial" w:eastAsia="Arial" w:hAnsi="Arial"/>
          <w:sz w:val="20"/>
          <w:szCs w:val="20"/>
          <w:b w:val="1"/>
          <w:bCs w:val="1"/>
          <w:color w:val="auto"/>
        </w:rPr>
        <w:t xml:space="preserve"> </w:t>
      </w:r>
      <w:r>
        <w:rPr>
          <w:rFonts w:ascii="Arial" w:cs="Arial" w:eastAsia="Arial" w:hAnsi="Arial"/>
          <w:sz w:val="20"/>
          <w:szCs w:val="20"/>
          <w:color w:val="auto"/>
        </w:rPr>
        <w:t>pounds). Product volumes shall be rounded to the nearest three decimal places. Upon request and within reason, each Party shall have the right to have a representative witness tests of applicable meters and scales and measurements of Products. Measurements shall be deemed to be correct absent manifest error.</w:t>
      </w:r>
    </w:p>
    <w:p>
      <w:pPr>
        <w:spacing w:after="0" w:line="183" w:lineRule="exact"/>
        <w:rPr>
          <w:rFonts w:ascii="Arial" w:cs="Arial" w:eastAsia="Arial" w:hAnsi="Arial"/>
          <w:sz w:val="20"/>
          <w:szCs w:val="20"/>
          <w:color w:val="auto"/>
        </w:rPr>
      </w:pPr>
    </w:p>
    <w:p>
      <w:pPr>
        <w:ind w:left="-8" w:right="140" w:firstLine="8"/>
        <w:spacing w:after="0" w:line="243" w:lineRule="auto"/>
        <w:tabs>
          <w:tab w:leader="none" w:pos="19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Limited Representations and Warranties. </w:t>
      </w:r>
      <w:r>
        <w:rPr>
          <w:rFonts w:ascii="Arial" w:cs="Arial" w:eastAsia="Arial" w:hAnsi="Arial"/>
          <w:sz w:val="20"/>
          <w:szCs w:val="20"/>
          <w:color w:val="auto"/>
        </w:rPr>
        <w:t>Seller represents and warrants to Buyer that the Products will conform to the specifications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Product and that Product is delivered free from lawful security interests, liens, and encumbrances (collectively, the “Limited Representations and Warranties”). THERE ARE NO WARRANTIES WHICH EXTEND BEYOND THE DESCRIPTION ON THE FACE HEREOF. SELLER MAKES NO OTHER REPRESENTATIONS OR WARRANTIES, EXPRESS OR IMPLIED, INCLUDING BUT NOT LIMITED TO ANY WARRANTY OF MERCHANTABILITY OR FITNESS OF THE PRODUCTS FOR A PARTICULAR PURPOSE (EVEN IF SUCH PURPOSE IS KNOWN TO SELLER), OR ANY WARRANTY AGAINST INFRINGEMENT (INCLUDING INFRINGEMENT OF PATENT AND TRADEMARK RIGHTS). ANY IMPLIED WARRANTIES ARE EXPRESSLY DISCLAIMED AND EXCLUDED.</w:t>
      </w:r>
    </w:p>
    <w:p>
      <w:pPr>
        <w:spacing w:after="0" w:line="189" w:lineRule="exact"/>
        <w:rPr>
          <w:rFonts w:ascii="Arial" w:cs="Arial" w:eastAsia="Arial" w:hAnsi="Arial"/>
          <w:sz w:val="20"/>
          <w:szCs w:val="20"/>
          <w:color w:val="auto"/>
        </w:rPr>
      </w:pPr>
    </w:p>
    <w:p>
      <w:pPr>
        <w:ind w:left="-8" w:right="100" w:firstLine="8"/>
        <w:spacing w:after="0" w:line="248" w:lineRule="auto"/>
        <w:tabs>
          <w:tab w:leader="none" w:pos="190" w:val="left"/>
        </w:tabs>
        <w:numPr>
          <w:ilvl w:val="0"/>
          <w:numId w:val="30"/>
        </w:numPr>
        <w:rPr>
          <w:rFonts w:ascii="Arial" w:cs="Arial" w:eastAsia="Arial" w:hAnsi="Arial"/>
          <w:sz w:val="20"/>
          <w:szCs w:val="20"/>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All prices for Products shall be exclusive of all sales, use, and excise taxes, and any other similar taxes, duties, assessments, and</w:t>
      </w:r>
      <w:r>
        <w:rPr>
          <w:rFonts w:ascii="Arial" w:cs="Arial" w:eastAsia="Arial" w:hAnsi="Arial"/>
          <w:sz w:val="20"/>
          <w:szCs w:val="20"/>
          <w:b w:val="1"/>
          <w:bCs w:val="1"/>
          <w:color w:val="auto"/>
        </w:rPr>
        <w:t xml:space="preserve"> </w:t>
      </w:r>
      <w:r>
        <w:rPr>
          <w:rFonts w:ascii="Arial" w:cs="Arial" w:eastAsia="Arial" w:hAnsi="Arial"/>
          <w:sz w:val="20"/>
          <w:szCs w:val="20"/>
          <w:color w:val="auto"/>
        </w:rPr>
        <w:t>charges of any kind imposed by any governmental authority (collectively, “Taxes”), and Buyer shall be responsible for and pay all such Taxes, provided that Buyer shall not be responsible for any Taxes imposed on Seller with respect to Seller’s income, personnel, or real or personal property.</w:t>
      </w:r>
    </w:p>
    <w:p>
      <w:pPr>
        <w:spacing w:after="0" w:line="183" w:lineRule="exact"/>
        <w:rPr>
          <w:rFonts w:ascii="Arial" w:cs="Arial" w:eastAsia="Arial" w:hAnsi="Arial"/>
          <w:sz w:val="20"/>
          <w:szCs w:val="20"/>
          <w:color w:val="auto"/>
        </w:rPr>
      </w:pPr>
    </w:p>
    <w:p>
      <w:pPr>
        <w:ind w:left="-8" w:firstLine="8"/>
        <w:spacing w:after="0" w:line="270" w:lineRule="auto"/>
        <w:tabs>
          <w:tab w:leader="none" w:pos="19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Except with respect to payment for delivered Products, neither Party shall be liable or responsible for any failure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its obligations, or any loss or damage resulting therefrom, when and to the extent such failure or delay is caused by or results from acts or circumstances beyond its reasonable control, acts of God, the elements, floods, fires, explosions, storms, earthquakes, power outages, wars, invasions or hostilities (whether war is declared or not), terrorist threats or acts, military operations, national emergencies, riots or civil unrest, revolution, insurrections, epidemics, government proration or regulation, newly implemented or enforced laws, regulations, or ordinances, actions of courts of competent jurisdiction, strikes, lockouts, differences with workmen, labor disturbances or disputes (whether or not relating to either Party’s workforce), breakage or breakdown of equipment, facilities, tankage, or pipelines, shortage of supplies or raw materials, or restraints or delays affecting carriers, manufacturers, or distributors, provided that, if the event in question continues for a continuous period in excess of 120 days, either Party may terminate the Agreement and these General Terms and Conditions or any Transaction Agreement with respect to future deliveries of Products upon notice to the other Party. If by reason of any such circumstances, Seller's supply of Products is insufficient to meet all of its delivery requirements, Seller shall have the right, at its option, and without liability to Buyer, to apportion its available Products among any and all parties to which it is obligated to make deliveries, including its affiliated divisions and companies, in such manner as Seller reasonably believes fair and equitable, including, but not limited to, an allocation based on historical or planned deliveries. Seller shall have no obligation to make up any shortages to Buyer resulting from any allocation hereunder.</w:t>
      </w:r>
    </w:p>
    <w:p>
      <w:pPr>
        <w:spacing w:after="0" w:line="170" w:lineRule="exact"/>
        <w:rPr>
          <w:rFonts w:ascii="Arial" w:cs="Arial" w:eastAsia="Arial" w:hAnsi="Arial"/>
          <w:sz w:val="18"/>
          <w:szCs w:val="18"/>
          <w:color w:val="auto"/>
        </w:rPr>
      </w:pPr>
    </w:p>
    <w:p>
      <w:pPr>
        <w:ind w:left="-8" w:firstLine="8"/>
        <w:spacing w:after="0" w:line="294" w:lineRule="auto"/>
        <w:tabs>
          <w:tab w:leader="none" w:pos="19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Hazard Warnings; Safety Data Sheets. </w:t>
      </w:r>
      <w:r>
        <w:rPr>
          <w:rFonts w:ascii="Arial" w:cs="Arial" w:eastAsia="Arial" w:hAnsi="Arial"/>
          <w:sz w:val="18"/>
          <w:szCs w:val="18"/>
          <w:color w:val="auto"/>
        </w:rPr>
        <w:t>Seller has provided Buyer with Safety Data Sheets for the Products (the “Safety Data Sheets”).</w:t>
      </w:r>
      <w:r>
        <w:rPr>
          <w:rFonts w:ascii="Arial" w:cs="Arial" w:eastAsia="Arial" w:hAnsi="Arial"/>
          <w:sz w:val="18"/>
          <w:szCs w:val="18"/>
          <w:b w:val="1"/>
          <w:bCs w:val="1"/>
          <w:color w:val="auto"/>
        </w:rPr>
        <w:t xml:space="preserve"> </w:t>
      </w:r>
      <w:r>
        <w:rPr>
          <w:rFonts w:ascii="Arial" w:cs="Arial" w:eastAsia="Arial" w:hAnsi="Arial"/>
          <w:sz w:val="18"/>
          <w:szCs w:val="18"/>
          <w:color w:val="auto"/>
        </w:rPr>
        <w:t>Buyer acknowledges the risks and hazards associated with handling and using the Products. Buyer represents that it has complete knowledge of the hazards of the Products and that it undertakes and assumes full responsibility to maintain, observe, and communicate adequately</w:t>
      </w:r>
    </w:p>
    <w:p>
      <w:pPr>
        <w:spacing w:after="0" w:line="150"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203835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26" w:right="279" w:bottom="1440" w:gutter="0" w:footer="0" w:header="0"/>
        </w:sectPr>
      </w:pPr>
    </w:p>
    <w:bookmarkStart w:id="61" w:name="page62"/>
    <w:bookmarkEnd w:id="61"/>
    <w:p>
      <w:pPr>
        <w:jc w:val="center"/>
        <w:ind w:left="260" w:right="60"/>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75" w:lineRule="exact"/>
        <w:rPr>
          <w:sz w:val="20"/>
          <w:szCs w:val="20"/>
          <w:color w:val="auto"/>
        </w:rPr>
      </w:pPr>
    </w:p>
    <w:p>
      <w:pPr>
        <w:ind w:right="220"/>
        <w:spacing w:after="0" w:line="260" w:lineRule="auto"/>
        <w:rPr>
          <w:sz w:val="20"/>
          <w:szCs w:val="20"/>
          <w:color w:val="auto"/>
        </w:rPr>
      </w:pPr>
      <w:r>
        <w:rPr>
          <w:rFonts w:ascii="Arial" w:cs="Arial" w:eastAsia="Arial" w:hAnsi="Arial"/>
          <w:sz w:val="19"/>
          <w:szCs w:val="19"/>
          <w:color w:val="auto"/>
        </w:rPr>
        <w:t>to its agents, employees, customers, and contractors all necessary information for the safe handling and use of the Products. Buyer agrees without limitation to promptly and properly provide to its employees, customers, and community representatives, as appropriate, any information provided by Seller relating to hazards, human health, or human or environmental safety on the Products. Buyer assumes, as to its employees, independent contractors, and subsequent purchasers of the Products, all responsibility for all such necessary warnings or other precautionary measures relating to hazards to person and property associated with the Products.</w:t>
      </w:r>
    </w:p>
    <w:p>
      <w:pPr>
        <w:spacing w:after="0" w:line="175" w:lineRule="exact"/>
        <w:rPr>
          <w:sz w:val="20"/>
          <w:szCs w:val="20"/>
          <w:color w:val="auto"/>
        </w:rPr>
      </w:pPr>
    </w:p>
    <w:p>
      <w:pPr>
        <w:ind w:right="80" w:firstLine="8"/>
        <w:spacing w:after="0" w:line="243" w:lineRule="auto"/>
        <w:tabs>
          <w:tab w:leader="none" w:pos="198"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 xml:space="preserve">Exclusion of Certain Types of Damages. </w:t>
      </w:r>
      <w:r>
        <w:rPr>
          <w:rFonts w:ascii="Arial" w:cs="Arial" w:eastAsia="Arial" w:hAnsi="Arial"/>
          <w:sz w:val="20"/>
          <w:szCs w:val="20"/>
          <w:color w:val="auto"/>
        </w:rPr>
        <w:t>EXCEPT WITH RESPECT TO CLAIMS MADE BY THIRD PARTIES FOR WHICH SELLER</w:t>
      </w:r>
      <w:r>
        <w:rPr>
          <w:rFonts w:ascii="Arial" w:cs="Arial" w:eastAsia="Arial" w:hAnsi="Arial"/>
          <w:sz w:val="20"/>
          <w:szCs w:val="20"/>
          <w:b w:val="1"/>
          <w:bCs w:val="1"/>
          <w:color w:val="auto"/>
        </w:rPr>
        <w:t xml:space="preserve"> </w:t>
      </w:r>
      <w:r>
        <w:rPr>
          <w:rFonts w:ascii="Arial" w:cs="Arial" w:eastAsia="Arial" w:hAnsi="Arial"/>
          <w:sz w:val="20"/>
          <w:szCs w:val="20"/>
          <w:color w:val="auto"/>
        </w:rPr>
        <w:t>HAS AN OBLIGATION TO INDEMNIFY BUYER, NEITHER PARTY SHALL BE LIABLE TO THE OTHER UNDER ANY CIRCUMSTANCES FOR ANY DAMAGES PERTAINING TO LOSS OF USE, LOSS OF REVENUE, LOSS OF PROFIT, OR BUSINESS INTERRUPTION, OR FOR ANY INDIRECT, INCIDENTAL, CONSEQUENTIAL, PUNITIVE, SPECIAL, OR SPECULATIVE DAMAGES, WHETHER ARISING OUT OF BREACH OF CONTRACT, TORT, OR OTHERWISE, REGARDLESS OF WHETHER SUCH DAMAGES WERE FORESEEABLE AND WHETHER OR NOT EITHER PARTY HAS BEEN ADVISED OF THE POSSIBILITY OF SUCH DAMAGES, AND NOTWITHSTANDING THE FAILURE OF ANY AGREED OR OTHER REMEDY OF ITS ESSENTIAL PURPOSE.</w:t>
      </w:r>
    </w:p>
    <w:p>
      <w:pPr>
        <w:spacing w:after="0" w:line="189" w:lineRule="exact"/>
        <w:rPr>
          <w:rFonts w:ascii="Arial" w:cs="Arial" w:eastAsia="Arial" w:hAnsi="Arial"/>
          <w:sz w:val="20"/>
          <w:szCs w:val="20"/>
          <w:color w:val="auto"/>
        </w:rPr>
      </w:pPr>
    </w:p>
    <w:p>
      <w:pPr>
        <w:ind w:left="200" w:hanging="192"/>
        <w:spacing w:after="0"/>
        <w:tabs>
          <w:tab w:leader="none" w:pos="200" w:val="left"/>
        </w:tabs>
        <w:numPr>
          <w:ilvl w:val="0"/>
          <w:numId w:val="31"/>
        </w:numPr>
        <w:rPr>
          <w:rFonts w:ascii="Arial" w:cs="Arial" w:eastAsia="Arial" w:hAnsi="Arial"/>
          <w:sz w:val="20"/>
          <w:szCs w:val="20"/>
          <w:color w:val="auto"/>
        </w:rPr>
      </w:pPr>
      <w:r>
        <w:rPr>
          <w:rFonts w:ascii="Arial" w:cs="Arial" w:eastAsia="Arial" w:hAnsi="Arial"/>
          <w:sz w:val="20"/>
          <w:szCs w:val="20"/>
          <w:b w:val="1"/>
          <w:bCs w:val="1"/>
          <w:color w:val="auto"/>
        </w:rPr>
        <w:t>Miscellaneous.</w:t>
      </w:r>
    </w:p>
    <w:p>
      <w:pPr>
        <w:spacing w:after="0" w:line="222" w:lineRule="exact"/>
        <w:rPr>
          <w:sz w:val="20"/>
          <w:szCs w:val="20"/>
          <w:color w:val="auto"/>
        </w:rPr>
      </w:pPr>
    </w:p>
    <w:p>
      <w:pPr>
        <w:jc w:val="both"/>
        <w:ind w:right="280" w:firstLine="8"/>
        <w:spacing w:after="0" w:line="263" w:lineRule="auto"/>
        <w:tabs>
          <w:tab w:leader="none" w:pos="26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between the Parties must be in writing (which shall include electronic mail (“Email”)) and will be effective, and any applicable time period shall commence, when (a) delivered to the recipient Party at the address given by the Recipient Party in a Transaction Agreement by a nationally recognized delivery service (costs prepaid) with evidence of delivery or (b) transmitted by Email to the recipient Party at the Email address given by the Recipient Party in a Transaction Agreement.</w:t>
      </w:r>
    </w:p>
    <w:p>
      <w:pPr>
        <w:spacing w:after="0" w:line="176" w:lineRule="exact"/>
        <w:rPr>
          <w:rFonts w:ascii="Arial" w:cs="Arial" w:eastAsia="Arial" w:hAnsi="Arial"/>
          <w:sz w:val="19"/>
          <w:szCs w:val="19"/>
          <w:color w:val="auto"/>
        </w:rPr>
      </w:pPr>
    </w:p>
    <w:p>
      <w:pPr>
        <w:jc w:val="both"/>
        <w:ind w:right="200" w:firstLine="8"/>
        <w:spacing w:after="0" w:line="263" w:lineRule="auto"/>
        <w:tabs>
          <w:tab w:leader="none" w:pos="28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The Agreement and these General Terms and Conditions, supersede all prior agreements, whether written or oral, between the Parties with respect to the relevant subject matter and constitute (along with any exhibits or other documents to be delivered pursuant thereto) a complete and exclusive statement of the terms of agreement between the Parties. The Agreement and these General Terms and Conditions may only be amended, supplemented, or modified by a writing executed by each of the Parties.</w:t>
      </w:r>
    </w:p>
    <w:p>
      <w:pPr>
        <w:spacing w:after="0" w:line="176" w:lineRule="exact"/>
        <w:rPr>
          <w:rFonts w:ascii="Arial" w:cs="Arial" w:eastAsia="Arial" w:hAnsi="Arial"/>
          <w:sz w:val="19"/>
          <w:szCs w:val="19"/>
          <w:color w:val="auto"/>
        </w:rPr>
      </w:pPr>
    </w:p>
    <w:p>
      <w:pPr>
        <w:ind w:right="60" w:firstLine="8"/>
        <w:spacing w:after="0" w:line="244" w:lineRule="auto"/>
        <w:tabs>
          <w:tab w:leader="none" w:pos="269"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All matters relating to or arising out of these General Terms and Conditions or any Transaction Agreement, whether sounding in contract, tort, or otherwise, will be governed by and construed and interpreted under the laws of the State of Kansas without regard to conflicts of laws principles that would require the application of any other State’s law. The United Nations Convention on Contracts for the International Sale of Goods or any subsequently enacted treaty or convention of similar nature shall not apply to these General Terms and Conditions or any Transaction Agreement.</w:t>
      </w:r>
    </w:p>
    <w:p>
      <w:pPr>
        <w:spacing w:after="0" w:line="194" w:lineRule="exact"/>
        <w:rPr>
          <w:rFonts w:ascii="Arial" w:cs="Arial" w:eastAsia="Arial" w:hAnsi="Arial"/>
          <w:sz w:val="20"/>
          <w:szCs w:val="20"/>
          <w:color w:val="auto"/>
        </w:rPr>
      </w:pPr>
    </w:p>
    <w:p>
      <w:pPr>
        <w:ind w:right="140" w:firstLine="8"/>
        <w:spacing w:after="0" w:line="269" w:lineRule="auto"/>
        <w:tabs>
          <w:tab w:leader="none" w:pos="28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KNOWINGLY, VOLUNTARILY, AND INTENTIONALLY, WAIVES ITS RIGHT TO TRIAL BY JURY IN ANY PROCEEDING ARISING OUT OF OR RELATING TO THE AGREEMENT AND THESE GENERAL TERMS AND CONDITIONS OR ANY TRANSACTION AGREEMENT, WHETHER SOUNDING IN CONTRACT, TORT, OR OTHERWISE.</w:t>
      </w:r>
    </w:p>
    <w:p>
      <w:pPr>
        <w:spacing w:after="0" w:line="170" w:lineRule="exact"/>
        <w:rPr>
          <w:rFonts w:ascii="Arial" w:cs="Arial" w:eastAsia="Arial" w:hAnsi="Arial"/>
          <w:sz w:val="19"/>
          <w:szCs w:val="19"/>
          <w:color w:val="auto"/>
        </w:rPr>
      </w:pPr>
    </w:p>
    <w:p>
      <w:pPr>
        <w:ind w:firstLine="8"/>
        <w:spacing w:after="0" w:line="291" w:lineRule="auto"/>
        <w:tabs>
          <w:tab w:leader="none" w:pos="269"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Except as expressly provided otherwise in the Agreement and these General Terms and Conditions, neither any failure nor any delay by any Party in exercising any right, power, or privilege will operate as a waiver of such right, power, or privilege, and no single or partial exercise of any such right, power, or privilege will preclude any other or further exercise of such right, power, or privilege or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2" w:name="page63"/>
    <w:bookmarkEnd w:id="62"/>
    <w:p>
      <w:pPr>
        <w:jc w:val="center"/>
        <w:ind w:left="260" w:right="60"/>
        <w:spacing w:after="0" w:line="281" w:lineRule="auto"/>
        <w:rPr>
          <w:sz w:val="20"/>
          <w:szCs w:val="20"/>
          <w:color w:val="auto"/>
        </w:rPr>
      </w:pPr>
      <w:r>
        <w:rPr>
          <w:rFonts w:ascii="Arial" w:cs="Arial" w:eastAsia="Arial" w:hAnsi="Arial"/>
          <w:sz w:val="16"/>
          <w:szCs w:val="16"/>
          <w:b w:val="1"/>
          <w:bCs w:val="1"/>
          <w:color w:val="auto"/>
        </w:rPr>
        <w:t>SPECIFIC TERMS IN THIS EXHIBIT HAVE BEEN REDACTED BECAUSE CONFIDENTIAL TREATMENT OF THOSE TERMS HAS BEEN REQUESTED. THE REDACTED MATERIAL HAS BEEN SEPARATELY SUBMITTED TO THE SECURITIES AND EXCHANGE COMMISSION, AND THE TERMS HAVE BEEN MARKED AT THE APPROPRIATE PLACE WITH THREE ASTERISKS (***).</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exercise of any other right, power, or privilege.</w:t>
      </w:r>
    </w:p>
    <w:p>
      <w:pPr>
        <w:spacing w:after="0" w:line="216" w:lineRule="exact"/>
        <w:rPr>
          <w:sz w:val="20"/>
          <w:szCs w:val="20"/>
          <w:color w:val="auto"/>
        </w:rPr>
      </w:pPr>
    </w:p>
    <w:p>
      <w:pPr>
        <w:jc w:val="both"/>
        <w:ind w:right="280" w:firstLine="8"/>
        <w:spacing w:after="0" w:line="269" w:lineRule="auto"/>
        <w:tabs>
          <w:tab w:leader="none" w:pos="247"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 Third Party Beneficiaries</w:t>
      </w:r>
      <w:r>
        <w:rPr>
          <w:rFonts w:ascii="Arial" w:cs="Arial" w:eastAsia="Arial" w:hAnsi="Arial"/>
          <w:sz w:val="19"/>
          <w:szCs w:val="19"/>
          <w:color w:val="auto"/>
        </w:rPr>
        <w:t>. Except as may be expressly set forth in the Agreement and these General Terms and Conditions, nothing in these General Terms and Conditions or any Transaction Agreement shall entitle any person other than Seller or Buyer, or their successors or assigns, to any claim, cause of action, right, or remedy of any kind relating to the matters contemplated hereby.</w:t>
      </w:r>
    </w:p>
    <w:p>
      <w:pPr>
        <w:spacing w:after="0" w:line="170" w:lineRule="exact"/>
        <w:rPr>
          <w:rFonts w:ascii="Arial" w:cs="Arial" w:eastAsia="Arial" w:hAnsi="Arial"/>
          <w:sz w:val="19"/>
          <w:szCs w:val="19"/>
          <w:color w:val="auto"/>
        </w:rPr>
      </w:pPr>
    </w:p>
    <w:p>
      <w:pPr>
        <w:ind w:right="260" w:firstLine="8"/>
        <w:spacing w:after="0" w:line="250" w:lineRule="auto"/>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terms of the Agreement and these General Terms and Conditions which expressly or by their nature are intended to survive the termination shall continue in full force and effect notwithstanding the termination of such other provisions which are not intended to survive.</w:t>
      </w:r>
    </w:p>
    <w:p>
      <w:pPr>
        <w:spacing w:after="0" w:line="186" w:lineRule="exact"/>
        <w:rPr>
          <w:rFonts w:ascii="Arial" w:cs="Arial" w:eastAsia="Arial" w:hAnsi="Arial"/>
          <w:sz w:val="20"/>
          <w:szCs w:val="20"/>
          <w:color w:val="auto"/>
        </w:rPr>
      </w:pPr>
    </w:p>
    <w:p>
      <w:pPr>
        <w:ind w:right="60" w:firstLine="8"/>
        <w:spacing w:after="0" w:line="246" w:lineRule="auto"/>
        <w:tabs>
          <w:tab w:leader="none" w:pos="28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the Agreement and these General Terms and Conditions is held invalid or unenforceable by any court of competent jurisdiction, the other provisions of the Agreement and these General Terms and Conditions will remain in full force and effect. Any provision of the Agreement and these General Terms and Conditions held invalid or unenforceable only in part or degree will remain in full force and effect to the extent not held invalid or unenforceable.</w:t>
      </w:r>
    </w:p>
    <w:p>
      <w:pPr>
        <w:spacing w:after="0" w:line="191" w:lineRule="exact"/>
        <w:rPr>
          <w:rFonts w:ascii="Arial" w:cs="Arial" w:eastAsia="Arial" w:hAnsi="Arial"/>
          <w:sz w:val="20"/>
          <w:szCs w:val="20"/>
          <w:color w:val="auto"/>
        </w:rPr>
      </w:pPr>
    </w:p>
    <w:p>
      <w:pPr>
        <w:ind w:firstLine="8"/>
        <w:spacing w:after="0" w:line="276" w:lineRule="auto"/>
        <w:tabs>
          <w:tab w:leader="none" w:pos="23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Counterparts and Electronic Signatures</w:t>
      </w:r>
      <w:r>
        <w:rPr>
          <w:rFonts w:ascii="Arial" w:cs="Arial" w:eastAsia="Arial" w:hAnsi="Arial"/>
          <w:sz w:val="18"/>
          <w:szCs w:val="18"/>
          <w:color w:val="auto"/>
        </w:rPr>
        <w:t>. Agreements between the Parties may be executed in one or more counterparts, each of which will be deemed to be an original copy and all of which, when taken together, will be deemed to constitute one and the same agreement or document, and will be effective when counterparts have been signed by each of the Parties and delivered to the other Parties. A manual signature on the signature page to an agreement, an image of which shall have been transmitted electronically, will constitute an original signature for all purposes. The delivery of copies of the signature page an agreement or other document to be delivered pursuant to an agreement, including executed signature pages where required, by electronic transmission will constitute effective delivery for all purposes.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III-3</w:t>
      </w:r>
    </w:p>
    <w:p>
      <w:pPr>
        <w:sectPr>
          <w:pgSz w:w="11900" w:h="16838" w:orient="portrait"/>
          <w:cols w:equalWidth="0" w:num="1">
            <w:col w:w="11420"/>
          </w:cols>
          <w:pgMar w:left="240" w:top="12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3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2016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2016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upperLetter"/>
      <w:start w:val="1"/>
    </w:lvl>
  </w:abstractNum>
  <w:abstractNum w:abstractNumId="8">
    <w:nsid w:val="2D1D5AE9"/>
    <w:multiLevelType w:val="hybridMultilevel"/>
    <w:lvl w:ilvl="0">
      <w:lvlJc w:val="left"/>
      <w:lvlText w:val="(%1)"/>
      <w:numFmt w:val="upperLetter"/>
      <w:start w:val="6"/>
    </w:lvl>
  </w:abstractNum>
  <w:abstractNum w:abstractNumId="9">
    <w:nsid w:val="6763845E"/>
    <w:multiLevelType w:val="hybridMultilevel"/>
    <w:lvl w:ilvl="0">
      <w:lvlJc w:val="left"/>
      <w:lvlText w:val="%1."/>
      <w:numFmt w:val="decimal"/>
      <w:start w:val="3"/>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2"/>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6"/>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6"/>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2019-12-29T10:42:01Z</dcterms:created>
  <dcterms:modified xsi:type="dcterms:W3CDTF">2019-12-29T10:42:01Z</dcterms:modified>
</cp:coreProperties>
</file>