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xu-20250630.htm"/>
      <w:bookmarkStart w:id="1" w:name="kslxu20250630"/>
      <w:bookmarkEnd w:id="0"/>
      <w:bookmarkEnd w:id="1"/>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both"/>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40" w:after="283"/>
        <w:jc w:val="center"/>
        <w:rPr>
          <w:rFonts w:ascii="Times New Roman" w:hAnsi="Times New Roman"/>
          <w:sz w:val="20"/>
        </w:rPr>
      </w:pPr>
      <w:r>
        <w:rPr>
          <w:rFonts w:ascii="Times New Roman" w:hAnsi="Times New Roman"/>
          <w:b/>
          <w:color w:val="000000"/>
          <w:sz w:val="20"/>
        </w:rPr>
        <w:t>For the quarterly period ended June 30, 2025</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both"/>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1-7677</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LSB Industries,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73-1015226</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6178" w:type="dxa"/>
        <w:jc w:val="left"/>
        <w:tblInd w:w="0" w:type="dxa"/>
        <w:tblLayout w:type="fixed"/>
        <w:tblCellMar>
          <w:top w:w="28" w:type="dxa"/>
          <w:left w:w="28" w:type="dxa"/>
          <w:bottom w:w="28" w:type="dxa"/>
          <w:right w:w="28" w:type="dxa"/>
        </w:tblCellMar>
      </w:tblPr>
      <w:tblGrid>
        <w:gridCol w:w="5101"/>
        <w:gridCol w:w="146"/>
        <w:gridCol w:w="93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3503 NW 63</w:t>
            </w:r>
            <w:r>
              <w:rPr>
                <w:rFonts w:ascii="Times New Roman" w:hAnsi="Times New Roman"/>
                <w:b/>
                <w:color w:val="000000"/>
                <w:sz w:val="13"/>
              </w:rPr>
              <w:t>rd</w:t>
            </w:r>
            <w:r>
              <w:rPr>
                <w:rFonts w:ascii="Times New Roman" w:hAnsi="Times New Roman"/>
                <w:color w:val="000000"/>
                <w:sz w:val="20"/>
              </w:rPr>
              <w:t xml:space="preserve"> </w:t>
            </w:r>
            <w:r>
              <w:rPr>
                <w:rFonts w:ascii="Times New Roman" w:hAnsi="Times New Roman"/>
                <w:b/>
                <w:color w:val="000000"/>
                <w:sz w:val="20"/>
              </w:rPr>
              <w:t>Street, Suite 500, Oklahoma City, Oklahoma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73116</w:t>
            </w:r>
          </w:p>
        </w:tc>
      </w:tr>
      <w:tr>
        <w:trPr/>
        <w:tc>
          <w:tcPr>
            <w:tcW w:w="5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(405) 235-4546</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30" w:type="dxa"/>
        <w:jc w:val="left"/>
        <w:tblInd w:w="0" w:type="dxa"/>
        <w:tblLayout w:type="fixed"/>
        <w:tblCellMar>
          <w:top w:w="28" w:type="dxa"/>
          <w:left w:w="28" w:type="dxa"/>
          <w:bottom w:w="28" w:type="dxa"/>
          <w:right w:w="28" w:type="dxa"/>
        </w:tblCellMar>
      </w:tblPr>
      <w:tblGrid>
        <w:gridCol w:w="2866"/>
        <w:gridCol w:w="146"/>
        <w:gridCol w:w="1456"/>
        <w:gridCol w:w="146"/>
        <w:gridCol w:w="331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Common Stock, Par Value $.10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LXU</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New York Stock Exchange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both"/>
        <w:rPr/>
      </w:pPr>
      <w:r>
        <w:rPr/>
        <w:t> </w:t>
      </w:r>
    </w:p>
    <w:tbl>
      <w:tblPr>
        <w:tblW w:w="4942" w:type="dxa"/>
        <w:jc w:val="left"/>
        <w:tblInd w:w="0" w:type="dxa"/>
        <w:tblLayout w:type="fixed"/>
        <w:tblCellMar>
          <w:top w:w="28" w:type="dxa"/>
          <w:left w:w="28" w:type="dxa"/>
          <w:bottom w:w="28" w:type="dxa"/>
          <w:right w:w="28" w:type="dxa"/>
        </w:tblCellMar>
      </w:tblPr>
      <w:tblGrid>
        <w:gridCol w:w="1666"/>
        <w:gridCol w:w="146"/>
        <w:gridCol w:w="43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number of shares outstanding of the registrant's common stock was 71,936,047 shares as of July 25, 2025.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 10-Q OF 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TABLE OF CONTENTS</w:t>
      </w:r>
    </w:p>
    <w:tbl>
      <w:tblPr>
        <w:tblW w:w="8920" w:type="dxa"/>
        <w:jc w:val="left"/>
        <w:tblInd w:w="0" w:type="dxa"/>
        <w:tblLayout w:type="fixed"/>
        <w:tblCellMar>
          <w:top w:w="28" w:type="dxa"/>
          <w:left w:w="28" w:type="dxa"/>
          <w:bottom w:w="28" w:type="dxa"/>
          <w:right w:w="28" w:type="dxa"/>
        </w:tblCellMar>
      </w:tblPr>
      <w:tblGrid>
        <w:gridCol w:w="811"/>
        <w:gridCol w:w="146"/>
        <w:gridCol w:w="7336"/>
        <w:gridCol w:w="146"/>
        <w:gridCol w:w="48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 – Financial Information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II – Other Information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5_or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6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bl>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FINANCIAL INFORMATION</w:t>
      </w:r>
    </w:p>
    <w:p>
      <w:pPr>
        <w:pStyle w:val="TextBody"/>
        <w:bidi w:val="0"/>
        <w:jc w:val="both"/>
        <w:rPr>
          <w:rFonts w:ascii="Times New Roman" w:hAnsi="Times New Roman"/>
          <w:b/>
          <w:color w:val="000000"/>
          <w:sz w:val="20"/>
          <w:u w:val="single"/>
        </w:rPr>
      </w:pPr>
      <w:bookmarkStart w:id="3" w:name="item_1_financial_statements"/>
      <w:bookmarkEnd w:id="3"/>
      <w:r>
        <w:rPr>
          <w:rFonts w:ascii="Times New Roman" w:hAnsi="Times New Roman"/>
          <w:b/>
          <w:color w:val="000000"/>
          <w:sz w:val="20"/>
          <w:u w:val="single"/>
        </w:rPr>
        <w:t>Item 1. Financial Statements</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(Information at June 30, 2025 is unaudited)</w:t>
      </w:r>
    </w:p>
    <w:tbl>
      <w:tblPr>
        <w:tblW w:w="10205" w:type="dxa"/>
        <w:jc w:val="left"/>
        <w:tblInd w:w="0" w:type="dxa"/>
        <w:tblLayout w:type="fixed"/>
        <w:tblCellMar>
          <w:top w:w="28" w:type="dxa"/>
          <w:left w:w="28" w:type="dxa"/>
          <w:bottom w:w="28" w:type="dxa"/>
          <w:right w:w="28" w:type="dxa"/>
        </w:tblCellMar>
      </w:tblPr>
      <w:tblGrid>
        <w:gridCol w:w="6422"/>
        <w:gridCol w:w="146"/>
        <w:gridCol w:w="211"/>
        <w:gridCol w:w="931"/>
        <w:gridCol w:w="166"/>
        <w:gridCol w:w="146"/>
        <w:gridCol w:w="271"/>
        <w:gridCol w:w="1199"/>
        <w:gridCol w:w="713"/>
      </w:tblGrid>
      <w:tr>
        <w:trPr/>
        <w:tc>
          <w:tcPr>
            <w:tcW w:w="6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20,230</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163,971</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39,083</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38,760</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22,382</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24,901</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Supplies, prepaid items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14,345</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Precious metals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11,596</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31,995</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supplies, prepaid items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61,852</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309,714</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847,570</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28,727</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and 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29,904</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1,128,083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1,187,188</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83,498</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12,146</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30,874</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9,116</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135,634</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476,163</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21,387</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61,908</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$.10 par value per share; 150 million shares authorized, </w:t>
              <w:br/>
              <w:t>   91.2 million 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9,117</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in excess of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504,578</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207,662</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721,357</w:t>
            </w:r>
          </w:p>
        </w:tc>
        <w:tc>
          <w:tcPr>
            <w:tcW w:w="7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treasury stock,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Common stock, 19.2 million shares (19.5 million shares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229,717</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491,640</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1,128,083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1,187,188</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8332" w:type="dxa"/>
        <w:jc w:val="left"/>
        <w:tblInd w:w="0" w:type="dxa"/>
        <w:tblLayout w:type="fixed"/>
        <w:tblCellMar>
          <w:top w:w="28" w:type="dxa"/>
          <w:left w:w="28" w:type="dxa"/>
          <w:bottom w:w="28" w:type="dxa"/>
          <w:right w:w="28" w:type="dxa"/>
        </w:tblCellMar>
      </w:tblPr>
      <w:tblGrid>
        <w:gridCol w:w="3661"/>
        <w:gridCol w:w="146"/>
        <w:gridCol w:w="1046"/>
        <w:gridCol w:w="172"/>
        <w:gridCol w:w="1046"/>
        <w:gridCol w:w="146"/>
        <w:gridCol w:w="955"/>
        <w:gridCol w:w="157"/>
        <w:gridCol w:w="1003"/>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25"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$151,296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$294,728</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$278,277</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257,171</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228,584</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49,693</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9,844</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21,841</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25,663</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15,950</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18,114</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17,031</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$15,178</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6" w:name="condensed_consolidated_statement_stockho"/>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89"/>
        <w:gridCol w:w="146"/>
        <w:gridCol w:w="149"/>
        <w:gridCol w:w="617"/>
        <w:gridCol w:w="146"/>
        <w:gridCol w:w="146"/>
        <w:gridCol w:w="146"/>
        <w:gridCol w:w="662"/>
        <w:gridCol w:w="166"/>
        <w:gridCol w:w="146"/>
        <w:gridCol w:w="212"/>
        <w:gridCol w:w="554"/>
        <w:gridCol w:w="146"/>
        <w:gridCol w:w="146"/>
        <w:gridCol w:w="196"/>
        <w:gridCol w:w="691"/>
        <w:gridCol w:w="166"/>
        <w:gridCol w:w="146"/>
        <w:gridCol w:w="257"/>
        <w:gridCol w:w="907"/>
        <w:gridCol w:w="166"/>
        <w:gridCol w:w="146"/>
        <w:gridCol w:w="196"/>
        <w:gridCol w:w="751"/>
        <w:gridCol w:w="166"/>
        <w:gridCol w:w="146"/>
        <w:gridCol w:w="196"/>
        <w:gridCol w:w="691"/>
        <w:gridCol w:w="213"/>
      </w:tblGrid>
      <w:tr>
        <w:trPr/>
        <w:tc>
          <w:tcPr>
            <w:tcW w:w="1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br/>
              <w:t xml:space="preserve">Common </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 xml:space="preserve">Stock </w:t>
              <w:br/>
              <w:t xml:space="preserve">Par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Capital in </w:t>
              <w:br/>
              <w:t>Excess of</w:t>
              <w:br/>
              <w:t xml:space="preserve">Par </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b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7"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491,640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upon vesting </w:t>
              <w:br/>
              <w:t>  of 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501,967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490,563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upon vesting </w:t>
              <w:br/>
              <w:t>  of 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503,496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(225,841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495,800</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518,331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upon vesting </w:t>
              <w:br/>
              <w:t>  of 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518,185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9,555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(6,734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issued restricted stock units</w:t>
              <w:br/>
              <w:t>  and ESPP participants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upon vesting </w:t>
              <w:br/>
              <w:t>  of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501,422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242,193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(229,939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522,793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894" w:type="dxa"/>
        <w:jc w:val="left"/>
        <w:tblInd w:w="0" w:type="dxa"/>
        <w:tblLayout w:type="fixed"/>
        <w:tblCellMar>
          <w:top w:w="28" w:type="dxa"/>
          <w:left w:w="28" w:type="dxa"/>
          <w:bottom w:w="28" w:type="dxa"/>
          <w:right w:w="28" w:type="dxa"/>
        </w:tblCellMar>
      </w:tblPr>
      <w:tblGrid>
        <w:gridCol w:w="6721"/>
        <w:gridCol w:w="146"/>
        <w:gridCol w:w="211"/>
        <w:gridCol w:w="841"/>
        <w:gridCol w:w="166"/>
        <w:gridCol w:w="146"/>
        <w:gridCol w:w="211"/>
        <w:gridCol w:w="841"/>
        <w:gridCol w:w="611"/>
      </w:tblGrid>
      <w:tr>
        <w:trPr/>
        <w:tc>
          <w:tcPr>
            <w:tcW w:w="6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Write-downs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provided (used) by 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Supplies, prepaid items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Expenditures for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236,493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168,786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6.25% Senior Secured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other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short-term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treasury stock,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paid on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debt-related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(118,973</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101,032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216,334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40" w:after="283"/>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 Summary of Significant Accounting Policies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All references to “LSB Industries,” “LSB,” the “Company,” “we,” “us,” and “our” refer to LSB Industries, Inc. and its subsidiaries on a consolidated basis, except where the context makes clear that the reference is only to LSB Industries, Inc. itself and not its subsidiaries. The accompanying unaudited interim financial statements and notes of LSB have been prepared pursuant to the rules and regulations of the Securities and Exchange Commission (the “SEC”). Pursuant to such rules and regulations, certain disclosures normally included in financial statements prepared in accordance with United States generally accepted accounting principles (“U.S. GAAP”) have been omitted. The accompanying unaudited condensed consolidated interim financial statements and notes should be read in conjunction with the financial statements and notes included in the Company’s Annual Report on Form 10-K for the year ended December 31, 2024 (our “2024 Form 10-K”), filed with the SEC on February 27, 2025. The accompanying unaudited interim financial statements in this report reflect all adjustments that are, in the opinion of management, necessary for a fair statement of the Company’s results of operations and cash flows for the three and six months ended June 30, 2025 and 2024 and the Company’s financial position as of June 30, 2025. </w:t>
      </w:r>
    </w:p>
    <w:p>
      <w:pPr>
        <w:pStyle w:val="TextBody"/>
        <w:bidi w:val="0"/>
        <w:spacing w:before="100" w:after="283"/>
        <w:jc w:val="left"/>
        <w:rPr>
          <w:rFonts w:ascii="Times New Roman" w:hAnsi="Times New Roman"/>
          <w:sz w:val="20"/>
        </w:rPr>
      </w:pPr>
      <w:r>
        <w:rPr>
          <w:rFonts w:ascii="Times New Roman" w:hAnsi="Times New Roman"/>
          <w:b/>
          <w:color w:val="000000"/>
          <w:sz w:val="20"/>
        </w:rPr>
        <w:t>Basis of Consolidation</w:t>
      </w:r>
      <w:r>
        <w:rPr>
          <w:rFonts w:ascii="Times New Roman" w:hAnsi="Times New Roman"/>
          <w:color w:val="000000"/>
          <w:sz w:val="20"/>
        </w:rPr>
        <w:t xml:space="preserve"> – LSB Industries, Inc. and its subsidiaries are consolidated in the accompanying unaudited condensed consolidated interim financial statements. All intercompany accounts and transactions have been eliminated. Certain prior period amounts reported in our unaudited condensed consolidated interim financial statements and notes thereto have been reclassified to conform to current period presentation.</w:t>
      </w:r>
    </w:p>
    <w:p>
      <w:pPr>
        <w:pStyle w:val="TextBody"/>
        <w:bidi w:val="0"/>
        <w:spacing w:before="100" w:after="283"/>
        <w:jc w:val="left"/>
        <w:rPr>
          <w:rFonts w:ascii="Times New Roman" w:hAnsi="Times New Roman"/>
          <w:sz w:val="20"/>
        </w:rPr>
      </w:pPr>
      <w:r>
        <w:rPr>
          <w:rFonts w:ascii="Times New Roman" w:hAnsi="Times New Roman"/>
          <w:b/>
          <w:color w:val="000000"/>
          <w:sz w:val="20"/>
        </w:rPr>
        <w:t>Nature of Business –</w:t>
      </w:r>
      <w:r>
        <w:rPr>
          <w:rFonts w:ascii="Times New Roman" w:hAnsi="Times New Roman"/>
          <w:color w:val="000000"/>
          <w:sz w:val="20"/>
        </w:rPr>
        <w:t xml:space="preserve"> We are engaged in the manufacture and sale of chemical products. The chemical products we primarily manufacture, market and sell are ammonia, fertilizer grade ammonium nitrate (“HDAN”) and urea ammonia nitrate (“UAN”) for agricultural applications, high purity and commercial grade ammonia, high purity ammonium nitrate, sulfuric acids, concentrated, blended and regular nitric acid, mixed nitrating acids, carbon dioxide, and industrial grade ammonium nitrate (“LDAN”) and ammonium nitrate (“AN”) solutions for industrial applications. We manufacture and distribute products in four facilities; three of which we own and are located in El Dorado, Arkansas (the “El Dorado Facility”); Cherokee, Alabama (the “Cherokee Facility”); and Pryor, Oklahoma (the “Pryor Facility”); and one of which we operate on behalf of Covestro LLC in Baytown, Texas.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customers include farmers, ranchers, fertilizer dealers and distributors primarily in the ranch land and grain production markets in the United States; industrial users of acids throughout the United States and parts of Canada; and explosives manufacturers in United States and other parts of North America.</w:t>
      </w:r>
    </w:p>
    <w:p>
      <w:pPr>
        <w:pStyle w:val="TextBody"/>
        <w:bidi w:val="0"/>
        <w:spacing w:before="10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pStyle w:val="TextBody"/>
        <w:bidi w:val="0"/>
        <w:spacing w:before="10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 The preparation of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bidi w:val="0"/>
        <w:spacing w:before="100" w:after="120"/>
        <w:jc w:val="left"/>
        <w:rPr>
          <w:rFonts w:ascii="Times New Roman" w:hAnsi="Times New Roman"/>
          <w:sz w:val="20"/>
        </w:rPr>
      </w:pPr>
      <w:r>
        <w:rPr>
          <w:rFonts w:ascii="Times New Roman" w:hAnsi="Times New Roman"/>
          <w:b/>
          <w:color w:val="000000"/>
          <w:sz w:val="20"/>
        </w:rPr>
        <w:t>Cash and Cash Equivalents –</w:t>
      </w:r>
      <w:r>
        <w:rPr>
          <w:rFonts w:ascii="Times New Roman" w:hAnsi="Times New Roman"/>
          <w:color w:val="000000"/>
          <w:sz w:val="20"/>
        </w:rPr>
        <w:t xml:space="preserve"> Investments, which consist of highly liquid investments with original maturities of three months or less, are considered cash equivalents.</w:t>
      </w:r>
    </w:p>
    <w:p>
      <w:pPr>
        <w:pStyle w:val="TextBody"/>
        <w:bidi w:val="0"/>
        <w:jc w:val="left"/>
        <w:rPr>
          <w:rFonts w:ascii="Times New Roman" w:hAnsi="Times New Roman"/>
          <w:sz w:val="20"/>
        </w:rPr>
      </w:pPr>
      <w:r>
        <w:rPr>
          <w:rFonts w:ascii="Times New Roman" w:hAnsi="Times New Roman"/>
          <w:b/>
          <w:color w:val="000000"/>
          <w:sz w:val="20"/>
        </w:rPr>
        <w:t xml:space="preserve">Short-Term Investments </w:t>
      </w:r>
      <w:r>
        <w:rPr>
          <w:rFonts w:ascii="Times New Roman" w:hAnsi="Times New Roman"/>
          <w:color w:val="000000"/>
          <w:sz w:val="20"/>
        </w:rPr>
        <w:t xml:space="preserve">– Investments, which consist of U.S. treasury securities with remaining maturity at the time of purchase greater than three months but less than 12 months, are considered short-term investments and are classified as Level 1 under the fair value hierarchy. These investments are classified as held to maturity, consistent with our intent to hold these investments to maturity. U.S. treasury bills with remaining maturity at the time of purchase of three months or less are included in cash and cash equivalents. Due to the nature of these investments as U.S. treasury securities, no impairment is anticipated. See “Note 6. Financial Instruments” for more information regarding our short-term investments. </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Accounts Receivable </w:t>
      </w:r>
      <w:r>
        <w:rPr>
          <w:rFonts w:ascii="Times New Roman" w:hAnsi="Times New Roman"/>
          <w:color w:val="000000"/>
          <w:sz w:val="20"/>
        </w:rPr>
        <w:t>– Substantially all of our accounts receivable consists of trade receivables from customers. We have recognized an appropriate allowance for estimated uncollectible accounts to reflect any estimate of expected credit losses. Our estimate is based on historical experience and periodic assessment, particularly on accounts that are past due (based upon the terms of the sale). Our periodic assessment is based on our best estimate of amounts that are not recoverable, which includes a present collectability review and forward-looking assessment, where applicable. We write off accounts receivable when we deem them uncollectible and record recoveries of accounts receivable previously written off when received.</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Impairment of Long-Lived Assets </w:t>
      </w:r>
      <w:r>
        <w:rPr>
          <w:rFonts w:ascii="Times New Roman" w:hAnsi="Times New Roman"/>
          <w:color w:val="000000"/>
          <w:sz w:val="20"/>
        </w:rPr>
        <w:t xml:space="preserve">– Long-lived assets are reviewed for impairment whenever events or changes in circumstances indicate that the carrying amount of an asset (asset group) may not be recoverable. An asset’s fair value must be determined when the carrying amount of an asset (asset group) exceeds the estimated undiscounted future cash flows expected to result from the use of the asset (asset group) and/or its eventual disposition. If assets to be held and used are considered to be impaired, the impairment to be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recognized is the amount by which the carrying amounts of the assets exceed the fair values of the assets as measured by the present value of future net cash flows expected to be generated by the assets or their appraised value. In general, our asset groups are reviewed for impairment on a facility-by-facility basis (such as the Cherokee, El Dorado or Pryor Facility) unless it is determined that the asset being evaluated will generate cash flows that are independent from the rest of the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the event or change in circumstance relates to the probable sale of an asset (or group of assets), the specific asset (or group of assets) is reviewed for 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2025, we recorded asset write-downs in the amount of $2.5 million and $2.6 million, respectively. For the three and six months ended June 30, 2024, we recorded asset write-downs in the amount of $1.5 million and $2.9 million, respectively. These asset write-downs are included in “Other expense, net” on our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Short-Term Financing</w:t>
      </w:r>
      <w:r>
        <w:rPr>
          <w:rFonts w:ascii="Times New Roman" w:hAnsi="Times New Roman"/>
          <w:color w:val="000000"/>
          <w:sz w:val="20"/>
        </w:rPr>
        <w:t xml:space="preserve"> – Our short-term financing represents the short-term note related to financing of our insurance premium, which is renewed annually.</w:t>
      </w:r>
    </w:p>
    <w:p>
      <w:pPr>
        <w:pStyle w:val="TextBody"/>
        <w:bidi w:val="0"/>
        <w:spacing w:before="120" w:after="283"/>
        <w:jc w:val="left"/>
        <w:rPr>
          <w:rFonts w:ascii="Times New Roman" w:hAnsi="Times New Roman"/>
          <w:sz w:val="20"/>
        </w:rPr>
      </w:pPr>
      <w:r>
        <w:rPr>
          <w:rFonts w:ascii="Times New Roman" w:hAnsi="Times New Roman"/>
          <w:b/>
          <w:color w:val="000000"/>
          <w:sz w:val="20"/>
        </w:rPr>
        <w:t>Contingencies</w:t>
      </w:r>
      <w:r>
        <w:rPr>
          <w:rFonts w:ascii="Times New Roman" w:hAnsi="Times New Roman"/>
          <w:color w:val="000000"/>
          <w:sz w:val="20"/>
        </w:rPr>
        <w:t xml:space="preserve"> – Certain conditions may exist which may result in a loss, but which will only be resolved when future events occur. We assess such contingent liabilities, and such assessment inherently involves an exercise of judgment. If the assessment of a contingency indicates that it is probable that a loss has been incurred, we accrue for such contingent loss when such loss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Derivatives, Hedges and Financial Instruments </w:t>
      </w:r>
      <w:r>
        <w:rPr>
          <w:rFonts w:ascii="Times New Roman" w:hAnsi="Times New Roman"/>
          <w:color w:val="000000"/>
          <w:sz w:val="20"/>
        </w:rPr>
        <w:t>– In order to mitigate a portion of the commodity price risk associated with natural gas, which we utilize in our manufacturing process, we periodically enter into natural gas forward contracts or volume purchase commitments. Such contracts are required to be accounted for as derivatives under applicable accounting guidance unless they are eligible for and we elect the normal purchase normal sale (“NPNS”) exception. We are eligible for the NPNS exception when these contracts provide for the purchase of natural gas that will be delivered in quantities expected to be used over a reasonable period of time in the normal course of business and are documented as such. In the event that we have natural gas derivatives that we do not elect or do not qualify for the NPNS exception, we would account for such contracts as derivatives by recognizing them in the balance sheet at fair value with changes in fair value recognized in the statement of operations. Such derivatives are not designated as hedges for accounting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Assets and liabilities measured at fair value are classified using the following hierarchy, which is based upon the transparency of inputs to the valuation as of the measurement date: </w:t>
      </w:r>
    </w:p>
    <w:p>
      <w:pPr>
        <w:pStyle w:val="TextBody"/>
        <w:bidi w:val="0"/>
        <w:spacing w:before="120" w:after="283"/>
        <w:jc w:val="left"/>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 xml:space="preserve"> - Valuations of contracts classified as Level 1 are based on quoted prices in active markets for identical contracts. </w:t>
      </w:r>
    </w:p>
    <w:p>
      <w:pPr>
        <w:pStyle w:val="TextBody"/>
        <w:bidi w:val="0"/>
        <w:spacing w:before="120" w:after="283"/>
        <w:jc w:val="left"/>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 - Valuations of contracts classified as Level 2 are based on quoted prices for similar contracts and valuation inputs other than quoted prices that are observable for these contracts. </w:t>
      </w:r>
    </w:p>
    <w:p>
      <w:pPr>
        <w:pStyle w:val="TextBody"/>
        <w:bidi w:val="0"/>
        <w:spacing w:before="120" w:after="283"/>
        <w:jc w:val="left"/>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 xml:space="preserve"> - Valuations of assets and liabilities classified as Level 3 are based on prices or valuation techniques that require inputs that are both unobservable and significant to the overall fair value measurement.</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Leases </w:t>
      </w:r>
      <w:r>
        <w:rPr>
          <w:rFonts w:ascii="Times New Roman" w:hAnsi="Times New Roman"/>
          <w:color w:val="000000"/>
          <w:sz w:val="20"/>
        </w:rPr>
        <w:t>– We are the lessee in most of the lease arrangements we enter into. We determine if an arrangement is a lease at inception or modification of a contract and classify each lease as either an operating or finance lease based on the terms of the contract. We reassess lease classification subsequent to commencement upon a change to the expected lease term or a modification to the contract. A contract contains a lease if the contract conveys the right to control the use of the identified property or equipment, explicitly or implicitly, for a period of time in exchange for consideration. Control of an underlying asset is conveyed if we obtain the rights to direct the use of and obtain substantially all of the economic benefit from the use of the underlying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operating lease asset represents our right to use the underlying asset as a lessee for the lease term and an operating lease liability represents our obligation to make lease payments arising from the lease. Currently, most of our leases are classified as operating leases and primarily relate to railcars, other equipment and office space. Our leases that are classified as finance leases primarily relate to railcars. Variable payments are excluded from the present value of lease payments and are recognized in the period in which the payment is made. Our current leases do not contain residual value guarantees. Most of our leases do not include options to extend or terminate the lease prior to the end of the term. Leases with a term of 12 months or less are not recognized in the balance sheet.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a lessee, we use our incremental borrowing rate based on the lease term and other information available at the commencement date in determining the present value of lease payments. Lease expense is recognized on a straight-line basis over the applicable lease term.</w:t>
      </w:r>
    </w:p>
    <w:p>
      <w:pPr>
        <w:pStyle w:val="TextBody"/>
        <w:bidi w:val="0"/>
        <w:jc w:val="left"/>
        <w:rPr>
          <w:rFonts w:ascii="Times New Roman" w:hAnsi="Times New Roman"/>
          <w:color w:val="000000"/>
          <w:sz w:val="20"/>
        </w:rPr>
      </w:pPr>
      <w:r>
        <w:rPr>
          <w:rFonts w:ascii="Times New Roman" w:hAnsi="Times New Roman"/>
          <w:color w:val="000000"/>
          <w:sz w:val="20"/>
        </w:rPr>
        <w:t>From time to time when we have excess freight capacity, we may sublease a portion of our railcars fleet on a short-term basis to other parties. The income from these subleases is recorded as a component of “Other expense, net” in our condensed consolidated statements of operations. For the three and six months ended June 30, 2025, sublease income was $0.1 million and $0.2 million, respectively. For the three and six months ended June 30, 2024, sublease income was $0.1 million and $0.8 million,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June 30, 2025, we had an executed finance lease for railcars with lease terms greater than one year with aggregate lease payments of approximately $1.6 million which has not yet commenced.</w:t>
      </w:r>
    </w:p>
    <w:p>
      <w:pPr>
        <w:pStyle w:val="TextBody"/>
        <w:bidi w:val="0"/>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ASU 2023-06 - </w:t>
      </w:r>
      <w:r>
        <w:rPr>
          <w:rFonts w:ascii="Times New Roman" w:hAnsi="Times New Roman"/>
          <w:color w:val="000000"/>
          <w:sz w:val="20"/>
        </w:rPr>
        <w:t xml:space="preserve">In October 2023, the Financial Accounting Standards Board (“FASB”) issued Accounting Standards Update (“ASU”) 2023-06, </w:t>
      </w:r>
      <w:r>
        <w:rPr>
          <w:rFonts w:ascii="Times New Roman" w:hAnsi="Times New Roman"/>
          <w:i/>
          <w:color w:val="000000"/>
          <w:sz w:val="20"/>
        </w:rPr>
        <w:t>Disclosure Improvements—Codification Amendments in Response to the SEC’s Disclosure Update and Simplification Initiative</w:t>
      </w:r>
      <w:r>
        <w:rPr>
          <w:rFonts w:ascii="Times New Roman" w:hAnsi="Times New Roman"/>
          <w:color w:val="000000"/>
          <w:sz w:val="20"/>
        </w:rPr>
        <w:t>, which modifies the disclosure or presentation requirements of a variety of topics in the codification. Certain of the amendments represent clarifications to or technical corrections of the current requirements. For all entities, if by June 30, 2027, the SEC has not removed the applicable requirement from Regulation S-X or Regulation S-K, the pending content of the related amendment will be removed from the codification and will not become effective for any entity. These amendments should be applied prospectively. We are currently evaluating the timing and the effect of adoption of this ASU on our consolidated financial statements and related disclosures.</w:t>
      </w:r>
    </w:p>
    <w:p>
      <w:pPr>
        <w:pStyle w:val="TextBody"/>
        <w:bidi w:val="0"/>
        <w:spacing w:before="120" w:after="283"/>
        <w:jc w:val="left"/>
        <w:rPr>
          <w:rFonts w:ascii="Times New Roman" w:hAnsi="Times New Roman"/>
          <w:sz w:val="20"/>
        </w:rPr>
      </w:pPr>
      <w:r>
        <w:rPr>
          <w:rFonts w:ascii="Times New Roman" w:hAnsi="Times New Roman"/>
          <w:b/>
          <w:color w:val="000000"/>
          <w:sz w:val="20"/>
        </w:rPr>
        <w:t>ASU 2023-09</w:t>
      </w:r>
      <w:r>
        <w:rPr>
          <w:rFonts w:ascii="Times New Roman" w:hAnsi="Times New Roman"/>
          <w:color w:val="000000"/>
          <w:sz w:val="20"/>
        </w:rPr>
        <w:t xml:space="preserve"> - 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focuses on income tax disclosures around effective tax rates and cash income taxes paid. This ASU will be effective for us on a prospective basis for annual periods beginning after December 15, 2024. We will adopt this ASU prospectively for the period ending December 31, 2025, and it will impact only our disclosures, with no impact to our financial condition and results of operations. We do not expect the impact of this update to be material, as the improvements are enhancements to existing disclosures in the financial statements.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ASU 2024-03 - </w:t>
      </w: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U.S.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While this ASU will impact only our disclosures and not our financial condition and results of operations, we are currently evaluating the timing and effect of adopting this ASU.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U.S. GAAP are established by the FASB in the form of ASUs to the FASB’s Accounting Standards Codification. We considered all ASUs issued and outstanding or that became effective since January 1, 2025 through the date of these financial statements and determined them not to be applicable or materially impact our financial statements other than those ASUs specifically addressed above.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b/>
          <w:color w:val="000000"/>
          <w:sz w:val="20"/>
        </w:rPr>
        <w:t>2. Net (Loss) Income per Common Share</w:t>
      </w:r>
      <w:r>
        <w:rPr>
          <w:rFonts w:ascii="Times New Roman" w:hAnsi="Times New Roman"/>
          <w:color w:val="000000"/>
          <w:sz w:val="20"/>
        </w:rPr>
        <w:t xml:space="preserve"> </w:t>
      </w:r>
    </w:p>
    <w:tbl>
      <w:tblPr>
        <w:tblW w:w="10087" w:type="dxa"/>
        <w:jc w:val="left"/>
        <w:tblInd w:w="0" w:type="dxa"/>
        <w:tblLayout w:type="fixed"/>
        <w:tblCellMar>
          <w:top w:w="28" w:type="dxa"/>
          <w:left w:w="28" w:type="dxa"/>
          <w:bottom w:w="28" w:type="dxa"/>
          <w:right w:w="28" w:type="dxa"/>
        </w:tblCellMar>
      </w:tblPr>
      <w:tblGrid>
        <w:gridCol w:w="4326"/>
        <w:gridCol w:w="146"/>
        <w:gridCol w:w="231"/>
        <w:gridCol w:w="741"/>
        <w:gridCol w:w="160"/>
        <w:gridCol w:w="160"/>
        <w:gridCol w:w="231"/>
        <w:gridCol w:w="741"/>
        <w:gridCol w:w="146"/>
        <w:gridCol w:w="146"/>
        <w:gridCol w:w="211"/>
        <w:gridCol w:w="677"/>
        <w:gridCol w:w="146"/>
        <w:gridCol w:w="146"/>
        <w:gridCol w:w="211"/>
        <w:gridCol w:w="677"/>
        <w:gridCol w:w="991"/>
      </w:tblGrid>
      <w:tr>
        <w:trPr/>
        <w:tc>
          <w:tcPr>
            <w:tcW w:w="4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15,178</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Numerator for basic and diluted net </w:t>
              <w:br/>
              <w:t>  income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15,178</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Denominator for basic net income per common </w:t>
              <w:br/>
              <w:t>    share - adjusted weighted-average</w:t>
              <w:br/>
              <w: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71,910</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72,271</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Unvested restricted stock and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Dilutive potential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Denominator for diluted net income per common </w:t>
              <w:br/>
              <w:t>    share - adjusted weighted-average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72,146</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72,602</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securities were not included in the computation of diluted net (loss) income per common share as their effect would have been antidilutive:</w:t>
      </w:r>
    </w:p>
    <w:tbl>
      <w:tblPr>
        <w:tblW w:w="7373" w:type="dxa"/>
        <w:jc w:val="left"/>
        <w:tblInd w:w="0" w:type="dxa"/>
        <w:tblLayout w:type="fixed"/>
        <w:tblCellMar>
          <w:top w:w="28" w:type="dxa"/>
          <w:left w:w="28" w:type="dxa"/>
          <w:bottom w:w="28" w:type="dxa"/>
          <w:right w:w="28" w:type="dxa"/>
        </w:tblCellMar>
      </w:tblPr>
      <w:tblGrid>
        <w:gridCol w:w="2701"/>
        <w:gridCol w:w="146"/>
        <w:gridCol w:w="1135"/>
        <w:gridCol w:w="178"/>
        <w:gridCol w:w="952"/>
        <w:gridCol w:w="146"/>
        <w:gridCol w:w="1035"/>
        <w:gridCol w:w="162"/>
        <w:gridCol w:w="918"/>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and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1,289,035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1,321,184</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691,255</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1,289,035</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680,947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1,321,184</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704,255</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3. Accrued and Other Liabilities</w:t>
      </w:r>
    </w:p>
    <w:p>
      <w:pPr>
        <w:pStyle w:val="TextBody"/>
        <w:bidi w:val="0"/>
        <w:jc w:val="both"/>
        <w:rPr/>
      </w:pPr>
      <w:r>
        <w:rPr/>
        <w:t> </w:t>
      </w:r>
    </w:p>
    <w:tbl>
      <w:tblPr>
        <w:tblW w:w="7155" w:type="dxa"/>
        <w:jc w:val="left"/>
        <w:tblInd w:w="0" w:type="dxa"/>
        <w:tblLayout w:type="fixed"/>
        <w:tblCellMar>
          <w:top w:w="28" w:type="dxa"/>
          <w:left w:w="28" w:type="dxa"/>
          <w:bottom w:w="28" w:type="dxa"/>
          <w:right w:w="28" w:type="dxa"/>
        </w:tblCellMar>
      </w:tblPr>
      <w:tblGrid>
        <w:gridCol w:w="3901"/>
        <w:gridCol w:w="146"/>
        <w:gridCol w:w="267"/>
        <w:gridCol w:w="858"/>
        <w:gridCol w:w="146"/>
        <w:gridCol w:w="146"/>
        <w:gridCol w:w="357"/>
        <w:gridCol w:w="1143"/>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noncurrent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4. Long-Term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long-term debt consists of the following: </w:t>
      </w:r>
    </w:p>
    <w:p>
      <w:pPr>
        <w:pStyle w:val="TextBody"/>
        <w:bidi w:val="0"/>
        <w:jc w:val="both"/>
        <w:rPr/>
      </w:pPr>
      <w:r>
        <w:rPr/>
        <w:t> </w:t>
      </w:r>
    </w:p>
    <w:tbl>
      <w:tblPr>
        <w:tblW w:w="8710" w:type="dxa"/>
        <w:jc w:val="left"/>
        <w:tblInd w:w="0" w:type="dxa"/>
        <w:tblLayout w:type="fixed"/>
        <w:tblCellMar>
          <w:top w:w="28" w:type="dxa"/>
          <w:left w:w="28" w:type="dxa"/>
          <w:bottom w:w="28" w:type="dxa"/>
          <w:right w:w="28" w:type="dxa"/>
        </w:tblCellMar>
      </w:tblPr>
      <w:tblGrid>
        <w:gridCol w:w="5416"/>
        <w:gridCol w:w="146"/>
        <w:gridCol w:w="239"/>
        <w:gridCol w:w="886"/>
        <w:gridCol w:w="166"/>
        <w:gridCol w:w="146"/>
        <w:gridCol w:w="319"/>
        <w:gridCol w:w="1181"/>
        <w:gridCol w:w="21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Notes due 2028, with an interest rate of 6.25%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Financing due 2025, with an interest rate of 8.75%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Unamortized debt issuance costs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due after one year,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9"/>
        </w:rPr>
      </w:pPr>
      <w:r>
        <w:rPr>
          <w:rFonts w:ascii="Times New Roman" w:hAnsi="Times New Roman"/>
          <w:color w:val="000000"/>
          <w:sz w:val="9"/>
        </w:rPr>
        <w:t>_____________________________</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pPr>
      <w:r>
        <w:rPr>
          <w:rFonts w:ascii="Times New Roman" w:hAnsi="Times New Roman"/>
          <w:color w:val="000000"/>
          <w:sz w:val="16"/>
        </w:rPr>
        <w:t>Debt issuance costs as of June 30, 2025 and December 31, 2024 of approximately $0.6</w:t>
      </w:r>
      <w:r>
        <w:rPr>
          <w:color w:val="000000"/>
        </w:rPr>
        <w:t xml:space="preserve"> </w:t>
      </w:r>
      <w:r>
        <w:rPr>
          <w:rFonts w:ascii="Times New Roman" w:hAnsi="Times New Roman"/>
          <w:color w:val="000000"/>
          <w:sz w:val="16"/>
        </w:rPr>
        <w:t>million and $0.6</w:t>
      </w:r>
      <w:r>
        <w:rPr>
          <w:color w:val="000000"/>
        </w:rPr>
        <w:t xml:space="preserve"> </w:t>
      </w:r>
      <w:r>
        <w:rPr>
          <w:rFonts w:ascii="Times New Roman" w:hAnsi="Times New Roman"/>
          <w:color w:val="000000"/>
          <w:sz w:val="16"/>
        </w:rPr>
        <w:t>million, respectively, relating to our Revolving Credit Facility (defined below) are not included in Unamortized debt issuance costs. Such costs are included in our condensed consolidated balance sheet in “Intangible and other assets, net.”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pPr>
      <w:r>
        <w:rPr>
          <w:rFonts w:ascii="Times New Roman" w:hAnsi="Times New Roman"/>
          <w:color w:val="000000"/>
          <w:sz w:val="20"/>
        </w:rPr>
        <w:t>The revolving credit facility pursuant to a credit agreement, dated December 21, 2023, between us and the lenders identified on the signature pages thereof and JPMorgan Chase Bank, N.A, as administrative agent (the “Revolving Credit Facility”)</w:t>
      </w:r>
      <w:r>
        <w:rPr>
          <w:color w:val="000000"/>
        </w:rPr>
        <w:t xml:space="preserve"> </w:t>
      </w:r>
      <w:r>
        <w:rPr>
          <w:rFonts w:ascii="Times New Roman" w:hAnsi="Times New Roman"/>
          <w:color w:val="000000"/>
          <w:sz w:val="20"/>
        </w:rPr>
        <w:t>provides for borrowings up to an initial maximum of $75</w:t>
      </w:r>
      <w:r>
        <w:rPr>
          <w:color w:val="000000"/>
        </w:rPr>
        <w:t xml:space="preserve"> </w:t>
      </w:r>
      <w:r>
        <w:rPr>
          <w:rFonts w:ascii="Times New Roman" w:hAnsi="Times New Roman"/>
          <w:color w:val="000000"/>
          <w:sz w:val="20"/>
        </w:rPr>
        <w:t>million, with an option to increase the maximum by an additional $25</w:t>
      </w:r>
      <w:r>
        <w:rPr>
          <w:color w:val="000000"/>
        </w:rPr>
        <w:t xml:space="preserve"> </w:t>
      </w:r>
      <w:r>
        <w:rPr>
          <w:rFonts w:ascii="Times New Roman" w:hAnsi="Times New Roman"/>
          <w:color w:val="000000"/>
          <w:sz w:val="20"/>
        </w:rPr>
        <w:t>million (which amount is uncommitted). Availability under the Revolving Credit Facility is subject to a borrowing base and is also subject to an availability block of $7.5</w:t>
      </w:r>
      <w:r>
        <w:rPr>
          <w:color w:val="000000"/>
        </w:rPr>
        <w:t xml:space="preserve"> </w:t>
      </w:r>
      <w:r>
        <w:rPr>
          <w:rFonts w:ascii="Times New Roman" w:hAnsi="Times New Roman"/>
          <w:color w:val="000000"/>
          <w:sz w:val="20"/>
        </w:rPr>
        <w:t>million (which can be removed by us at our sole discretion, subject to the satisfaction of certain conditions) (the “Availability Block”). The Availability Block is applied against the $75</w:t>
      </w:r>
      <w:r>
        <w:rPr>
          <w:color w:val="000000"/>
        </w:rPr>
        <w:t xml:space="preserve"> </w:t>
      </w:r>
      <w:r>
        <w:rPr>
          <w:rFonts w:ascii="Times New Roman" w:hAnsi="Times New Roman"/>
          <w:color w:val="000000"/>
          <w:sz w:val="20"/>
        </w:rPr>
        <w:t>million maximum. The Revolving Credit Facility provides for a sub-facility for the issuance of letters of credit in an aggregate amount not to exceed $10</w:t>
      </w:r>
      <w:r>
        <w:rPr>
          <w:color w:val="000000"/>
        </w:rPr>
        <w:t xml:space="preserve"> </w:t>
      </w:r>
      <w:r>
        <w:rPr>
          <w:rFonts w:ascii="Times New Roman" w:hAnsi="Times New Roman"/>
          <w:color w:val="000000"/>
          <w:sz w:val="20"/>
        </w:rPr>
        <w:t>million, with the outstanding amount of any such letters of credit reducing availability for borrowings. As of June 30, 2025, our Revolving Credit Facility was undrawn and had approximately $46</w:t>
      </w:r>
      <w:r>
        <w:rPr>
          <w:color w:val="000000"/>
        </w:rPr>
        <w:t xml:space="preserve"> </w:t>
      </w:r>
      <w:r>
        <w:rPr>
          <w:rFonts w:ascii="Times New Roman" w:hAnsi="Times New Roman"/>
          <w:color w:val="000000"/>
          <w:sz w:val="20"/>
        </w:rPr>
        <w:t xml:space="preserve">million of availability, based on our eligible collateral.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matures on December 21, 2028, subject to springing maturity to the date that is 90 days prior to the stated maturity date of our existing Senior Secured Notes (defined below), which is currently October 15, 2028 (unless such Senior Secured Notes have been repaid or redeemed in full prior thereto). Borrowings outstanding under the Revolving Credit Facility will bear interest at a rate per annum equal to, at the option of us, either (a) term Secured Overnight Financing Rate (“SOFR”) for a period of one month (with a fallback to the prime rate if such rate is unavailable), plus 0.10%, plus an applicable margin of 1.625% or (b) term SOFR for a period of one, three or six months (at our election), plus 0.10%, plus an applicable margin of 1.625%, in each case with a floor of 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Industries, Inc. and all of its subsidiaries (collectively, the “Borrowers”) are co-borrowers under the Revolving Credit Facility. Obligations under the Revolving Credit Facility are secured by a first priority security interest in substantially all of our current assets, including accounts receivable and inventory, subject to certain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contains a financial covenant, which requires that, solely if we elect to remove the Availability Block, then the Borrowers must maintain a minimum fixed charge coverage ratio of not less than 1.00:1.00. The financial covenant, if triggered, is tested monthly. The financial covenant was not triggered as of June 30,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120" w:after="283"/>
        <w:jc w:val="left"/>
        <w:rPr/>
      </w:pPr>
      <w:r>
        <w:rPr>
          <w:rFonts w:ascii="Times New Roman" w:hAnsi="Times New Roman"/>
          <w:color w:val="000000"/>
          <w:sz w:val="20"/>
        </w:rPr>
        <w:t>We previously issued at par an aggregate total of $700</w:t>
      </w:r>
      <w:r>
        <w:rPr>
          <w:color w:val="000000"/>
        </w:rPr>
        <w:t xml:space="preserve"> </w:t>
      </w:r>
      <w:r>
        <w:rPr>
          <w:rFonts w:ascii="Times New Roman" w:hAnsi="Times New Roman"/>
          <w:color w:val="000000"/>
          <w:sz w:val="20"/>
        </w:rPr>
        <w:t>million principal value of our Senior Secured Notes due 2028</w:t>
      </w:r>
      <w:r>
        <w:rPr>
          <w:color w:val="000000"/>
        </w:rPr>
        <w:t xml:space="preserve"> </w:t>
      </w:r>
      <w:r>
        <w:rPr>
          <w:rFonts w:ascii="Times New Roman" w:hAnsi="Times New Roman"/>
          <w:color w:val="000000"/>
          <w:sz w:val="20"/>
        </w:rPr>
        <w:t>(“Senior Secured Notes”). The Senior Secured Notes, which mature in October 2028, bear interest at a rate of 6.25% paid in arrears on May 15 and October 15 of each year. From time to time, we have engaged in open market repurchases to extinguish a portion of the outstanding balance.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2025, we repurchased $32.4 million in principal amount of our Senior Secured Notes for approximately $32.1 million, which was accounted for as an extinguishment of debt. All such repurchases were made during the three months ended June 30, 2025. While the repurchases were at prices slightly below par value, including our write-off of the associated remaining portion of unamortized debt issuance costs, we recognized a loss on extinguishment of debt of approximately $0.1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2024, we repurchased $63.7 million in principal amount of our Senior Secured Notes for approximately $60.9 million, which was accounted for as an extinguishment of debt. Including our write-off of the associated remaining portion of unamortized debt issuance costs, we recognized a gain on extinguishment of debt of approximately $1.9 million.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2024, we repurchased $96.6 million in principal amount of our Senior Secured Notes for approximately $92.2 million which was accounted for as an extinguishment of debt. Including our write-off of the associated remaining portion of unamortized debt issuance costs, we recognized a gain on extinguishment of debt approximately $3.0 million.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2020, we entered into a $30 million secured financing arrangement with an affiliate of Eldridge Industries, L.L.C. (“Eldridge”). Principal and interest are payable in 60 equal monthly installments with a final balloon payment of approximately $5 million due in August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Finance leases consist primarily of leases on railcars.</w:t>
      </w:r>
    </w:p>
    <w:p>
      <w:pPr>
        <w:pStyle w:val="TextBody"/>
        <w:bidi w:val="0"/>
        <w:jc w:val="both"/>
        <w:rPr>
          <w:rFonts w:ascii="Times New Roman" w:hAnsi="Times New Roman"/>
          <w:b/>
          <w:color w:val="000000"/>
          <w:sz w:val="20"/>
        </w:rPr>
      </w:pPr>
      <w:r>
        <w:rPr>
          <w:rFonts w:ascii="Times New Roman" w:hAnsi="Times New Roman"/>
          <w:b/>
          <w:color w:val="000000"/>
          <w:sz w:val="20"/>
        </w:rPr>
        <w:t>5.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Outstanding Natural Gas Purchase Commitments</w:t>
      </w:r>
      <w:r>
        <w:rPr>
          <w:rFonts w:ascii="Times New Roman" w:hAnsi="Times New Roman"/>
          <w:color w:val="000000"/>
          <w:sz w:val="20"/>
        </w:rPr>
        <w:t xml:space="preserve"> – Certain of our natural gas contracts qualify as normal purchases under U.S. GAAP and thus are not financial instruments for which we mark-to-market. At June 30, 2025, we did not have material volumes of natural gas under fixed price contracts.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Legal Matters - </w:t>
      </w:r>
      <w:r>
        <w:rPr>
          <w:rFonts w:ascii="Times New Roman" w:hAnsi="Times New Roman"/>
          <w:color w:val="000000"/>
          <w:sz w:val="20"/>
        </w:rPr>
        <w:t>Following is a summary of certain legal matters involving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Environmental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claims for damages to persons or property, including natural resources, may result from the environmental, health and safety effects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we have incurred significant capital expenditures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our accrued liabilities for environmental matters totaled approximately $0.8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 Discharge Water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 “EPA”). These permits limit the type and volume of effluents that can be discharged and control the method of such discharge.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2017, the Company filed a Permit Renewal Application for its Non-Hazardous Injection Well Permit at the Pryor Facility. Although the Injection Well Permit expired in 2018, we continue to operate the injection well in accordance with an executed November 2023 Consent Order with the Oklahoma Department of Environmental Quality (“ODEQ”) that allows for the continued use of the injection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well until a wastewater treatment process is designed, built and operational. The Company continues to work with the ODEQ under the terms of the Consent Order. We have identified and selected a wastewater treatment technology using biological processes that can and will treat the nitrogen-containing wastewater streams at our Pryor Facility. We are unable to estimate the costs related to the replacement of the disposal well at this time as we are in the early stages of design for the wastewater treatment process with a wastewater process design engineering firm. We have also commenced preliminary discussions with the ODEQ on permitting the treated wastewater discharges, but have not received any confirmation from the ODEQ on their preliminary acceptance of our treated wastewater stream.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2006, the Company entered into a Consent Administrative Order (“CAO”) that recognizes the presence of nitrate contamination in the shallow groundwater at our El Dorado Facility. The CAO required us to perform semi-annual groundwater monitoring, continue operation of a groundwater recovery system, submit a human health and ecological risk assessment and submit a remedial action plan. The risk assessment was submitted in 2007. In 2015, the Arkansas Department of Environmental Quality (“ADEQ”) stated that the El Dorado Facility was meeting the requirements of the CAO and should continue semi-annual monitoring. A CAO was signed in 2018, which required an Evaluation Report of the data and effectiveness of the groundwater remedy for nitrate contamination. During 2019, the Evaluation Report was submitted to the ADEQ and the ADEQ approved the report. In August 2023, the Company received a Notice of Violation (“NOV”) for wastewater discharges from our El Dorado Facility. We have been in discussions with the ADEQ about our response to the NOV. The ADEQ provided notice of the cash penalty amount related to the NOV, which was accrued as of June 30, 2025 and was not material.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 Other Environmental Matters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periodic review with the KDHE. At this time there is no review scheduled.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final remedy, including the EUC, the finalization of the cost estimates and any required financial assurances remains under discussion with the KDHE.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received a NOV for ten findings identified from an inspection conducted by the EPA Region IV at our Cherokee Facility in late 2022. We provided written responses to each finding in the inspection report issued in connection with such inspection and to the Notice of Potential Violations and held direct communications with the EPA related to the matter. A meeting was held with the EPA in January 2024 to discuss the NOV and our subsequent responsive actions. During the meeting, the EPA proposed two alternatives for the penalties related to the violations. We accepted one of the proposed alternatives, which included a cash fine that has been paid and an investment in a community project, for which we accrued an estimate as of December 31, 2023. </w:t>
      </w:r>
    </w:p>
    <w:p>
      <w:pPr>
        <w:pStyle w:val="TextBody"/>
        <w:bidi w:val="0"/>
        <w:jc w:val="left"/>
        <w:rPr>
          <w:rFonts w:ascii="Times New Roman" w:hAnsi="Times New Roman"/>
          <w:b/>
          <w:color w:val="000000"/>
          <w:sz w:val="20"/>
        </w:rPr>
      </w:pPr>
      <w:r>
        <w:rPr>
          <w:rFonts w:ascii="Times New Roman" w:hAnsi="Times New Roman"/>
          <w:b/>
          <w:color w:val="000000"/>
          <w:sz w:val="20"/>
        </w:rPr>
        <w:t>B. Other Pending, Threatened or Settled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foregoing, we are also involved in various other claims and legal actions (including matters involving gain contingencies) in the ordinary course of our business. While it is possible that the actual claims results could differ from our estimates, after consultation with legal counsel, we believe that any such differences will not have a material effect on our business, financial condition, results of operations or cash flows.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 Financial Instruments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Natural Gas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Periodically, we enter into certain forward natural gas contracts or volume purchase commitments, which are derivatives. We utilize these natural gas contracts as economic hedges for risk management purposes but the contracts are not designated as hedging instruments. At June 30, 2025 and December 31, 2024, we had no outstanding forward natural gas contracts or volume purchase commitments accounted for as derivatives. When present in the past, the valuations of the natural gas contracts were classified as a Level 2 fair value measurement. </w:t>
      </w:r>
    </w:p>
    <w:p>
      <w:pPr>
        <w:pStyle w:val="TextBody"/>
        <w:bidi w:val="0"/>
        <w:spacing w:before="120" w:after="283"/>
        <w:jc w:val="left"/>
        <w:rPr>
          <w:rFonts w:ascii="Times New Roman" w:hAnsi="Times New Roman"/>
          <w:sz w:val="20"/>
        </w:rPr>
      </w:pPr>
      <w:r>
        <w:rPr>
          <w:rFonts w:ascii="Times New Roman" w:hAnsi="Times New Roman"/>
          <w:b/>
          <w:color w:val="000000"/>
          <w:sz w:val="20"/>
        </w:rPr>
        <w:t>Financial Instruments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June 30, 2025 and December 31, 2024, we did not have any financial instruments with fair values materially different from their carrying amounts (which excludes issuance costs, if applicable) except for our Senior Secured Notes. Fair value of our Senior Secured Notes is classified as a Level 2 fair value measurement while the treasury securities that comprise our cash equivalents and short-term investments are a Level 1 fair value measurement. The fair value of financial instruments is not indicative of the overall fair value of our assets and liabilities since financial instruments do not include all assets, including intangibles and all liabilities.</w:t>
      </w:r>
    </w:p>
    <w:tbl>
      <w:tblPr>
        <w:tblW w:w="6418" w:type="dxa"/>
        <w:jc w:val="left"/>
        <w:tblInd w:w="0" w:type="dxa"/>
        <w:tblLayout w:type="fixed"/>
        <w:tblCellMar>
          <w:top w:w="28" w:type="dxa"/>
          <w:left w:w="28" w:type="dxa"/>
          <w:bottom w:w="28" w:type="dxa"/>
          <w:right w:w="28" w:type="dxa"/>
        </w:tblCellMar>
      </w:tblPr>
      <w:tblGrid>
        <w:gridCol w:w="1861"/>
        <w:gridCol w:w="146"/>
        <w:gridCol w:w="267"/>
        <w:gridCol w:w="514"/>
        <w:gridCol w:w="146"/>
        <w:gridCol w:w="146"/>
        <w:gridCol w:w="303"/>
        <w:gridCol w:w="582"/>
        <w:gridCol w:w="146"/>
        <w:gridCol w:w="146"/>
        <w:gridCol w:w="267"/>
        <w:gridCol w:w="514"/>
        <w:gridCol w:w="152"/>
        <w:gridCol w:w="152"/>
        <w:gridCol w:w="303"/>
        <w:gridCol w:w="582"/>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Senior Secured Notes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9"/>
        </w:rPr>
      </w:pPr>
      <w:r>
        <w:rPr>
          <w:rFonts w:ascii="Times New Roman" w:hAnsi="Times New Roman"/>
          <w:color w:val="000000"/>
          <w:sz w:val="9"/>
        </w:rPr>
        <w:t>_____________________________</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(1)</w:t>
      </w:r>
    </w:p>
    <w:p>
      <w:pPr>
        <w:pStyle w:val="TextBody"/>
        <w:bidi w:val="0"/>
        <w:spacing w:before="120" w:after="283"/>
        <w:jc w:val="both"/>
        <w:rPr>
          <w:rFonts w:ascii="Times New Roman" w:hAnsi="Times New Roman"/>
          <w:sz w:val="20"/>
        </w:rPr>
      </w:pPr>
      <w:r>
        <w:rPr>
          <w:rFonts w:ascii="Times New Roman" w:hAnsi="Times New Roman"/>
          <w:color w:val="000000"/>
          <w:sz w:val="17"/>
        </w:rPr>
        <w:t>Based on a quoted price</w:t>
      </w:r>
      <w:r>
        <w:rPr>
          <w:rFonts w:ascii="Times New Roman" w:hAnsi="Times New Roman"/>
          <w:color w:val="000000"/>
          <w:sz w:val="20"/>
        </w:rPr>
        <w:t xml:space="preserve"> </w:t>
      </w:r>
      <w:r>
        <w:rPr>
          <w:rFonts w:ascii="Times New Roman" w:hAnsi="Times New Roman"/>
          <w:color w:val="000000"/>
          <w:sz w:val="17"/>
        </w:rPr>
        <w:t>of 98.8</w:t>
      </w:r>
      <w:r>
        <w:rPr>
          <w:rFonts w:ascii="Times New Roman" w:hAnsi="Times New Roman"/>
          <w:color w:val="000000"/>
          <w:sz w:val="20"/>
        </w:rPr>
        <w:t xml:space="preserve"> </w:t>
      </w:r>
      <w:r>
        <w:rPr>
          <w:rFonts w:ascii="Times New Roman" w:hAnsi="Times New Roman"/>
          <w:color w:val="000000"/>
          <w:sz w:val="17"/>
        </w:rPr>
        <w:t>at June 30, 2025</w:t>
      </w:r>
      <w:r>
        <w:rPr>
          <w:rFonts w:ascii="Times New Roman" w:hAnsi="Times New Roman"/>
          <w:color w:val="000000"/>
          <w:sz w:val="20"/>
        </w:rPr>
        <w:t xml:space="preserve"> </w:t>
      </w:r>
      <w:r>
        <w:rPr>
          <w:rFonts w:ascii="Times New Roman" w:hAnsi="Times New Roman"/>
          <w:color w:val="000000"/>
          <w:sz w:val="17"/>
        </w:rPr>
        <w:t>and 96.4</w:t>
      </w:r>
      <w:r>
        <w:rPr>
          <w:rFonts w:ascii="Times New Roman" w:hAnsi="Times New Roman"/>
          <w:color w:val="000000"/>
          <w:sz w:val="20"/>
        </w:rPr>
        <w:t xml:space="preserve"> </w:t>
      </w:r>
      <w:r>
        <w:rPr>
          <w:rFonts w:ascii="Times New Roman" w:hAnsi="Times New Roman"/>
          <w:color w:val="000000"/>
          <w:sz w:val="17"/>
        </w:rPr>
        <w:t>at December 31, 2024. Also see discussion in Note 4</w:t>
      </w:r>
      <w:r>
        <w:rPr>
          <w:rFonts w:ascii="Times New Roman" w:hAnsi="Times New Roman"/>
          <w:color w:val="000000"/>
          <w:sz w:val="20"/>
        </w:rPr>
        <w:t xml:space="preserve"> </w:t>
      </w:r>
      <w:r>
        <w:rPr>
          <w:rFonts w:ascii="Times New Roman" w:hAnsi="Times New Roman"/>
          <w:color w:val="000000"/>
          <w:sz w:val="17"/>
        </w:rPr>
        <w:t>(B).</w:t>
      </w:r>
    </w:p>
    <w:p>
      <w:pPr>
        <w:pStyle w:val="TextBody"/>
        <w:bidi w:val="0"/>
        <w:spacing w:before="120" w:after="283"/>
        <w:jc w:val="both"/>
        <w:rPr>
          <w:rFonts w:ascii="Times New Roman" w:hAnsi="Times New Roman"/>
          <w:sz w:val="20"/>
        </w:rPr>
      </w:pPr>
      <w:r>
        <w:rPr>
          <w:rFonts w:ascii="Times New Roman" w:hAnsi="Times New Roman"/>
          <w:b/>
          <w:color w:val="000000"/>
          <w:sz w:val="20"/>
        </w:rPr>
        <w:t>7. Income Taxes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Provision for income taxes is as follows: </w:t>
      </w:r>
    </w:p>
    <w:tbl>
      <w:tblPr>
        <w:tblW w:w="8524" w:type="dxa"/>
        <w:jc w:val="left"/>
        <w:tblInd w:w="0" w:type="dxa"/>
        <w:tblLayout w:type="fixed"/>
        <w:tblCellMar>
          <w:top w:w="28" w:type="dxa"/>
          <w:left w:w="28" w:type="dxa"/>
          <w:bottom w:w="28" w:type="dxa"/>
          <w:right w:w="28" w:type="dxa"/>
        </w:tblCellMar>
      </w:tblPr>
      <w:tblGrid>
        <w:gridCol w:w="2941"/>
        <w:gridCol w:w="146"/>
        <w:gridCol w:w="257"/>
        <w:gridCol w:w="697"/>
        <w:gridCol w:w="178"/>
        <w:gridCol w:w="178"/>
        <w:gridCol w:w="257"/>
        <w:gridCol w:w="697"/>
        <w:gridCol w:w="166"/>
        <w:gridCol w:w="146"/>
        <w:gridCol w:w="253"/>
        <w:gridCol w:w="505"/>
        <w:gridCol w:w="199"/>
        <w:gridCol w:w="175"/>
        <w:gridCol w:w="253"/>
        <w:gridCol w:w="685"/>
        <w:gridCol w:w="7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tax provision for the six months ended June 30, 2025, was $0.8 million (37.0% provision on pre-tax income). The tax provision for the six months ended June 30, 2024 was $1.9 million (10.9% provision on pre-tax income). For 2025, the effective tax rate was higher than the statutory tax rate primarily due to nondeductible compensation expense and state taxes. For 2024, the effective tax rate was lower than the statutory tax rate primarily due to nondeductible compensation expense and state taxes including deferred benefits from state law changes.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have determined that it is more-likely-than-not that all of our federal deferred tax assets and a portion of our state deferred tax assets will be utilized. We estimate an approximately $0.7 million increase in the related valuation allowance associated with these state deferred tax assets will be recorded during the year as part of the estimated annual effective tax rate applied to ordinary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continue to evaluate both the positive and negative evidence on a quarterly basis in determining the need for a valuation allowance with respect to our deferred tax assets. Changes in positive and negative evidence, including differences between estimated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Industries, Inc. and certain of its subsidiaries file income tax returns in the U.S. federal jurisdiction and various state jurisdictions. With few exceptions, the 2021-2024 years remain open for all purposes of examination by the U.S. Internal Revenue Service (“IRS”) and other major tax jurisdictions. Additionally, the 2013-2020 years remain subject to examination for determining the amount of net operating loss and other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“An Act to provide for reconciliation pursuant to title II of H. Con. Res. 14” and commonly referred to as the One Big Beautiful Bill Act (“OBBBA”) was enacted into law in the United States. The OBBBA includes significant provisions, such as the permanent extension of certain expiring provisions of the Tax Cuts and Jobs Act, modifications to the international tax framework and favorable changes to bonus depreciation, domestic research cost expensing, and the business interest limitation. The legislation has multiple effective dates, with certain provisions effective in 2025 and others implemented through 2027. We are still evaluating its impact on our financial statements.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 Net Sales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Disaggregated 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primarily derive our revenues from the sales of various chemical products. The Company’s net sales disaggregation is consistent with other financial information utilized or provided outside of our condensed consolidated financial statements. Accordingly, this approach is reflected in disaggregated net sales, mirroring how the Company manages its net sales by product through contracts with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net sales disaggregated by our products, which disaggregation is consistent with other financial information utilized or provided outside of our consolidated financial statements:</w:t>
      </w:r>
    </w:p>
    <w:p>
      <w:pPr>
        <w:pStyle w:val="TextBody"/>
        <w:bidi w:val="0"/>
        <w:jc w:val="both"/>
        <w:rPr/>
      </w:pPr>
      <w:r>
        <w:rPr/>
        <w:t> </w:t>
      </w:r>
    </w:p>
    <w:tbl>
      <w:tblPr>
        <w:tblW w:w="8377" w:type="dxa"/>
        <w:jc w:val="left"/>
        <w:tblInd w:w="0" w:type="dxa"/>
        <w:tblLayout w:type="fixed"/>
        <w:tblCellMar>
          <w:top w:w="28" w:type="dxa"/>
          <w:left w:w="28" w:type="dxa"/>
          <w:bottom w:w="28" w:type="dxa"/>
          <w:right w:w="28" w:type="dxa"/>
        </w:tblCellMar>
      </w:tblPr>
      <w:tblGrid>
        <w:gridCol w:w="2796"/>
        <w:gridCol w:w="146"/>
        <w:gridCol w:w="211"/>
        <w:gridCol w:w="781"/>
        <w:gridCol w:w="146"/>
        <w:gridCol w:w="146"/>
        <w:gridCol w:w="211"/>
        <w:gridCol w:w="781"/>
        <w:gridCol w:w="146"/>
        <w:gridCol w:w="146"/>
        <w:gridCol w:w="211"/>
        <w:gridCol w:w="781"/>
        <w:gridCol w:w="146"/>
        <w:gridCol w:w="146"/>
        <w:gridCol w:w="211"/>
        <w:gridCol w:w="781"/>
        <w:gridCol w:w="5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4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106,877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278,277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i/>
          <w:color w:val="000000"/>
          <w:sz w:val="20"/>
        </w:rPr>
        <w:t>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contracts with a duration greater than one year at contract inception, the average remaining expected duration was approximately 31 months at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Liabilities associated with contracts with customers (contract liabilities) primarily relate to deferred revenue and customer deposits associated with cash payments received in advance from customers for product shipments. We had approximately $0.2 million and $1.1 million of contract liabilities as of June 30, 2025 and December 31, 2024, respectively. For the three and six months ended June 30, 2025, revenues of $10.3 million and $1.1 million, respectively, were recognized and included in the balances as of March 31, 2025 and December 31, 2024. For the three and six months ended June 30, 2024, revenues of $2.3 million and $0.8 million, respectively, were recognized and included in the balances as of March 31, 2024 and December 31, 2023. Our contract assets consist of unconditional rights to payment from our customers, which are reflected as accounts receivable in our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most of our contracts with customers, the transaction price from the inception of a contract is constrained to a short period of time (generally one month) as these contracts contain terms with variable consideration related to both price and quantity. At June 30, 2025, we have remaining performance obligations with certain customer contracts, excluding contracts with original durations of less than one year and for service contracts for which we have elected the practical expedient for consideration recognized in revenue as invoiced. As of June 30, 2025, the remaining performance obligations totaled approximately $126.6 million, of which approximately 56% relates to 2025 through 2027, approximately 25% relates to 2028 through 2029, with the remainder thereafter.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9. Related Party Transactions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June 30, 2025, we had one outstanding financing arrangement with an affiliate of Eldridge as discussed in footnote (C) of Note 4. </w:t>
      </w:r>
    </w:p>
    <w:p>
      <w:pPr>
        <w:pStyle w:val="TextBody"/>
        <w:bidi w:val="0"/>
        <w:jc w:val="both"/>
        <w:rPr>
          <w:rFonts w:ascii="Times New Roman" w:hAnsi="Times New Roman"/>
          <w:sz w:val="20"/>
        </w:rPr>
      </w:pPr>
      <w:r>
        <w:rPr>
          <w:rFonts w:ascii="Times New Roman" w:hAnsi="Times New Roman"/>
          <w:b/>
          <w:color w:val="000000"/>
          <w:sz w:val="20"/>
        </w:rPr>
        <w:t>10. Supplemental Cash Flow Information</w:t>
      </w:r>
      <w:r>
        <w:rPr>
          <w:rFonts w:ascii="Times New Roman" w:hAnsi="Times New Roman"/>
          <w:color w:val="000000"/>
          <w:sz w:val="20"/>
        </w:rPr>
        <w:t xml:space="preserve"> </w:t>
      </w:r>
    </w:p>
    <w:p>
      <w:pPr>
        <w:pStyle w:val="TextBody"/>
        <w:bidi w:val="0"/>
        <w:spacing w:before="60" w:after="60"/>
        <w:jc w:val="both"/>
        <w:rPr>
          <w:rFonts w:ascii="Times New Roman" w:hAnsi="Times New Roman"/>
          <w:color w:val="000000"/>
          <w:sz w:val="20"/>
        </w:rPr>
      </w:pPr>
      <w:r>
        <w:rPr>
          <w:rFonts w:ascii="Times New Roman" w:hAnsi="Times New Roman"/>
          <w:color w:val="000000"/>
          <w:sz w:val="20"/>
        </w:rPr>
        <w:t xml:space="preserve">The following provides additional information relating to cash flow activities: </w:t>
      </w:r>
    </w:p>
    <w:tbl>
      <w:tblPr>
        <w:tblW w:w="8841" w:type="dxa"/>
        <w:jc w:val="left"/>
        <w:tblInd w:w="0" w:type="dxa"/>
        <w:tblLayout w:type="fixed"/>
        <w:tblCellMar>
          <w:top w:w="28" w:type="dxa"/>
          <w:left w:w="28" w:type="dxa"/>
          <w:bottom w:w="28" w:type="dxa"/>
          <w:right w:w="28" w:type="dxa"/>
        </w:tblCellMar>
      </w:tblPr>
      <w:tblGrid>
        <w:gridCol w:w="6216"/>
        <w:gridCol w:w="146"/>
        <w:gridCol w:w="211"/>
        <w:gridCol w:w="677"/>
        <w:gridCol w:w="146"/>
        <w:gridCol w:w="146"/>
        <w:gridCol w:w="211"/>
        <w:gridCol w:w="677"/>
        <w:gridCol w:w="411"/>
      </w:tblGrid>
      <w:tr>
        <w:trPr/>
        <w:tc>
          <w:tcPr>
            <w:tcW w:w="6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(refunds)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long-term debt and other, net of capitalized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acquired and not yet paid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(gain)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associated with debt-related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11. Segment</w:t>
      </w:r>
      <w:r>
        <w:rPr>
          <w:rFonts w:ascii="Times New Roman" w:hAnsi="Times New Roman"/>
          <w:color w:val="000000"/>
          <w:sz w:val="20"/>
        </w:rPr>
        <w:t xml:space="preserve"> </w:t>
      </w:r>
    </w:p>
    <w:p>
      <w:pPr>
        <w:pStyle w:val="TextBody"/>
        <w:bidi w:val="0"/>
        <w:spacing w:before="60" w:after="120"/>
        <w:jc w:val="both"/>
        <w:rPr>
          <w:rFonts w:ascii="Times New Roman" w:hAnsi="Times New Roman"/>
          <w:color w:val="000000"/>
          <w:sz w:val="20"/>
        </w:rPr>
      </w:pPr>
      <w:r>
        <w:rPr>
          <w:rFonts w:ascii="Times New Roman" w:hAnsi="Times New Roman"/>
          <w:color w:val="000000"/>
          <w:sz w:val="20"/>
        </w:rPr>
        <w:t xml:space="preserve">The Company is managed on a consolidated basis with a single reportable segment, chemical manufacturing, which is not an aggregation of individual operating segments. There have been no changes in the basis of segmentation or in the basis of measurement of segment profit or loss since the filing of our 2024 Form 10-K. Information about reported segment revenue, measures of a segment’s profit or loss, significant segment expenses, and measure of a segment's assets: </w:t>
      </w:r>
    </w:p>
    <w:tbl>
      <w:tblPr>
        <w:tblW w:w="9220" w:type="dxa"/>
        <w:jc w:val="left"/>
        <w:tblInd w:w="0" w:type="dxa"/>
        <w:tblLayout w:type="fixed"/>
        <w:tblCellMar>
          <w:top w:w="28" w:type="dxa"/>
          <w:left w:w="28" w:type="dxa"/>
          <w:bottom w:w="28" w:type="dxa"/>
          <w:right w:w="28" w:type="dxa"/>
        </w:tblCellMar>
      </w:tblPr>
      <w:tblGrid>
        <w:gridCol w:w="4501"/>
        <w:gridCol w:w="146"/>
        <w:gridCol w:w="1046"/>
        <w:gridCol w:w="172"/>
        <w:gridCol w:w="1046"/>
        <w:gridCol w:w="146"/>
        <w:gridCol w:w="886"/>
        <w:gridCol w:w="146"/>
        <w:gridCol w:w="1131"/>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73" w:type="dxa"/>
            <w:gridSpan w:val="7"/>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(In Thousands)</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$151,296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$278,277</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 of sales excluding depreciation, amortization</w:t>
              <w:br/>
              <w:t>  and turnaround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104,867</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211,857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188,382</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35,848</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Turnaround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4,354</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128,123</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228,584</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11,688</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Other 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10,153</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21,841</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7,886</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18,114</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Loss (gain) on extinguishments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(3,013)</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Loss from asset write-down and disposals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2,943</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1,853</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segment items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(7,223)</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Segment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15,178</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Reconciliation of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Adjustments and reconciling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right"/>
              <w:rPr>
                <w:color w:val="000000"/>
              </w:rPr>
            </w:pPr>
            <w:r>
              <w:rPr>
                <w:color w:val="00000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Consolidated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$15,178</w:t>
            </w:r>
          </w:p>
        </w:tc>
      </w:tr>
    </w:tbl>
    <w:p>
      <w:pPr>
        <w:pStyle w:val="TextBody"/>
        <w:bidi w:val="0"/>
        <w:jc w:val="both"/>
        <w:rPr>
          <w:rFonts w:ascii="Times New Roman" w:hAnsi="Times New Roman"/>
          <w:color w:val="000000"/>
          <w:sz w:val="9"/>
        </w:rPr>
      </w:pPr>
      <w:r>
        <w:rPr>
          <w:rFonts w:ascii="Times New Roman" w:hAnsi="Times New Roman"/>
          <w:color w:val="000000"/>
          <w:sz w:val="9"/>
        </w:rPr>
        <w:t>_____________________________</w:t>
      </w:r>
    </w:p>
    <w:p>
      <w:pPr>
        <w:pStyle w:val="TextBody"/>
        <w:bidi w:val="0"/>
        <w:jc w:val="left"/>
        <w:rPr>
          <w:rFonts w:ascii="Times New Roman" w:hAnsi="Times New Roman"/>
          <w:sz w:val="20"/>
        </w:rPr>
      </w:pPr>
      <w:r>
        <w:rPr>
          <w:rFonts w:ascii="Times New Roman" w:hAnsi="Times New Roman"/>
          <w:color w:val="000000"/>
          <w:sz w:val="16"/>
        </w:rPr>
        <w:t>(a) For the periods presented, amount consisted primarily of interest and sublease income.</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The measure of our chemical manufacturing segment assets is reported on the condensed consolidated balance sheet as total assets. Expenditures for long-lived chemical manufacturing segment assets are reported on our condensed consolidated statement of cash flows.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u w:val="single"/>
        </w:rPr>
      </w:pPr>
      <w:bookmarkStart w:id="8" w:name="item_2_managements_discussion_analysis_f"/>
      <w:bookmarkEnd w:id="8"/>
      <w:r>
        <w:rPr>
          <w:rFonts w:ascii="Times New Roman" w:hAnsi="Times New Roman"/>
          <w:b/>
          <w:color w:val="000000"/>
          <w:sz w:val="20"/>
          <w:u w:val="single"/>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This discussion is intended to provide a reader of our financial statements with management’s perspective on our financial condition, results of operations, liquidity, and certain other factors that may affect our future results. Investors should read the following discussion and analysis in conjunction with the consolidated financial statements and related notes included in “</w:t>
      </w:r>
      <w:r>
        <w:rPr>
          <w:rFonts w:ascii="Times New Roman" w:hAnsi="Times New Roman"/>
          <w:i/>
          <w:color w:val="000000"/>
          <w:sz w:val="20"/>
        </w:rPr>
        <w:t>Item 1. Financial Statements</w:t>
      </w:r>
      <w:r>
        <w:rPr>
          <w:rFonts w:ascii="Times New Roman" w:hAnsi="Times New Roman"/>
          <w:color w:val="000000"/>
          <w:sz w:val="20"/>
        </w:rPr>
        <w:t>.” Notes referenced in this discussion and analysis refer to the notes to consolidated financial statements that are found in “</w:t>
      </w:r>
      <w:r>
        <w:rPr>
          <w:rFonts w:ascii="Times New Roman" w:hAnsi="Times New Roman"/>
          <w:i/>
          <w:color w:val="000000"/>
          <w:sz w:val="20"/>
        </w:rPr>
        <w:t>Item 1. Financial Statements—Notes to Condensed Consolidated Financial Statements</w:t>
      </w:r>
      <w:r>
        <w:rPr>
          <w:rFonts w:ascii="Times New Roman" w:hAnsi="Times New Roman"/>
          <w:color w:val="000000"/>
          <w:sz w:val="20"/>
        </w:rPr>
        <w:t>.” Certain statements contained in this discussion may be deemed to be forward-looking statements. See “</w:t>
      </w:r>
      <w:r>
        <w:rPr>
          <w:rFonts w:ascii="Times New Roman" w:hAnsi="Times New Roman"/>
          <w:i/>
          <w:color w:val="000000"/>
          <w:sz w:val="20"/>
        </w:rPr>
        <w:t>Special Note Regarding Forward-Looking Statements</w:t>
      </w:r>
      <w:r>
        <w:rPr>
          <w:rFonts w:ascii="Times New Roman" w:hAnsi="Times New Roman"/>
          <w:color w:val="000000"/>
          <w:sz w:val="20"/>
        </w:rPr>
        <w:t>.” Actual results could differ materially from those discussed in or implied by forward-looking statements as a result of various factors, including those discussed below and in our Annual Report on Form 10-K for the year ended December 31, 2024, particularly in the section entitled “</w:t>
      </w:r>
      <w:r>
        <w:rPr>
          <w:rFonts w:ascii="Times New Roman" w:hAnsi="Times New Roman"/>
          <w:i/>
          <w:color w:val="000000"/>
          <w:sz w:val="20"/>
        </w:rPr>
        <w:t>Risk Factors</w:t>
      </w:r>
      <w:r>
        <w:rPr>
          <w:rFonts w:ascii="Times New Roman" w:hAnsi="Times New Roman"/>
          <w:color w:val="000000"/>
          <w:sz w:val="20"/>
        </w:rPr>
        <w:t xml:space="preserve">.” Unless we state otherwise or the context otherwise requires, the terms “we,” “us,” “our” and the “Company” refer to LSB Industries, Inc. and its consolidated subsidiaries.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Overview</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is headquartered in Oklahoma City, Oklahoma and we manufacture and sell chemical products for the agricultural and industrial markets. We own and operate three multi-plant facilities in Cherokee, Alabama (the “Cherokee Facility”), El Dorado, Arkansas (the “El Dorado Facility”) and Pryor, Oklahoma (the “Pryor Facility”) and operate a facility on behalf of Covestro LLC in Baytown, Texas. Our products are sold through distributors and directly to end customers primarily throughout the United States and other parts of North America.</w:t>
      </w:r>
    </w:p>
    <w:p>
      <w:pPr>
        <w:pStyle w:val="TextBody"/>
        <w:bidi w:val="0"/>
        <w:spacing w:before="120" w:after="120"/>
        <w:jc w:val="left"/>
        <w:rPr>
          <w:rFonts w:ascii="Times New Roman" w:hAnsi="Times New Roman"/>
          <w:sz w:val="20"/>
        </w:rPr>
      </w:pPr>
      <w:r>
        <w:rPr>
          <w:rFonts w:ascii="Times New Roman" w:hAnsi="Times New Roman"/>
          <w:b/>
          <w:color w:val="000000"/>
          <w:sz w:val="20"/>
        </w:rPr>
        <w:t>Key Operating Initiatives for 2025</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future results of operations and financial condition to benefit from the following key initiatives: </w:t>
      </w:r>
    </w:p>
    <w:p>
      <w:pPr>
        <w:pStyle w:val="TextBody"/>
        <w:bidi w:val="0"/>
        <w:spacing w:before="0" w:after="0"/>
        <w:jc w:val="left"/>
        <w:rPr>
          <w:color w:val="000000"/>
        </w:rPr>
      </w:pPr>
      <w:r>
        <w:rPr>
          <w:color w:val="000000"/>
        </w:rPr>
        <w:t>•</w:t>
      </w:r>
    </w:p>
    <w:p>
      <w:pPr>
        <w:pStyle w:val="TextBody"/>
        <w:bidi w:val="0"/>
        <w:jc w:val="left"/>
        <w:rPr>
          <w:rFonts w:ascii="Times New Roman" w:hAnsi="Times New Roman"/>
          <w:i/>
          <w:color w:val="000000"/>
          <w:sz w:val="20"/>
        </w:rPr>
      </w:pPr>
      <w:r>
        <w:rPr>
          <w:rFonts w:ascii="Times New Roman" w:hAnsi="Times New Roman"/>
          <w:i/>
          <w:color w:val="000000"/>
          <w:sz w:val="20"/>
        </w:rPr>
        <w:t xml:space="preserve">Investing to improve Environmental, Health &amp; Safety and Reliability at our Facilities while Supplying our Customers with Products of the Highest Quality.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believe that our operational progress over the past several years represents proof that high safety standards not only enable us to protect what matters, which is the well-being of our employees, but also translates into improved plant performance. In 2025, we remain focused on our efforts to further the progress we have made with our safety programs to move closer to attaining zero injuries. We have been investing and plan to continue to invest additional capital at all three of our facilities during 2025 to build upon the success we have had in implementing enhanced safety programs during the last several years.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multiple initiatives underway focused on continuing to improve the reliability of our plants as we advance towards our ammonia on-stream operating rate target and increase our production volumes of ammonia and other downstream products. Progress towards these targets would enable us to produce greater volumes of product for sale while lowering our unit cost of production thereby increasing our overall profitability. Additionally, our product quality program continues to focus on providing products to our customers that meet our quality standards.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 xml:space="preserve">Continued Optimization and Increase the Breadth of Distribution of our Product Mix. </w:t>
      </w:r>
      <w:r>
        <w:rPr>
          <w:rFonts w:ascii="Times New Roman" w:hAnsi="Times New Roman"/>
          <w:color w:val="000000"/>
          <w:sz w:val="20"/>
        </w:rPr>
        <w:t>We have initiatives underway to increase the distribution of our products within our industrial end markets, among other product mix optimization strategies. We believe that these initiatives and strategies, combined with continued expansion of our customer relationships, the robust market analysis capabilities we have developed, and the establishment of in-market tank storage and distribution terminals, will make us more effective in identifying and capitalizing on the most profitable distribution opportunities for our products, while making our financial results more stable and predictable. Additionally, we have completed and are advancing several capital improvement projects with the intention of increasing our sales volumes of higher value downstream products resulting in improvements in our overall profit margins.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Development of Low Carbon Ammonia and Other Products.</w:t>
      </w:r>
      <w:r>
        <w:rPr>
          <w:color w:val="000000"/>
        </w:rPr>
        <w:t xml:space="preserve"> </w:t>
      </w:r>
      <w:r>
        <w:rPr>
          <w:rFonts w:ascii="Times New Roman" w:hAnsi="Times New Roman"/>
          <w:color w:val="000000"/>
          <w:sz w:val="20"/>
        </w:rPr>
        <w:t>The reduction of greenhouse gas emissions, particularly related to carbon dioxide, has been and we expect will increasingly become a global environmental priority. Ammonia has continued to emerge as one of the more viable alternatives to serve as a hydrogen-based energy source for a variety of applications due to its higher energy density and ease of storage relative to hydrogen gas. Low carbon ammonia can be used as a coal and natural gas substitute in power generation, a zero-carbon fuel in the maritime sector, and as a carbon free fertilizer. If low carbon ammonia were to be adopted for these and other energy needs globally, some studies have indicated that future demand could increase from current levels of global annual production of ammonia.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Low carbon ammonia is produced using natural gas and conventional processes but includes an additional stage where the carbon dioxide emissions are captured and permanently stored in deep underground rock formations. We believe that the resulting low carbon emission product can be sold at a premium to conventional ammonia, to customers seeking to reduce their carbon footprint, particularly in the power generation, marine, industrial, mining and agricultural end markets.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we believe that producers of low carbon ammonia will be eligible for government incentives aimed at promoting carbon capture and sequestration (“CCS”).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believe we are well-positioned to capitalize on this opportunity given our potential to retrofit our existing plants, which we believe can reduce our time to market for low carbon ammonia and also reduce the upfront capital expenditures necessary to enable us to produce this product. We are currently pursuing projects that could enable us to become a producer and marketer of low carbon ammonia and other derivative products. These projects include a low carbon ammonia project at our El Dorado Facility in collaboration with Lapis Carbon Solutions (“Lapis”) that we expect to be operational by the end of 2026. In January 2025, we achieved pre-certification status under the Fertilizer Institute’s Verified Ammonia Carbon Intensity program. This is a voluntary certification of the carbon footprint of ammonia production at a specific facility, from well to production gate. Our El Dorado ammonia plant is one of four North American plants to have received such a status.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 xml:space="preserve">Evaluate and Pursue Organic Capacity Expansion. </w:t>
      </w:r>
      <w:r>
        <w:rPr>
          <w:rFonts w:ascii="Times New Roman" w:hAnsi="Times New Roman"/>
          <w:color w:val="000000"/>
          <w:sz w:val="20"/>
        </w:rPr>
        <w:t>We have been evaluating opportunities across all our facilities to increase production capacity through the implementation of several potential debottlenecking projects, particularly at our El Dorado Facility. Initial feasibility studies have pointed to potentially attractive returns for some of these projects. However, given the current high-cost environment and limited resources, coupled with our outlook for moderating selling prices, during 2024 we elected to put the El Dorado expansion projects on hold. We will continue evaluating these projects over the course of 2025 to determine our prospects of moving forward with one or more of them in the future.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2024, we undertook several smaller projects that we expect to enhance our profitability during 2025. These projects include: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Construction of additional AN solution storage and new AN solution rail loading capability at our El Dorado Facility to significantly increase the volume of AN solution sales and increase product optionality at the site. This project was completed during the second quarter of 2025;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Construction of 5,000 tons of additional nitric acid storage at our El Dorado Facility was completed in the latter part of 2024 to help us optimize our product sales mix;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Expansion of our urea capacity at our Pryor Facility, to enable us to use a portion of the facility’s ammonia output to upgrade to approximately 75,000 additional tons of UAN per year. This project was completed in late 2024 and led to increased UAN sales volumes during the first half of 2025.</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 xml:space="preserve">Evaluate Acquisitions of Strategic Assets or Companies. </w:t>
      </w:r>
      <w:r>
        <w:rPr>
          <w:rFonts w:ascii="Times New Roman" w:hAnsi="Times New Roman"/>
          <w:color w:val="000000"/>
          <w:sz w:val="20"/>
        </w:rPr>
        <w:t xml:space="preserve">We may evaluate opportunities to acquire strategic assets or companies where we believe those acquisitions will enhance the value of the Company and provide attractive returns. We may consider assets and companies that can provide us with geographic expansion, extend an existing product line, add one or more new product lines, leverage our existing ammonia production capabilities, or complement our existing business lines, among other accretive opportunities. </w:t>
      </w:r>
    </w:p>
    <w:p>
      <w:pPr>
        <w:pStyle w:val="TextBody"/>
        <w:bidi w:val="0"/>
        <w:spacing w:before="0" w:after="120"/>
        <w:jc w:val="left"/>
        <w:rPr>
          <w:rFonts w:ascii="Times New Roman" w:hAnsi="Times New Roman"/>
          <w:sz w:val="20"/>
        </w:rPr>
      </w:pPr>
      <w:r>
        <w:rPr>
          <w:rFonts w:ascii="Times New Roman" w:hAnsi="Times New Roman"/>
          <w:b/>
          <w:color w:val="000000"/>
          <w:sz w:val="20"/>
        </w:rPr>
        <w:t>Recent Business Developments</w:t>
      </w:r>
      <w:r>
        <w:rPr>
          <w:rFonts w:ascii="Times New Roman" w:hAnsi="Times New Roman"/>
          <w:color w:val="000000"/>
          <w:sz w:val="20"/>
        </w:rPr>
        <w:t xml:space="preserve"> </w:t>
      </w:r>
    </w:p>
    <w:p>
      <w:pPr>
        <w:pStyle w:val="TextBody"/>
        <w:bidi w:val="0"/>
        <w:spacing w:before="0" w:after="120"/>
        <w:jc w:val="left"/>
        <w:rPr>
          <w:rFonts w:ascii="Times New Roman" w:hAnsi="Times New Roman"/>
          <w:i/>
          <w:color w:val="000000"/>
          <w:sz w:val="20"/>
          <w:u w:val="single"/>
        </w:rPr>
      </w:pPr>
      <w:r>
        <w:rPr>
          <w:rFonts w:ascii="Times New Roman" w:hAnsi="Times New Roman"/>
          <w:i/>
          <w:color w:val="000000"/>
          <w:sz w:val="20"/>
          <w:u w:val="single"/>
        </w:rPr>
        <w:t>Advanced Low Carbon Ammonia Initiatives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May 2024, we announced an agreement to supply, for a five-year period commencing January 1, 2025, up to 150,000 short tons per year of low carbon ammonium nitrate solution (“ANS”) to Freeport Minerals Corporation (“Freeport”). In early 2025 we began supplying conventional ANS to Freeport from our El Dorado Facility, and expect to phase in the low carbon contracted volume in the next year. Freeport intends to use the low carbon ANS purchased from us for its United States copper mining operations.</w:t>
      </w:r>
    </w:p>
    <w:p>
      <w:pPr>
        <w:pStyle w:val="TextBody"/>
        <w:bidi w:val="0"/>
        <w:spacing w:before="0" w:after="120"/>
        <w:jc w:val="left"/>
        <w:rPr>
          <w:rFonts w:ascii="Times New Roman" w:hAnsi="Times New Roman"/>
          <w:sz w:val="20"/>
        </w:rPr>
      </w:pPr>
      <w:r>
        <w:rPr>
          <w:rFonts w:ascii="Times New Roman" w:hAnsi="Times New Roman"/>
          <w:color w:val="000000"/>
          <w:sz w:val="20"/>
        </w:rPr>
        <w:t>In April 2022, we entered into an agreement with Lapis to develop a project to capture and sequester CO</w:t>
      </w:r>
      <w:r>
        <w:rPr>
          <w:rFonts w:ascii="Times New Roman" w:hAnsi="Times New Roman"/>
          <w:color w:val="000000"/>
          <w:sz w:val="13"/>
        </w:rPr>
        <w:t xml:space="preserve">2 </w:t>
      </w:r>
      <w:r>
        <w:rPr>
          <w:rFonts w:ascii="Times New Roman" w:hAnsi="Times New Roman"/>
          <w:color w:val="000000"/>
          <w:sz w:val="20"/>
        </w:rPr>
        <w:t>at our El Dorado Facility. Lapis, backed by Cresta Fund Management, a Dallas-based middle-market infrastructure investment firm, will invest the majority of the capital required for project development. The project is expected to be completed and operational by the end of 2026, subject to the approval of a Class VI permit, at which time CO</w:t>
      </w:r>
      <w:r>
        <w:rPr>
          <w:rFonts w:ascii="Times New Roman" w:hAnsi="Times New Roman"/>
          <w:color w:val="000000"/>
          <w:sz w:val="13"/>
        </w:rPr>
        <w:t xml:space="preserve">2 </w:t>
      </w:r>
      <w:r>
        <w:rPr>
          <w:rFonts w:ascii="Times New Roman" w:hAnsi="Times New Roman"/>
          <w:color w:val="000000"/>
          <w:sz w:val="20"/>
        </w:rPr>
        <w:t>injections are expected to begin. Once operational, the project at the El Dorado site will initially capture and sequester approximately 400,000 to 500,000 metric tons of CO</w:t>
      </w:r>
      <w:r>
        <w:rPr>
          <w:rFonts w:ascii="Times New Roman" w:hAnsi="Times New Roman"/>
          <w:color w:val="000000"/>
          <w:sz w:val="13"/>
        </w:rPr>
        <w:t xml:space="preserve">2 </w:t>
      </w:r>
      <w:r>
        <w:rPr>
          <w:rFonts w:ascii="Times New Roman" w:hAnsi="Times New Roman"/>
          <w:color w:val="000000"/>
          <w:sz w:val="20"/>
        </w:rPr>
        <w:t xml:space="preserve">per year in underground saline aquifers. </w:t>
      </w:r>
    </w:p>
    <w:p>
      <w:pPr>
        <w:pStyle w:val="TextBody"/>
        <w:bidi w:val="0"/>
        <w:jc w:val="left"/>
        <w:rPr>
          <w:rFonts w:ascii="Times New Roman" w:hAnsi="Times New Roman"/>
          <w:sz w:val="20"/>
        </w:rPr>
      </w:pPr>
      <w:r>
        <w:rPr>
          <w:rFonts w:ascii="Times New Roman" w:hAnsi="Times New Roman"/>
          <w:color w:val="000000"/>
          <w:sz w:val="20"/>
        </w:rPr>
        <w:t>The sequestered CO</w:t>
      </w:r>
      <w:r>
        <w:rPr>
          <w:rFonts w:ascii="Times New Roman" w:hAnsi="Times New Roman"/>
          <w:color w:val="000000"/>
          <w:sz w:val="13"/>
        </w:rPr>
        <w:t xml:space="preserve">2 </w:t>
      </w:r>
      <w:r>
        <w:rPr>
          <w:rFonts w:ascii="Times New Roman" w:hAnsi="Times New Roman"/>
          <w:color w:val="000000"/>
          <w:sz w:val="20"/>
        </w:rPr>
        <w:t>generated from the facility’s ammonia production is expected to qualify for federal tax credits under Internal Revenue Code Section 45Q, which are $85 per metric ton of CO</w:t>
      </w:r>
      <w:r>
        <w:rPr>
          <w:rFonts w:ascii="Times New Roman" w:hAnsi="Times New Roman"/>
          <w:color w:val="000000"/>
          <w:sz w:val="13"/>
        </w:rPr>
        <w:t xml:space="preserve">2 </w:t>
      </w:r>
      <w:r>
        <w:rPr>
          <w:rFonts w:ascii="Times New Roman" w:hAnsi="Times New Roman"/>
          <w:color w:val="000000"/>
          <w:sz w:val="20"/>
        </w:rPr>
        <w:t>captured and sequestered. Lapis, as the majority owner of the CCS equipment, will earn the 45Q tax credits and will pay us a fee for each ton of CO</w:t>
      </w:r>
      <w:r>
        <w:rPr>
          <w:rFonts w:ascii="Times New Roman" w:hAnsi="Times New Roman"/>
          <w:color w:val="000000"/>
          <w:sz w:val="13"/>
        </w:rPr>
        <w:t xml:space="preserve">2 </w:t>
      </w:r>
      <w:r>
        <w:rPr>
          <w:rFonts w:ascii="Times New Roman" w:hAnsi="Times New Roman"/>
          <w:color w:val="000000"/>
          <w:sz w:val="20"/>
        </w:rPr>
        <w:t>captured and sequestered by the end of 2026. Once in operation, the sequestered CO</w:t>
      </w:r>
      <w:r>
        <w:rPr>
          <w:rFonts w:ascii="Times New Roman" w:hAnsi="Times New Roman"/>
          <w:color w:val="000000"/>
          <w:sz w:val="13"/>
        </w:rPr>
        <w:t xml:space="preserve">2 </w:t>
      </w:r>
      <w:r>
        <w:rPr>
          <w:rFonts w:ascii="Times New Roman" w:hAnsi="Times New Roman"/>
          <w:color w:val="000000"/>
          <w:sz w:val="20"/>
        </w:rPr>
        <w:t>is expected to reduce our overall scope 1 GHG emissions by approximately 25% from current levels. In addition, sequestering approximately 400,000 to 500,000 metric tons of CO</w:t>
      </w:r>
      <w:r>
        <w:rPr>
          <w:rFonts w:ascii="Times New Roman" w:hAnsi="Times New Roman"/>
          <w:color w:val="000000"/>
          <w:sz w:val="13"/>
        </w:rPr>
        <w:t xml:space="preserve">2 </w:t>
      </w:r>
      <w:r>
        <w:rPr>
          <w:rFonts w:ascii="Times New Roman" w:hAnsi="Times New Roman"/>
          <w:color w:val="000000"/>
          <w:sz w:val="20"/>
        </w:rPr>
        <w:t xml:space="preserve">annually is expected to enable us to produce approximately 305,000 to 380,000 metric tons of low carbon ammonia annually, a product that could potentially be sold at higher price levels than conventional ammonia. In February 2023, a key milestone was achieved in the advancement of our low carbon ammonia project at El Dorado by filing a pre-construction Class VI permit application with the United States Environmental Protection Agency (the “EPA”). The EPA recognized the application as complete in March 2023 and is currently in the review process. In June 2025, Lapis completed the drilling of a stratigraphic injection well at the El Dorado site and has been gathering data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to support the EPA in its continuing technical review of our Class VI application. Once the project receives EPA approval, we intend to use this well for CO</w:t>
      </w:r>
      <w:r>
        <w:rPr>
          <w:rFonts w:ascii="Times New Roman" w:hAnsi="Times New Roman"/>
          <w:color w:val="000000"/>
          <w:sz w:val="13"/>
        </w:rPr>
        <w:t>2</w:t>
      </w:r>
      <w:r>
        <w:rPr>
          <w:rFonts w:ascii="Times New Roman" w:hAnsi="Times New Roman"/>
          <w:color w:val="000000"/>
          <w:sz w:val="20"/>
        </w:rPr>
        <w:t xml:space="preserve"> injections.</w:t>
      </w:r>
    </w:p>
    <w:p>
      <w:pPr>
        <w:pStyle w:val="TextBody"/>
        <w:bidi w:val="0"/>
        <w:spacing w:before="120" w:after="120"/>
        <w:jc w:val="left"/>
        <w:rPr>
          <w:rFonts w:ascii="Times New Roman" w:hAnsi="Times New Roman"/>
          <w:i/>
          <w:color w:val="000000"/>
          <w:sz w:val="20"/>
          <w:u w:val="single"/>
        </w:rPr>
      </w:pPr>
      <w:r>
        <w:rPr>
          <w:rFonts w:ascii="Times New Roman" w:hAnsi="Times New Roman"/>
          <w:i/>
          <w:color w:val="000000"/>
          <w:sz w:val="20"/>
          <w:u w:val="single"/>
        </w:rPr>
        <w:t>Higher UAN Prices and Higher AN and UAN Sales Volumes Offset by Higher Natural Gas Input Costs</w:t>
      </w:r>
    </w:p>
    <w:p>
      <w:pPr>
        <w:pStyle w:val="TextBody"/>
        <w:bidi w:val="0"/>
        <w:jc w:val="left"/>
        <w:rPr>
          <w:rFonts w:ascii="Times New Roman" w:hAnsi="Times New Roman"/>
          <w:color w:val="000000"/>
          <w:sz w:val="20"/>
        </w:rPr>
      </w:pPr>
      <w:r>
        <w:rPr>
          <w:rFonts w:ascii="Times New Roman" w:hAnsi="Times New Roman"/>
          <w:color w:val="000000"/>
          <w:sz w:val="20"/>
        </w:rPr>
        <w:t xml:space="preserve">Second quarter 2025 results were impacted by natural gas input costs, which were higher than they were in the second quarter and full year of 2024. Partially offsetting the impact of higher natural gas prices were increased sales volumes of AN and UAN. Additionally, second quarter 2025 results benefited from higher UAN prices relative to the prior year second quarter.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Ammonia prices currently reflect reduced supply from the Middle East, robust demand in the United States, and higher cost of production in Europe. Global ammonia inventories appear balanced, however, and as the year progresses, pricing may be impacted by the start-up of new production capacity in both the United States and internationally, with at least one new world scale plant expected to come online during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Pricing for ammonia derivative fertilizer products has been strong. Both urea and UAN prices are currently well above year-ago levels, reflecting a variety of factors including tight global supply with limited inventory in the United States distribution channel; the demand pull of a strong Spring 2025 corn planting season with the United States Department of Agriculture (“USDA”) currently expecting 95 million acres of corn to be planted, up 5% from the 2024 planting season; and a reduced pace of import flow into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Demand for our industrial products is stable despite global economic concerns. Nitric acid demand has been steady, reflecting the resilience of the U.S. economy and consumer spending levels. Demand for AN for use in mining applications has been bolstered by positive exposure to copper, gold and iron ore, as well as continued attractive market fundamentals for aggregate production relating to infrastructure construction. Economic uncertainty continues to be heightened by the potential impacts of tariffs on global trade flows, consumer prices and production input costs. However, we believe that we have a meaningful degree of downside protection in our industrial business given our diverse customer base which is almost entirely located in the United States, the nature of our contracts and our ability to shift our production mix to products where demand and pricing are strongest.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a more detailed discussion below under “Key Industry Factors.”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Shift in Production Mix</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Over the last several months, we commenced the process of transitioning our production of HDAN, an agricultural/fertilizer product, to ANS, a product used in industrial and mining applications. We expect this transition to be complete and production of HDAN to cease later in the third quarter of 2025. This transition is consistent with our strategy to shift a portion of our sales mix from agricultural sales made at spot market pricing, which can be volatile, towards sales covered under multi-year contracts where we pass through the cost of natural gas feedstock. With the discontinuation of HDAN production, we will also close our agricultural retail location in Elkhart, TX, as its primarily purpose was to sell the HDAN we produced. The process to close this retail location commenced at the beginning of the third quarter of 2025 and will be substantially complete by quarter-end.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Industry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Supply and Demand</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Fertilizer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a farmer’s perspective, the demand for fertilizer is affected by the aggregate crop planting decisions including farm economics, weather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changes in corn prices, as well as soybean, cotton and wheat prices, can affect the number of acres of corn planted in a given year and the number of acres planted will drive the level of nitrogen fertilizer consumption, likely affecting prices.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 to the World Agricultural Supply and Demand Estimates Report dated July 11, 2025 (the “July Report”), farmers planted approximately 95.2 million acres of corn in the 2025 planting season, up 5.1% compared to the 2024 planting season. According to the July Report, the USDA estimates the United States ending stocks for the 2025 Harvest will be approximately 42.2 million metric tons, a 24.1% increase from the 2024 Harvest. The USDA's expected yield per acre for the 2025 Harvest is 181.0 bushels, up approximately 0.9% from a year ago.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July 2025 estimates are associated with the corn market: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087"/>
        <w:gridCol w:w="146"/>
        <w:gridCol w:w="209"/>
        <w:gridCol w:w="979"/>
        <w:gridCol w:w="146"/>
        <w:gridCol w:w="146"/>
        <w:gridCol w:w="209"/>
        <w:gridCol w:w="979"/>
        <w:gridCol w:w="146"/>
        <w:gridCol w:w="146"/>
        <w:gridCol w:w="218"/>
        <w:gridCol w:w="698"/>
        <w:gridCol w:w="325"/>
        <w:gridCol w:w="209"/>
        <w:gridCol w:w="979"/>
        <w:gridCol w:w="146"/>
        <w:gridCol w:w="146"/>
        <w:gridCol w:w="199"/>
        <w:gridCol w:w="717"/>
        <w:gridCol w:w="375"/>
      </w:tblGrid>
      <w:tr>
        <w:trPr/>
        <w:tc>
          <w:tcPr>
            <w:tcW w:w="3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 Crop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Crop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Crop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Harvest)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Harvest)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Harvest)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July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(3)</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Area Planted </w:t>
            </w:r>
            <w:r>
              <w:rPr>
                <w:rFonts w:ascii="Times New Roman" w:hAnsi="Times New Roman"/>
                <w:i/>
                <w:color w:val="000000"/>
                <w:sz w:val="16"/>
              </w:rPr>
              <w:t>(Million acres)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Yield per Acre </w:t>
            </w:r>
            <w:r>
              <w:rPr>
                <w:rFonts w:ascii="Times New Roman" w:hAnsi="Times New Roman"/>
                <w:i/>
                <w:color w:val="000000"/>
                <w:sz w:val="16"/>
              </w:rPr>
              <w:t>(Bushels)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Production </w:t>
            </w:r>
            <w:r>
              <w:rPr>
                <w:rFonts w:ascii="Times New Roman" w:hAnsi="Times New Roman"/>
                <w:i/>
                <w:color w:val="000000"/>
                <w:sz w:val="16"/>
              </w:rPr>
              <w:t>(Million bushels)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Ending Stocks </w:t>
            </w:r>
            <w:r>
              <w:rPr>
                <w:rFonts w:ascii="Times New Roman" w:hAnsi="Times New Roman"/>
                <w:i/>
                <w:color w:val="000000"/>
                <w:sz w:val="16"/>
              </w:rPr>
              <w:t>(Million metric tons)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World Ending Stocks </w:t>
            </w:r>
            <w:r>
              <w:rPr>
                <w:rFonts w:ascii="Times New Roman" w:hAnsi="Times New Roman"/>
                <w:i/>
                <w:color w:val="000000"/>
                <w:sz w:val="16"/>
              </w:rPr>
              <w:t>(Million metric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obtained from the July Report for the 2026/2025 (“2026 Crop”), 2024/2025 ("2025 Crop") and 2023/2024 (“2024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the percentage change between the 2026 Crop amounts compared to the 2025 Crop amounts.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Represents the percentage change between the 2026 Crop amounts compared to the 2024 Crop amounts.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current USDA corn outlook for the United States calls for smaller supplies, domestic use, and ending stocks. Corn beginning stocks are down reflecting an increase in exports partly offset by lower feed and residual use. With supply falling more than use, ending stocks are down 90 million bushels from the previous month’s report. From a demand perspective, we believe that corn prices will remain at a level that will further support demand for fertilizers during the remainder of 2025.</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Industrial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industrial products sales volumes are dependent upon general economic conditions, primarily in the housing, automotive and paper industries. Demand for our industrial products is stable despite persistent global economic challenges. Nitric acid demand has been steady, reflecting the strength of the U.S. economy and consumer spending levels. Our sales prices generally vary with the market price of ammonia or natural gas, as applicable, in our pricing arrangements with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LDAN and AN solution, which are primarily used as AN fuel oil and specialty emulsions for usage in the quarry and the construction industries, are used for metals mining and to a lesser extent, for coal. Demand for AN for use in mining applications has been bolstered by positive exposure to copper, gold and iron ore, as well as continued attractive market fundamentals for aggregate production relating to infrastructure construction. Economic uncertainty has recently been heightened by the potential impacts of tariffs on global trade flows, consumer prices and production input costs. However, we believe that we have a meaningful degree of downside protection in our industrial business given our diverse customer base which is almost entirely located in the United States, the nature of our contracts and our ability to shift our production mix to products where demand and pricing are strongest.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Natural Gas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historically have purchased natural gas either on the spot market, through forward purchase contracts, or a combination of both and we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shows the volume of natural gas purchased and the average cost per MMBtu:</w:t>
      </w:r>
    </w:p>
    <w:p>
      <w:pPr>
        <w:pStyle w:val="TextBody"/>
        <w:bidi w:val="0"/>
        <w:jc w:val="left"/>
        <w:rPr/>
      </w:pPr>
      <w:r>
        <w:rPr/>
        <w:t> </w:t>
      </w:r>
    </w:p>
    <w:tbl>
      <w:tblPr>
        <w:tblW w:w="6125" w:type="dxa"/>
        <w:jc w:val="left"/>
        <w:tblInd w:w="0" w:type="dxa"/>
        <w:tblLayout w:type="fixed"/>
        <w:tblCellMar>
          <w:top w:w="28" w:type="dxa"/>
          <w:left w:w="28" w:type="dxa"/>
          <w:bottom w:w="28" w:type="dxa"/>
          <w:right w:w="28" w:type="dxa"/>
        </w:tblCellMar>
      </w:tblPr>
      <w:tblGrid>
        <w:gridCol w:w="3526"/>
        <w:gridCol w:w="146"/>
        <w:gridCol w:w="290"/>
        <w:gridCol w:w="641"/>
        <w:gridCol w:w="200"/>
        <w:gridCol w:w="200"/>
        <w:gridCol w:w="290"/>
        <w:gridCol w:w="641"/>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volumes (MMBtu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average cost per MMBtu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Transportation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transporting nitrogen-based products can be significant relative to their selling price. We continue to evaluate the rising costs of freight domestically. As a result of increases in demand for available rail, truck and barge options to transport product, primarily during the spring and fall planting seasons, higher transportation costs have and could continue to impact our margins, where we are unable to fully pass through these costs to our customers. Additionally, truck driver shortages could impact our ability to fulfill customer demand. As a result, we continue to evaluate supply chain efficiencies to reduce or counter the impact of higher logistics costs.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Operational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Facility Reliability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Consistent, reliable and safe operations at our chemical plants are critical to our financial performance and results of operations. The financial effects of planned downtime at our plants, including a planned major maintenance activity (each such activity, a “Turnaround”)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next ammonia plant Turnaround is currently planned for our El Dorado Facility in the first half of 2026. We completed Turnarounds at both our Pryor Facility and Cherokee Facility in the latter half of 2024. Following those Turnarounds, the next Pryor Facility Turnaround is currently planned for 2027, with the Cherokee Facility Turnaround currently planned for 2028. </w:t>
      </w:r>
    </w:p>
    <w:p>
      <w:pPr>
        <w:pStyle w:val="TextBody"/>
        <w:bidi w:val="0"/>
        <w:spacing w:before="120" w:after="283"/>
        <w:jc w:val="left"/>
        <w:rPr>
          <w:rFonts w:ascii="Times New Roman" w:hAnsi="Times New Roman"/>
          <w:sz w:val="20"/>
        </w:rPr>
      </w:pPr>
      <w:r>
        <w:rPr>
          <w:rFonts w:ascii="Times New Roman" w:hAnsi="Times New Roman"/>
          <w:b/>
          <w:i/>
          <w:color w:val="000000"/>
          <w:sz w:val="20"/>
        </w:rPr>
        <w:t>Ammonia Production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Ammonia is the basic product used to produce all of our upgraded products. The ammonia production rates of our plants affect the total cost per ton of each product produced and the overall sales of our products. For 2025, we are targeting total ammonia production of approximately 820,000 tons to 850,000 tons.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Forward Sales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certain instances, we may use forward sales of our fertilizer products to optimize our asset utilization, planning process and production scheduling. These sales are made by offering customers the opportunity to purchase product on a forward basis at prices and delivery dates that are agreed upon, with delivery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Consolidated Results of the Second Quarter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net sales for the second quarter of 2025 were $151.3 million compared to $140.1 million for the same period in 2024. Our consolidated operating income for the second quarter of 2025 was $10.5 million compared to $14.4 million for the same period in 2024. The items impacting our operating results are discussed in more detail below and under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Items Affecting Comparability of Results of the Second Quarter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second quarter of 2025, average selling prices for ammonia and UAN increased while the average selling price for AN and nitric acids decreased compared to the second quarter of 2024.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(Loss) Gain on Extinguishment of Senior Secured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2025 we repurchased $32.4 million in principal amount of our Senior Secured Notes due 2028 (“Senior Secured Notes”) for approximately $32.1 million, which was accounted for as an extinguishment of debt. Including our write-off of the associated remaining portion of unamortized debt issuance costs, we recognized a loss on extinguishment of debt of approximately $0.1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2024 we repurchased $63.7 million in principal amount of our Senior Secured Notes for approximately $60.9 million. Including our write-off of the associated remaining portion of unamortized debt issuance costs, we recognized a gain on extinguishment of debt of approximately $1.9 million.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Plant, Property and Equipment Impairments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and 2024, we recorded asset write-downs primarily related to assets no longer in use in the amount of $2.5 million and $1.5 million, respectively. These write-downs are included in “Other expense, net” on our condensed consolidated statements of operations.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discussion and analysis of our condensed consolidated results of operations for the three months ended June 30,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to unaffiliated customers are reported in the condensed consolidated financial statements and gross profit represents net sales less cost of sales. Net sales are reported on a gross basis with the cost of freight being recorded in cost of sales.</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Three Months Ended June 30, 2025 Compared to Three Months Ended June 30, 2024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certain financial information for the three months ended June 30, 2025 and 2024, the increase or decrease between those periods, and the percentage increase or decrease between those periods with respect to each line item: </w:t>
      </w:r>
    </w:p>
    <w:tbl>
      <w:tblPr>
        <w:tblW w:w="9716" w:type="dxa"/>
        <w:jc w:val="left"/>
        <w:tblInd w:w="0" w:type="dxa"/>
        <w:tblLayout w:type="fixed"/>
        <w:tblCellMar>
          <w:top w:w="28" w:type="dxa"/>
          <w:left w:w="28" w:type="dxa"/>
          <w:bottom w:w="28" w:type="dxa"/>
          <w:right w:w="28" w:type="dxa"/>
        </w:tblCellMar>
      </w:tblPr>
      <w:tblGrid>
        <w:gridCol w:w="3776"/>
        <w:gridCol w:w="146"/>
        <w:gridCol w:w="211"/>
        <w:gridCol w:w="781"/>
        <w:gridCol w:w="331"/>
        <w:gridCol w:w="146"/>
        <w:gridCol w:w="211"/>
        <w:gridCol w:w="781"/>
        <w:gridCol w:w="331"/>
        <w:gridCol w:w="146"/>
        <w:gridCol w:w="211"/>
        <w:gridCol w:w="676"/>
        <w:gridCol w:w="331"/>
        <w:gridCol w:w="146"/>
        <w:gridCol w:w="256"/>
        <w:gridCol w:w="660"/>
        <w:gridCol w:w="576"/>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61,707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58,442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52,262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42,808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Ammonia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151,296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140,073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Adjusted gross profit </w:t>
            </w: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Depreciation and amortization </w:t>
            </w: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Turnaround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27,415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9,555</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Gross profit percentage </w:t>
            </w: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Adjusted gross profit percentage </w:t>
            </w: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plant and equipment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w:t>
      </w:r>
    </w:p>
    <w:p>
      <w:pPr>
        <w:pStyle w:val="TextBody"/>
        <w:bidi w:val="0"/>
        <w:jc w:val="left"/>
        <w:rPr>
          <w:rFonts w:ascii="Times New Roman" w:hAnsi="Times New Roman"/>
          <w:color w:val="000000"/>
          <w:sz w:val="17"/>
        </w:rPr>
      </w:pPr>
      <w:r>
        <w:rPr>
          <w:rFonts w:ascii="Times New Roman" w:hAnsi="Times New Roman"/>
          <w:color w:val="000000"/>
          <w:sz w:val="17"/>
        </w:rPr>
        <w:t>N/M-Not meaningful.</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Represents a non-GAAP measure since the amount excludes unallocated depreciation, amortization and Turnaround expenses.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Represents amount classified as cost of sales.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pPr>
      <w:r>
        <w:rPr>
          <w:rFonts w:ascii="Times New Roman" w:hAnsi="Times New Roman"/>
          <w:color w:val="000000"/>
          <w:sz w:val="17"/>
        </w:rPr>
        <w:t>As a percentage of the total net sales.</w:t>
      </w:r>
      <w:r>
        <w:rPr>
          <w:color w:val="00000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provide key operating metrics for the fertilizer and major industrial products, the increase or decrease between those periods, and the percentage increase or decrease between those periods with respect to each line item:</w:t>
      </w:r>
    </w:p>
    <w:tbl>
      <w:tblPr>
        <w:tblW w:w="8324" w:type="dxa"/>
        <w:jc w:val="left"/>
        <w:tblInd w:w="0" w:type="dxa"/>
        <w:tblLayout w:type="fixed"/>
        <w:tblCellMar>
          <w:top w:w="28" w:type="dxa"/>
          <w:left w:w="28" w:type="dxa"/>
          <w:bottom w:w="28" w:type="dxa"/>
          <w:right w:w="28" w:type="dxa"/>
        </w:tblCellMar>
      </w:tblPr>
      <w:tblGrid>
        <w:gridCol w:w="2796"/>
        <w:gridCol w:w="146"/>
        <w:gridCol w:w="154"/>
        <w:gridCol w:w="824"/>
        <w:gridCol w:w="154"/>
        <w:gridCol w:w="154"/>
        <w:gridCol w:w="154"/>
        <w:gridCol w:w="824"/>
        <w:gridCol w:w="146"/>
        <w:gridCol w:w="146"/>
        <w:gridCol w:w="146"/>
        <w:gridCol w:w="676"/>
        <w:gridCol w:w="166"/>
        <w:gridCol w:w="146"/>
        <w:gridCol w:w="289"/>
        <w:gridCol w:w="627"/>
        <w:gridCol w:w="77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Product (tons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161,509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66,069</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379,385</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jc w:val="both"/>
        <w:rPr/>
      </w:pPr>
      <w:r>
        <w:rPr/>
        <w:t> </w:t>
      </w:r>
    </w:p>
    <w:tbl>
      <w:tblPr>
        <w:tblW w:w="8333" w:type="dxa"/>
        <w:jc w:val="left"/>
        <w:tblInd w:w="0" w:type="dxa"/>
        <w:tblLayout w:type="fixed"/>
        <w:tblCellMar>
          <w:top w:w="28" w:type="dxa"/>
          <w:left w:w="28" w:type="dxa"/>
          <w:bottom w:w="28" w:type="dxa"/>
          <w:right w:w="28" w:type="dxa"/>
        </w:tblCellMar>
      </w:tblPr>
      <w:tblGrid>
        <w:gridCol w:w="3166"/>
        <w:gridCol w:w="146"/>
        <w:gridCol w:w="307"/>
        <w:gridCol w:w="613"/>
        <w:gridCol w:w="212"/>
        <w:gridCol w:w="212"/>
        <w:gridCol w:w="307"/>
        <w:gridCol w:w="613"/>
        <w:gridCol w:w="146"/>
        <w:gridCol w:w="146"/>
        <w:gridCol w:w="237"/>
        <w:gridCol w:w="424"/>
        <w:gridCol w:w="166"/>
        <w:gridCol w:w="146"/>
        <w:gridCol w:w="289"/>
        <w:gridCol w:w="627"/>
        <w:gridCol w:w="57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Gross Average Selling Prices (price per 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jc w:val="left"/>
        <w:rPr/>
      </w:pPr>
      <w:r>
        <w:rPr/>
        <w:t> </w:t>
      </w:r>
    </w:p>
    <w:tbl>
      <w:tblPr>
        <w:tblW w:w="8228" w:type="dxa"/>
        <w:jc w:val="left"/>
        <w:tblInd w:w="0" w:type="dxa"/>
        <w:tblLayout w:type="fixed"/>
        <w:tblCellMar>
          <w:top w:w="28" w:type="dxa"/>
          <w:left w:w="28" w:type="dxa"/>
          <w:bottom w:w="28" w:type="dxa"/>
          <w:right w:w="28" w:type="dxa"/>
        </w:tblCellMar>
      </w:tblPr>
      <w:tblGrid>
        <w:gridCol w:w="3046"/>
        <w:gridCol w:w="146"/>
        <w:gridCol w:w="307"/>
        <w:gridCol w:w="613"/>
        <w:gridCol w:w="212"/>
        <w:gridCol w:w="212"/>
        <w:gridCol w:w="307"/>
        <w:gridCol w:w="613"/>
        <w:gridCol w:w="146"/>
        <w:gridCol w:w="146"/>
        <w:gridCol w:w="237"/>
        <w:gridCol w:w="424"/>
        <w:gridCol w:w="166"/>
        <w:gridCol w:w="146"/>
        <w:gridCol w:w="289"/>
        <w:gridCol w:w="627"/>
        <w:gridCol w:w="5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Average Benchmark Prices (price per 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Tampa Ammonia Benchmark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NOLA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sales increased during the second quarter of 2025 compared to the prior year period driven by the impact of improved pricing for UAN and ammonia, as well as higher sales volumes for UAN and for our AN &amp; Nitric Acid product group. Partially offsetting this increase were lower ammonia sales volumes and a lower average price within our AN &amp; Nitric Acid product group.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noted in the table above, we recognized a gross profit of $23.2 million for the second quarter of 2025 compared to $27.4 million for the same period in 2024, or a $4.2 million decrease. Overall, our gross profit percentage was 15.3% compared to 19.6% for the same period in 2024. Our adjusted gross profit percentage decreased to 30.7% for the second quarter of 2025 from 35.4% for the second quarter of 2024. Our gross profit for the second quarter of 2025 was lower compared to the same period of 2024 primarily due to higher natural gas costs and higher depreciation due to recent investments in our facilities. These cost increases were partially offset by higher net sales and lower Turnaround expenses.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SG&amp;A expenses were $9.8 million for the second quarter of 2025, a decrease of $1.7 million compared to the same period in 2024. The net decrease was primarily driven by decreases in professional fees, insurance and other miscellaneous expenses items, partially offset by an increase in payroll related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net for the second quarter of 2025 consisted primarily of asset write-downs, which were lower in 2024 compared to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the second quarter of 2025 was $7.9 million compared to $8.4 million for the same period in 2024. The decrease was primarily due to a lower outstanding balance on our Senior Secured Notes as a result of repurchases.</w:t>
      </w:r>
    </w:p>
    <w:p>
      <w:pPr>
        <w:pStyle w:val="TextBody"/>
        <w:bidi w:val="0"/>
        <w:spacing w:before="120" w:after="283"/>
        <w:jc w:val="left"/>
        <w:rPr>
          <w:rFonts w:ascii="Times New Roman" w:hAnsi="Times New Roman"/>
          <w:sz w:val="20"/>
        </w:rPr>
      </w:pPr>
      <w:r>
        <w:rPr>
          <w:rFonts w:ascii="Times New Roman" w:hAnsi="Times New Roman"/>
          <w:b/>
          <w:i/>
          <w:color w:val="000000"/>
          <w:sz w:val="20"/>
        </w:rPr>
        <w:t>(Loss) Gain on Extinguishment of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2025, we repurchased $32.4 million in principal amount of our Senior Secured Notes for approximately $32.1 million, which was accounted for as an extinguishment of debt. Including our write-off of the associated remaining portion of unamortized debt issuance costs, we recognized a loss on extinguishment of debt of approximately $0.1 million. During the second quarter of 2024, we repurchased $63.7 million in principal amount of our Senior Secured Notes for approximately $60.9 million. Including our write-off of the associated remaining portion of unamortized debt issuance costs, we recognized a gain on extinguishment of debt of approximately $1.9 million.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Non-operating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Non-operating other income, net for the second quarter of 2025 was $1.5 million compared to $2.9 million for the same period of 2024, primarily related to interest income earned during both periods from our short-term investments. Our average short-term investments balance including cash equivalents, was lower during the second quarter of 2025 compared to the second quarter of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 for income taxes for the second quarter of 2025 was $1.1 million compared to $1.3 million for the same period of 2024. The resulting effective tax rate for the second quarter of 2025 was a provision on pre-tax income of 26.5% compared to 11.6% for the same period of 2024. For the second quarter of 2025, the effective tax rate was higher than the statutory rate primarily due to nondeductible compensation expense and state taxes. For the second quarter of 2024, the effective tax rate is lower than the statutory rate primarily due to nondeductible compensation and deferred benefits from state tax law changes. See discussion in Note 7.</w:t>
      </w:r>
    </w:p>
    <w:p>
      <w:pPr>
        <w:pStyle w:val="TextBody"/>
        <w:bidi w:val="0"/>
        <w:spacing w:before="240" w:after="283"/>
        <w:jc w:val="center"/>
        <w:rPr>
          <w:rFonts w:ascii="Times New Roman" w:hAnsi="Times New Roman"/>
          <w:sz w:val="20"/>
        </w:rPr>
      </w:pPr>
      <w:r>
        <w:rPr>
          <w:rFonts w:ascii="Times New Roman" w:hAnsi="Times New Roman"/>
          <w:b/>
          <w:color w:val="000000"/>
          <w:sz w:val="20"/>
          <w:u w:val="single"/>
        </w:rPr>
        <w:t>Six Months Ended June 30, 2025 Compared to Six Months Ended June 30, 2024</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contains certain financial information for the six months ended June 30, 2025 and 2024, the increase or decrease between those periods, and the percentage increase or decrease between those periods with respect to each line item: </w:t>
      </w:r>
    </w:p>
    <w:tbl>
      <w:tblPr>
        <w:tblW w:w="8145" w:type="dxa"/>
        <w:jc w:val="left"/>
        <w:tblInd w:w="0" w:type="dxa"/>
        <w:tblLayout w:type="fixed"/>
        <w:tblCellMar>
          <w:top w:w="28" w:type="dxa"/>
          <w:left w:w="28" w:type="dxa"/>
          <w:bottom w:w="28" w:type="dxa"/>
          <w:right w:w="28" w:type="dxa"/>
        </w:tblCellMar>
      </w:tblPr>
      <w:tblGrid>
        <w:gridCol w:w="3776"/>
        <w:gridCol w:w="146"/>
        <w:gridCol w:w="956"/>
        <w:gridCol w:w="157"/>
        <w:gridCol w:w="956"/>
        <w:gridCol w:w="146"/>
        <w:gridCol w:w="901"/>
        <w:gridCol w:w="146"/>
        <w:gridCol w:w="961"/>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6"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12 %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96,127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14 %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Ammonia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(12)%</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19,174</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$294,728</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Adjusted gross profit </w:t>
            </w: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$82,871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(8)%</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Depreciation and amortization </w:t>
            </w: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13 %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Turnaround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19,997</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19 %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(gain)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(57)%</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Gross profit percentage </w:t>
            </w: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Adjusted gross profit percentage </w:t>
            </w: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plant and equipment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$39,347</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w:t>
      </w:r>
    </w:p>
    <w:p>
      <w:pPr>
        <w:pStyle w:val="TextBody"/>
        <w:bidi w:val="0"/>
        <w:jc w:val="left"/>
        <w:rPr>
          <w:rFonts w:ascii="Times New Roman" w:hAnsi="Times New Roman"/>
          <w:color w:val="000000"/>
          <w:sz w:val="17"/>
        </w:rPr>
      </w:pPr>
      <w:r>
        <w:rPr>
          <w:rFonts w:ascii="Times New Roman" w:hAnsi="Times New Roman"/>
          <w:color w:val="000000"/>
          <w:sz w:val="17"/>
        </w:rPr>
        <w:t>N/M-Not meaningful.</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Represents a non-GAAP measure since the amount excludes unallocated depreciation, amortization and Turnaround expenses.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Represents amount classified as cost of sales.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pPr>
      <w:r>
        <w:rPr>
          <w:rFonts w:ascii="Times New Roman" w:hAnsi="Times New Roman"/>
          <w:color w:val="000000"/>
          <w:sz w:val="17"/>
        </w:rPr>
        <w:t>As a percentage of the total net sales.</w:t>
      </w:r>
      <w:r>
        <w:rPr>
          <w:color w:val="000000"/>
        </w:rPr>
        <w:t xml:space="preserve"> </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provide key operating metrics for the fertilizer and major industrial products, the increase or decrease between those periods, and the percentage increase or decrease between those periods with respect to each line item:</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145" w:type="dxa"/>
        <w:jc w:val="left"/>
        <w:tblInd w:w="0" w:type="dxa"/>
        <w:tblLayout w:type="fixed"/>
        <w:tblCellMar>
          <w:top w:w="28" w:type="dxa"/>
          <w:left w:w="28" w:type="dxa"/>
          <w:bottom w:w="28" w:type="dxa"/>
          <w:right w:w="28" w:type="dxa"/>
        </w:tblCellMar>
      </w:tblPr>
      <w:tblGrid>
        <w:gridCol w:w="2796"/>
        <w:gridCol w:w="146"/>
        <w:gridCol w:w="946"/>
        <w:gridCol w:w="177"/>
        <w:gridCol w:w="946"/>
        <w:gridCol w:w="146"/>
        <w:gridCol w:w="796"/>
        <w:gridCol w:w="146"/>
        <w:gridCol w:w="104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Product (tons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Change</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312,040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300,372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139,472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(17)%</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751,884</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5 %</w:t>
            </w:r>
          </w:p>
        </w:tc>
      </w:tr>
    </w:tbl>
    <w:p>
      <w:pPr>
        <w:pStyle w:val="TextBody"/>
        <w:bidi w:val="0"/>
        <w:spacing w:before="120" w:after="283"/>
        <w:jc w:val="left"/>
        <w:rPr/>
      </w:pPr>
      <w:r>
        <w:rPr/>
        <w:t> </w:t>
      </w:r>
    </w:p>
    <w:tbl>
      <w:tblPr>
        <w:tblW w:w="7296" w:type="dxa"/>
        <w:jc w:val="left"/>
        <w:tblInd w:w="0" w:type="dxa"/>
        <w:tblLayout w:type="fixed"/>
        <w:tblCellMar>
          <w:top w:w="28" w:type="dxa"/>
          <w:left w:w="28" w:type="dxa"/>
          <w:bottom w:w="28" w:type="dxa"/>
          <w:right w:w="28" w:type="dxa"/>
        </w:tblCellMar>
      </w:tblPr>
      <w:tblGrid>
        <w:gridCol w:w="3166"/>
        <w:gridCol w:w="146"/>
        <w:gridCol w:w="909"/>
        <w:gridCol w:w="252"/>
        <w:gridCol w:w="909"/>
        <w:gridCol w:w="146"/>
        <w:gridCol w:w="661"/>
        <w:gridCol w:w="146"/>
        <w:gridCol w:w="96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Gross Average Selling Prices (price per 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Change</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6 %</w:t>
            </w:r>
          </w:p>
        </w:tc>
      </w:tr>
    </w:tbl>
    <w:p>
      <w:pPr>
        <w:pStyle w:val="TextBody"/>
        <w:bidi w:val="0"/>
        <w:spacing w:before="120" w:after="283"/>
        <w:jc w:val="left"/>
        <w:rPr/>
      </w:pPr>
      <w:r>
        <w:rPr/>
        <w:t> </w:t>
      </w:r>
    </w:p>
    <w:tbl>
      <w:tblPr>
        <w:tblW w:w="7176" w:type="dxa"/>
        <w:jc w:val="left"/>
        <w:tblInd w:w="0" w:type="dxa"/>
        <w:tblLayout w:type="fixed"/>
        <w:tblCellMar>
          <w:top w:w="28" w:type="dxa"/>
          <w:left w:w="28" w:type="dxa"/>
          <w:bottom w:w="28" w:type="dxa"/>
          <w:right w:w="28" w:type="dxa"/>
        </w:tblCellMar>
      </w:tblPr>
      <w:tblGrid>
        <w:gridCol w:w="3046"/>
        <w:gridCol w:w="146"/>
        <w:gridCol w:w="909"/>
        <w:gridCol w:w="252"/>
        <w:gridCol w:w="909"/>
        <w:gridCol w:w="146"/>
        <w:gridCol w:w="661"/>
        <w:gridCol w:w="146"/>
        <w:gridCol w:w="96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0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Average Benchmark Prices (price per ton)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Change</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Tampa Ammonia Benchmark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0 %</w:t>
            </w:r>
          </w:p>
        </w:tc>
      </w:tr>
      <w:tr>
        <w:trPr/>
        <w:tc>
          <w:tcPr>
            <w:tcW w:w="3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NOLA UAN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of our primary products increased during the first half of 2025 compared to the prior year period driven by the impact of higher volumes for UAN and our AN &amp; Nitric Acid product group and improved pricing for UAN and ammonia. Partially offsetting this increase was lower pricing for our AN &amp; Nitric Acid product group and lower ammonia sales volumes. Additionally, we benefited from a healthy increase in downstream upgraded product production volumes.</w:t>
      </w:r>
    </w:p>
    <w:p>
      <w:pPr>
        <w:pStyle w:val="TextBody"/>
        <w:bidi w:val="0"/>
        <w:spacing w:before="120" w:after="283"/>
        <w:jc w:val="left"/>
        <w:rPr>
          <w:rFonts w:ascii="Times New Roman" w:hAnsi="Times New Roman"/>
          <w:sz w:val="20"/>
        </w:rPr>
      </w:pPr>
      <w:r>
        <w:rPr>
          <w:rFonts w:ascii="Times New Roman" w:hAnsi="Times New Roman"/>
          <w:b/>
          <w:i/>
          <w:color w:val="000000"/>
          <w:sz w:val="20"/>
        </w:rPr>
        <w:t>Gross Profit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noted in the table above, we recognized a gross profit of $37.6 million for the first half of 2025 compared to $49.7 million for the same period in 2024, a $12.1 million reduction. Overall, our gross profit percentage was 12.7% compared to a gross profit percentage of 17.9% for the same period in 2024. Our adjusted gross profit percentage was 28.1% for the first half of 2025 compared to 32.3% for the same period in 2024. Our gross profit for the first half of 2025 was lower compared to the same period of 2024 primarily due to higher natural gas costs and higher depreciation due to recent investments in our facilities. These cost increases were partially offset by higher net sales.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SG&amp;A expenses were $20.0 million for the first half of 2025, a decrease of $1.8 million compared to the same period in 2024. The net decrease was primarily driven by decreases in professional fees, insurance and other miscellaneous expenses items, partially offset by an increase in payroll related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the first half of 2025 was $16.0 million compared to $18.1 million for the same period in 2024. The decrease primarily related to reduced interest expense as a result of repurchases of Senior Secured Notes made during 2024 and the second quarter of 2025.</w:t>
      </w:r>
    </w:p>
    <w:p>
      <w:pPr>
        <w:pStyle w:val="TextBody"/>
        <w:bidi w:val="0"/>
        <w:spacing w:before="120" w:after="283"/>
        <w:jc w:val="left"/>
        <w:rPr>
          <w:rFonts w:ascii="Times New Roman" w:hAnsi="Times New Roman"/>
          <w:sz w:val="20"/>
        </w:rPr>
      </w:pPr>
      <w:r>
        <w:rPr>
          <w:rFonts w:ascii="Times New Roman" w:hAnsi="Times New Roman"/>
          <w:b/>
          <w:i/>
          <w:color w:val="000000"/>
          <w:sz w:val="20"/>
        </w:rPr>
        <w:t>(Loss) gain on Extinguishment of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half of 2025, we repurchased $32.4 million in principal amount of our Senior Secured Notes for approximately $32.1 million, which was accounted for as an extinguishment of debt. Including our write-off of the associated remaining portion of unamortized debt issuance costs, we recognized a loss on extinguishment of debt of approximately $0.1 million. During the first half of 2024, we repurchased $96.6 million of our Senior Secured Notes through open market transactions for approximately $92.2 million. As a result, we recognized a gain on extinguishment of debt, net of issuance costs, of approximately $3.0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expense, net during the first half of 2025 and 2024 consisted primarily of asset write-downs related to assets no longer being used in operations. The asset write downs were lower in the first half of 2025 compared to the first half of 2024 while the write-downs in the first half of 2024 were partially offset by higher short-term rental income from railcar subleases.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Non-operating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Non-operating other income, net for the first half of 2025 was $3.2 million compared to $6.5 million for the same period of 2024, primarily related to interest income earned during both periods from our short-term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 for income taxes for the first half of 2025 was $0.8 million compared to $1.9 million for the same period of 2024. The resulting effective tax rate for the first half 2025 was 37.0% compared to 10.9% for the same period of 2024. For the first half of 2025, the effective tax rate is higher than the statutory rate primarily due to nondeductible compensation expense and state taxes. For the first half of 2024, the effective tax rate is lower than the statutory rate primarily due to nondeductible compensation and deferred benefits from state tax law changes. See discussion in Note 7.</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 activities for the six months ended June 30:</w:t>
      </w:r>
    </w:p>
    <w:p>
      <w:pPr>
        <w:pStyle w:val="TextBody"/>
        <w:bidi w:val="0"/>
        <w:jc w:val="both"/>
        <w:rPr/>
      </w:pPr>
      <w:r>
        <w:rPr/>
        <w:t> </w:t>
      </w:r>
    </w:p>
    <w:tbl>
      <w:tblPr>
        <w:tblW w:w="7363" w:type="dxa"/>
        <w:jc w:val="left"/>
        <w:tblInd w:w="0" w:type="dxa"/>
        <w:tblLayout w:type="fixed"/>
        <w:tblCellMar>
          <w:top w:w="28" w:type="dxa"/>
          <w:left w:w="28" w:type="dxa"/>
          <w:bottom w:w="28" w:type="dxa"/>
          <w:right w:w="28" w:type="dxa"/>
        </w:tblCellMar>
      </w:tblPr>
      <w:tblGrid>
        <w:gridCol w:w="3331"/>
        <w:gridCol w:w="146"/>
        <w:gridCol w:w="211"/>
        <w:gridCol w:w="736"/>
        <w:gridCol w:w="166"/>
        <w:gridCol w:w="146"/>
        <w:gridCol w:w="211"/>
        <w:gridCol w:w="841"/>
        <w:gridCol w:w="166"/>
        <w:gridCol w:w="146"/>
        <w:gridCol w:w="211"/>
        <w:gridCol w:w="841"/>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(163,960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u w:val="single"/>
        </w:rPr>
        <w:t>Net Cash Flow from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$25.0 million for the first six months of 2025 compared to $65.5 million for the same period of 2024, a change of $40.5 million. The decrease was primarily a result of higher cost of sales, changes in working capital and lower interest income on our short-term investments.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Net Cash Flow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was $4.8 million for the first six months of 2025 compared to $168.8 million for the same period of 2024, a change of $164.0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six months of 2025, the net cash provided by investing activities primarily related to proceeds from short-term investments of $154.6 million, partially offset by purchases of short-term investments of $110.3 million and expenditures for property, plant and equipment of $39.3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six months ended 2024, the net cash provided by investing activities primarily related to proceeds from short-term investments of $236.5 million, partially offset by purchases of short-term investments of $34.7 million and expenditures for property, plant and equipment of $33.0 million.</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Net Cash Flow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by financing activities was $44.4 million for the first six months of 2025 compared to $119.0 million for the same period of 2024, a change of $74.5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six months of 2025, the net cash used by financing activities primarily consisted of repurchases of our Senior Secured Notes of $32.1 million, payments on our Secured Financing due 2025 and short-term financing of $11.3 million and $1.2 million for tax withholding obligations related to the vesting of equity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six months of 2024, the net cash used by financing activities primarily consisted of repurchases of our Senior Secured Notes of $92.2 million, payments on our Secured Financing due 2025 and short-term financing of $11.8 million, repurchases of $12.0 million of common stock and $2.2 million for tax withholding obligations related to the vesting of equity awards.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Capitalization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total cash and cash equivalents, short-term investments, long-term debt and stockholders’ equity as of June 30, 2025 and December 31, 2024:</w:t>
      </w:r>
    </w:p>
    <w:p>
      <w:pPr>
        <w:pStyle w:val="TextBody"/>
        <w:bidi w:val="0"/>
        <w:jc w:val="both"/>
        <w:rPr/>
      </w:pPr>
      <w:r>
        <w:rPr/>
        <w:t> </w:t>
      </w:r>
    </w:p>
    <w:tbl>
      <w:tblPr>
        <w:tblW w:w="8110" w:type="dxa"/>
        <w:jc w:val="left"/>
        <w:tblInd w:w="0" w:type="dxa"/>
        <w:tblLayout w:type="fixed"/>
        <w:tblCellMar>
          <w:top w:w="28" w:type="dxa"/>
          <w:left w:w="28" w:type="dxa"/>
          <w:bottom w:w="28" w:type="dxa"/>
          <w:right w:w="28" w:type="dxa"/>
        </w:tblCellMar>
      </w:tblPr>
      <w:tblGrid>
        <w:gridCol w:w="4636"/>
        <w:gridCol w:w="146"/>
        <w:gridCol w:w="303"/>
        <w:gridCol w:w="822"/>
        <w:gridCol w:w="166"/>
        <w:gridCol w:w="146"/>
        <w:gridCol w:w="403"/>
        <w:gridCol w:w="1097"/>
        <w:gridCol w:w="3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Senior Secured Notes due 2028 </w:t>
            </w: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Secured Financing due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Unamortized debt issuance costs </w:t>
            </w: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 including current portion,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(1)</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See discussion contained in Note 4.</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jc w:val="left"/>
        <w:rPr>
          <w:rFonts w:ascii="Times New Roman" w:hAnsi="Times New Roman"/>
          <w:color w:val="000000"/>
          <w:sz w:val="18"/>
        </w:rPr>
      </w:pPr>
      <w:r>
        <w:rPr>
          <w:rFonts w:ascii="Times New Roman" w:hAnsi="Times New Roman"/>
          <w:color w:val="000000"/>
          <w:sz w:val="18"/>
        </w:rPr>
        <w:t>Debt issuance costs as of June 30, 2025 and December 31, 2024 of approximately $0.6 million and $0.6 million, respectively, relating to our Revolving Credit Facility are not included in Unamortized debt issuance costs. These costs are included in our condensed consolidated balance sheets in Intangible and other assets,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 revolving credit facility pursuant to a credit agreement, dated December 21, 2023, between us and the lenders identified on the signature pages thereof and JPMorgan Chase Bank, N.A, as administrative agent (the “Revolving Credit Facility”), with a borrowing base up to an initial maximum of $75 million, with an option to increase the maximum by an additional $25 million (which amount is uncommitted). Availability under the Revolving Credit Facility is subject to a borrowing base and an availability block of $7.5 million which is applied against the $75 million initially reducing the maximum (which can be removed by us at our sole discretion, subject to the satisfaction of certain conditions). The Revolving Credit Facility provides for a sub-facility for the issuance of letters of credit in an aggregate amount not to exceed $10 million, with the outstanding amount of any such letters of credit reducing availability for borrowings. As of June 30, 2025, our Revolving Credit Facility was undrawn and had approximately $46 million of availability. See Note 4 for further discussion of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full year of 2025, we expect capital expenditures to be approximately $80 million to $90 million of which $60 million to $65 million is expected to be spent on sustaining production, with the remainder spent on growth initiatives. </w:t>
      </w:r>
    </w:p>
    <w:p>
      <w:pPr>
        <w:pStyle w:val="TextBody"/>
        <w:bidi w:val="0"/>
        <w:spacing w:before="120" w:after="283"/>
        <w:jc w:val="left"/>
        <w:rPr>
          <w:rFonts w:ascii="Times New Roman" w:hAnsi="Times New Roman"/>
          <w:color w:val="242424"/>
          <w:sz w:val="20"/>
        </w:rPr>
      </w:pPr>
      <w:r>
        <w:rPr>
          <w:rFonts w:ascii="Times New Roman" w:hAnsi="Times New Roman"/>
          <w:color w:val="242424"/>
          <w:sz w:val="20"/>
        </w:rPr>
        <w:t>From time to time, when the Company exceeds the funding threshold in our natural gas purchase commitments, the Company is required to fund cash collateral to our counterparty.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2025, we had approximately $124.9 million of cash and short-term investments. From time to time, we may seek to deploy capital through common stock repurchases or the early redemption of outstanding debt. Such repurchases may be made in open market purchases, privately negotiated transactions or otherwise and will depend on prevailing market conditions, our liquidity requirements, contractual restrictions and other factors. The amounts involved may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combination of our cash and cash equivalents, short-term investments, the availability under our Revolving Credit Facility and our cash flow from operations will be sufficient to fund our anticipated liquidity needs for the next twelve months including the full repayment of the Secured Financing due 2025 in August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Compliance with Long-Term Debt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4, the Revolving Credit Facility requires, among other things, that we meet a financial covenant. The Revolving Credit Facility does not include financial covenant requirements unless a defined covenant trigger event has occurred and is continuing. As of June 30, 2025, no trigger event had occurred.</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Loan Agreements</w:t>
      </w:r>
    </w:p>
    <w:p>
      <w:pPr>
        <w:pStyle w:val="TextBody"/>
        <w:bidi w:val="0"/>
        <w:spacing w:before="120" w:after="283"/>
        <w:jc w:val="left"/>
        <w:rPr>
          <w:rFonts w:ascii="Times New Roman" w:hAnsi="Times New Roman"/>
          <w:sz w:val="20"/>
        </w:rPr>
      </w:pPr>
      <w:r>
        <w:rPr>
          <w:rFonts w:ascii="Times New Roman" w:hAnsi="Times New Roman"/>
          <w:b/>
          <w:color w:val="000000"/>
          <w:sz w:val="20"/>
        </w:rPr>
        <w:t>Senior Secured Notes due 2028</w:t>
      </w:r>
      <w:r>
        <w:rPr>
          <w:rFonts w:ascii="Times New Roman" w:hAnsi="Times New Roman"/>
          <w:color w:val="000000"/>
          <w:sz w:val="20"/>
        </w:rPr>
        <w:t xml:space="preserve"> – LSB had $446.1 million aggregate principal amount of Senior Secured Notes outstanding as of June 30, 2025. Interest is to be paid semiannually in arrears on May 15</w:t>
      </w:r>
      <w:r>
        <w:rPr>
          <w:rFonts w:ascii="Times New Roman" w:hAnsi="Times New Roman"/>
          <w:color w:val="000000"/>
          <w:sz w:val="11"/>
        </w:rPr>
        <w:t>th</w:t>
      </w:r>
      <w:r>
        <w:rPr>
          <w:rFonts w:ascii="Times New Roman" w:hAnsi="Times New Roman"/>
          <w:color w:val="000000"/>
          <w:sz w:val="20"/>
        </w:rPr>
        <w:t xml:space="preserve"> and October 15</w:t>
      </w:r>
      <w:r>
        <w:rPr>
          <w:rFonts w:ascii="Times New Roman" w:hAnsi="Times New Roman"/>
          <w:color w:val="000000"/>
          <w:sz w:val="11"/>
        </w:rPr>
        <w:t>th</w:t>
      </w:r>
      <w:r>
        <w:rPr>
          <w:rFonts w:ascii="Times New Roman" w:hAnsi="Times New Roman"/>
          <w:color w:val="000000"/>
          <w:sz w:val="13"/>
        </w:rPr>
        <w:t xml:space="preserve">. </w:t>
      </w:r>
      <w:r>
        <w:rPr>
          <w:rFonts w:ascii="Times New Roman" w:hAnsi="Times New Roman"/>
          <w:color w:val="000000"/>
          <w:sz w:val="20"/>
        </w:rPr>
        <w:t xml:space="preserve">The Senior Secured Notes mature on October 15, 2028.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Secured Financing due 2025 – </w:t>
      </w:r>
      <w:r>
        <w:rPr>
          <w:rFonts w:ascii="Times New Roman" w:hAnsi="Times New Roman"/>
          <w:color w:val="000000"/>
          <w:sz w:val="20"/>
        </w:rPr>
        <w:t xml:space="preserve">We are a party to a $30 million secured financing arrangement with an affiliate of Eldridge (the “Secured Financing due 2025”). Principal and interest are payable in 60 equal monthly installments with a final balloon payment of approximately $5 million due in August 2025.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Revolving Credit Facility – </w:t>
      </w:r>
      <w:r>
        <w:rPr>
          <w:rFonts w:ascii="Times New Roman" w:hAnsi="Times New Roman"/>
          <w:color w:val="000000"/>
          <w:sz w:val="20"/>
        </w:rPr>
        <w:t>At June 30, 2025, our Revolving Credit Facility was undrawn and had approximately $46 million of availability, based on our eligible collateral, less outstanding letters of credit as of that date. Also see discussion above under “Compliance with Long-Term Debt Covenants.”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Finance Leases – </w:t>
      </w:r>
      <w:r>
        <w:rPr>
          <w:rFonts w:ascii="Times New Roman" w:hAnsi="Times New Roman"/>
          <w:color w:val="000000"/>
          <w:sz w:val="20"/>
        </w:rPr>
        <w:t>Our finance leases consist primarily of leases on railcars. Most of our railcar leases are classified as operating leases.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Capital Expenditures – First Six Months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first six months of 2025, capital expenditures relating to property, plant and equipment were $39.3 million. The capital expenditures were funded primarily from cash and working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discussion above under “Capitalization” for our total expected capital expenditures for the remainder of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 and Debt Repurchases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our Board of Directors authorized a $150 million stock repurchase program. The program is intended as a means to maximize stockholder value by returning capital to stockholders. Under the repurchase program, we are authorized to purchase shares from time to time through open market or privately negotiated transactions. Such purchases may be made pursuant to Rule 10b5-1 plans or other means as determined by our management and in accordance with the requirements of the Securities and Exchange Commission (the “SEC”). The repurchase program does not obligate us to purchase any particular number or type of securities. During the six months ended June 30, 2025, we did not repurchase any of our shares of common stock. The repurchase program may be suspended, terminated or modified at any time for any reason.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we repurchased $32.4 million in principal amount of our Senior Secured Notes for approximately $32.1 million, which was accounted for as an extinguishment of debt. The debt repurchase was intended as a means to deleverage our balance sheet and reduce future interest costs while maintaining a balanced capital allocation strategy that provides an appropriate level of liquidity to fund our operations and future growth opportunities.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Expenses Associated with Environmental Regulatory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specific federal and state environmental compliance laws, regulations and guidelines. As a result, our expenses were $1.9 million for the first six months ended June 30, 2025 in connection with environmental projects. For the remainder of 2025, we expect to incur expenses ranging from $2.1 million to $2.3 million in connection with additional environmental projects. However, it is possible that the actual costs could be significantly different than our estimates.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sales of fertilizer products to the agricultural industry are seasonal, while sales into the industrial sectors generally are less susceptible to seasonal fluctuations. The selling seasons for fertilizer products are primarily during the spring and fall planting seasons, which typically extend from March through June and from September through November in the geographical markets where we distribute the majority of our fertilizer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Performance and Payment Bonds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June 30, 2025, we have agreed to indemnify the sureties for payments, up to $10.3 million, made by them in respect of such bonds.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New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1 for recently issued accounting standards.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“Critical Accounting Policies and Estimates,” Item 7 of our Form 10-K for the year ended December 31, 2024, filed with the SEC on February 27, 2025 (the “2024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matters discussed under footnote A of Note 5. </w:t>
      </w:r>
    </w:p>
    <w:p>
      <w:pPr>
        <w:pStyle w:val="TextBody"/>
        <w:bidi w:val="0"/>
        <w:spacing w:before="12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 Income taxes are accounted for under the asset and liability method. Deferred 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also reasonably possible that the estimates and assumptions utilized as of June 30, 2025, could change in the near term. Actual results could differ materially from these estimates and judgments, as additional information becomes known.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uses adjusted gross profit as a supplemental measure to review and assess the performance of our core business operations and for planning purposes. We define adjusted gross profit as gross profit excluding depreciation and amortization and Turnaround expenses included in our cost of sales, which we believe are not reflective of our operating performance in a given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gross profit is a metric that provides investors with greater transparency to the information used by management in its financial and operational decision-making. We believe this metric is useful to investors because it facilitates comparisons of our core business operations across periods on a consistent basis. Management believes that the non-GAAP measure presented in this Form 10-Q, when viewed in combination with our results prepared in accordance with United States generally accepted accounting principles (“U.S. GAAP”), provides a more complete understanding of the factors and trends affecting our business and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gross profit is not a measure of financial performance under U.S. GAAP, and should not be considered a substitute for gross profit, which we consider to be the most directly comparable U.S. GAAP measure. Adjusted gross profit has limitations as an analytical tool, and when assessing our operating performance, investors should not consider adjusted gross profit in isolation, or as a substitute for gross profit prepared in accordance with U.S. GAAP. Adjusted gross profit may not be comparable to similarly titled measures of other companies and other companies may not calculate such measure in the same manner as we do.</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reconciles gross profit to adjusted gross profit. </w:t>
      </w:r>
    </w:p>
    <w:tbl>
      <w:tblPr>
        <w:tblW w:w="7031" w:type="dxa"/>
        <w:jc w:val="left"/>
        <w:tblInd w:w="0" w:type="dxa"/>
        <w:tblLayout w:type="fixed"/>
        <w:tblCellMar>
          <w:top w:w="28" w:type="dxa"/>
          <w:left w:w="28" w:type="dxa"/>
          <w:bottom w:w="28" w:type="dxa"/>
          <w:right w:w="28" w:type="dxa"/>
        </w:tblCellMar>
      </w:tblPr>
      <w:tblGrid>
        <w:gridCol w:w="4576"/>
        <w:gridCol w:w="146"/>
        <w:gridCol w:w="950"/>
        <w:gridCol w:w="205"/>
        <w:gridCol w:w="1154"/>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Gross Profit to Adjusted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23,173</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27,415</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20,617</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18,754</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Turnaround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46,429</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49,608</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 as defined in Item 303(a)(4)(ii) of Regulation S-K under the Securities Exchange Act of 1934, as amended (the “Exchange Act”).</w:t>
      </w:r>
    </w:p>
    <w:p>
      <w:pPr>
        <w:pStyle w:val="TextBody"/>
        <w:bidi w:val="0"/>
        <w:spacing w:before="120" w:after="283"/>
        <w:jc w:val="left"/>
        <w:rPr>
          <w:rFonts w:ascii="Times New Roman" w:hAnsi="Times New Roman"/>
          <w:b/>
          <w:color w:val="000000"/>
          <w:sz w:val="20"/>
          <w:u w:val="single"/>
        </w:rPr>
      </w:pPr>
      <w:bookmarkStart w:id="9" w:name="item_3_quantitative_qualitative_disclosu"/>
      <w:bookmarkEnd w:id="9"/>
      <w:r>
        <w:rPr>
          <w:rFonts w:ascii="Times New Roman" w:hAnsi="Times New Roman"/>
          <w:b/>
          <w:color w:val="000000"/>
          <w:sz w:val="20"/>
          <w:u w:val="single"/>
        </w:rPr>
        <w:t>Item 3. Quantitative and Qualitative Disclosures about Market Risk</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operating cash flows are impacted by changes in market prices of ammonia and natural gas and changes in market interest rates.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Forward Sales Commitments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Periodically, we enter into forward firm sales commitments for products to be delivered in future periods. As a result, we could be exposed to embedded losses should our product costs exceed the firm sales prices at the end of a reporting period. At June 30, 2025, we had no embedded losses associated with sales commitments with firm sales prices.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Commodity Price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and as such, are exempt from derivative accounting requirements. At June 30, 2025, we had no outstanding natural gas contracts which are subject to derivative accounting requirements.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exposed to variable interest rate risk with respect to our Revolving Credit Facility when there are outstanding borrowings. As of June 30, 2025, we had no outstanding borrowings on this credit facility and no other variable rate borrowings. We currently do not hedge our interest rate risk associated with our variable interest loan.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bookmarkStart w:id="10" w:name="item_4_controls_procedures"/>
      <w:bookmarkEnd w:id="10"/>
      <w:r>
        <w:rPr>
          <w:rFonts w:ascii="Times New Roman" w:hAnsi="Times New Roman"/>
          <w:b/>
          <w:color w:val="000000"/>
          <w:sz w:val="20"/>
          <w:u w:val="single"/>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June 30, 2025. Based on this evaluation, the Company's Chief Executive Officer and Chief Financial Officer have concluded that the Company's disclosure controls and procedures were effective as of June 30, 2025, at the reasonable assurance level. There were no changes to our internal control over financial reporting (as such term is defined in Rules 13a-15(f) and 15d-15(f) under the Exchange Act) during the quarter ended June 30, 2025, that have materially affected, or are reasonably likely to materially affect, our internal control over financial reporting.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statements contained within this report may be deemed “Forward-Looking Statements” within the meaning of U.S. federal securities laws. All statements in this report other than statements of historical fact are Forward-Looking Statements that are subject to known and unknown risks, uncertainties and other factors, many of which are difficult to predict or outside of the Company’s control, which could cause actual results and performance of the Company to differ materially from those expressed in, or implied or projected by, such statements. Any such Forward-Looking Statements are not guarantees of future performance. The words “believe,” “expect,” “anticipate,” “intend,” “plan,” “may,” “could,” and similar expressions identify Forward-Looking Statements. All Forward-Looking Statements speak only as of the date on which they are made. Forward-Looking Statements contained herein include, but are not limited to:</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our ability to invest in projects that will generate the best returns for our stockholders;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future liquidity outlook;</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outlook of our chemical products and related markets;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successfully leverage our existing business platform and portfolio of assets to produce low carbon products and execute our advanced low carbon ammonia initiatives, including our strategy to become a leader in the energy transition in the chemical industry;</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amount, timing and effect on the nitrogen market from current nitrogen expansion projects;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effect from the lack of non-seasonal volume;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belief that competition is based upon service, price, location of production and distribution sites, and product quality and performance;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outlook for the industrial end markets;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availability of raw materials;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broaden the distribution of our products, including our ability to leverage our nitric acid production capacity at our El Dorado Facility;</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expectations regarding future ammonia pricing;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result of our product and market diversification strategy;</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changes in domestic fertilizer production;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increasing output, capacity and production volumes of our existing production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moderate risk inherent in agricultural markets;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sources to fund our cash needs and how this cash will be used;</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ability to enter into the additional borrowings;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anticipated cost and timing of our capital projects;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certain costs covered under warranty provisions;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pass to our customers cost increases in the form of higher prices;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belief as to whether we have sufficient sources for materials and components;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annual natural gas requirements;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development of the market and demand for low carbon ammonia;</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compliance by our facilities with the terms of our permits;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costs of compliance with environmental laws, health laws, security regulations and transportation regulations;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belief as to when Turnarounds will be performed and completed;</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expenses in connection with environmental projects;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effect of litigation, legal actions and other contingencies on our business, financial condition, results of operations or cash flows, including the potential financial penalties associated with the NOV from ADEQ regarding wastewater discharges from our El Dorado Facility;</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comply with debt servicing and covenants, including our beliefs as to whether we can meet all required covenant tests for the next twelve months;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our ability to meet debt maturities or redemption obligations when due; and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impact of our repurchase program on our stock price and cash reserves.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general economic conditions, both domestic and foreign;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reductions in revenues;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changes in interest rates;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collect in a timely manner a material amount of receivables;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increased competitive pressures;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changes in federal, state and local laws and regulations, or in the interpretation of such laws and regulations;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laws, regulations or other issues related to climate change;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releases of pollutants into the environment exceeding our permitted limits;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increases in equipment, maintenance, operating or labor costs not presently anticipated by us;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requirement to use internally generated funds for purposes not presently anticipated;</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inability to secure additional financing for planned capital expenditures or financing obligations due in the near future;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substantial existing indebtedness;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changes in the cost of natural gas and certain precious metals;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limitations due to financial covenants;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competition;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loss of any significant customer;</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increases in cost to maintain internal control over financial reporting;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operating strategy or development plans;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an inability to fund the working capital and expansion of our businesses;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the production efficiency of our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adverse results in our contingencies including pending litigation;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unplanned downtime at one or more of our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production rates at any of our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an inability to obtain necessary raw materials and purchased components;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increases in cost of raw materials;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changes in our accounting estimates;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significant problems within our production equipment;</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fire or natural disasters;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an inability to obtain or retain our insurance coverage;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difficulty obtaining necessary permits;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difficulty obtaining third-party financing;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risks associated with proxy contests initiated by dissident stockholders;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fertilizer production;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reduction in acres planted for crops requiring fertilizer;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decreases in duties for products we sell resulting in an increase in imported products into the United States;</w:t>
      </w:r>
    </w:p>
    <w:p>
      <w:pPr>
        <w:pStyle w:val="TextBody"/>
        <w:bidi w:val="0"/>
        <w:spacing w:before="40" w:after="283"/>
        <w:jc w:val="both"/>
        <w:rPr>
          <w:color w:val="000000"/>
        </w:rPr>
      </w:pPr>
      <w:r>
        <w:rPr>
          <w:color w:val="000000"/>
        </w:rPr>
        <w:t>•</w:t>
      </w:r>
    </w:p>
    <w:p>
      <w:pPr>
        <w:pStyle w:val="TextBody"/>
        <w:bidi w:val="0"/>
        <w:spacing w:before="40" w:after="283"/>
        <w:jc w:val="both"/>
        <w:rPr/>
      </w:pPr>
      <w:r>
        <w:rPr>
          <w:rFonts w:ascii="Times New Roman" w:hAnsi="Times New Roman"/>
          <w:color w:val="000000"/>
          <w:sz w:val="20"/>
        </w:rPr>
        <w:t>adverse effects from regulatory policies, including tariffs;</w:t>
      </w:r>
      <w:r>
        <w:rPr>
          <w:color w:val="00000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geopolitical concerns;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volatility of natural gas prices;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price increases resulting from increased inflation;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weather conditions, including the effects of climate change;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increases in imported agricultural products;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global supply chain disruptions;</w:t>
      </w:r>
    </w:p>
    <w:p>
      <w:pPr>
        <w:pStyle w:val="TextBody"/>
        <w:bidi w:val="0"/>
        <w:spacing w:before="40" w:after="283"/>
        <w:jc w:val="both"/>
        <w:rPr>
          <w:color w:val="000000"/>
        </w:rPr>
      </w:pPr>
      <w:r>
        <w:rPr>
          <w:color w:val="000000"/>
        </w:rPr>
        <w:t>•</w:t>
      </w:r>
    </w:p>
    <w:p>
      <w:pPr>
        <w:pStyle w:val="TextBody"/>
        <w:bidi w:val="0"/>
        <w:spacing w:before="40" w:after="283"/>
        <w:jc w:val="both"/>
        <w:rPr/>
      </w:pPr>
      <w:r>
        <w:rPr>
          <w:rFonts w:ascii="Times New Roman" w:hAnsi="Times New Roman"/>
          <w:color w:val="000000"/>
          <w:sz w:val="20"/>
        </w:rPr>
        <w:t xml:space="preserve">other factors described in </w:t>
      </w:r>
      <w:r>
        <w:rPr>
          <w:rFonts w:ascii="Times New Roman" w:hAnsi="Times New Roman"/>
          <w:i/>
          <w:color w:val="000000"/>
          <w:sz w:val="20"/>
        </w:rPr>
        <w:t xml:space="preserve">Item 2. Management’s Discussion and Analysis of Financial Condition and Results of Operations </w:t>
      </w:r>
      <w:r>
        <w:rPr>
          <w:rFonts w:ascii="Times New Roman" w:hAnsi="Times New Roman"/>
          <w:color w:val="000000"/>
          <w:sz w:val="20"/>
        </w:rPr>
        <w:t>contained in this report; and</w:t>
      </w:r>
    </w:p>
    <w:p>
      <w:pPr>
        <w:pStyle w:val="TextBody"/>
        <w:bidi w:val="0"/>
        <w:spacing w:before="40" w:after="283"/>
        <w:jc w:val="left"/>
        <w:rPr>
          <w:color w:val="000000"/>
        </w:rPr>
      </w:pPr>
      <w:r>
        <w:rPr>
          <w:color w:val="000000"/>
        </w:rPr>
        <w:t>•</w:t>
      </w:r>
    </w:p>
    <w:p>
      <w:pPr>
        <w:pStyle w:val="TextBody"/>
        <w:bidi w:val="0"/>
        <w:spacing w:before="40" w:after="283"/>
        <w:jc w:val="left"/>
        <w:rPr/>
      </w:pPr>
      <w:r>
        <w:rPr>
          <w:rFonts w:ascii="Times New Roman" w:hAnsi="Times New Roman"/>
          <w:color w:val="000000"/>
          <w:sz w:val="20"/>
        </w:rPr>
        <w:t xml:space="preserve">other factors described in </w:t>
      </w:r>
      <w:r>
        <w:rPr>
          <w:rFonts w:ascii="Times New Roman" w:hAnsi="Times New Roman"/>
          <w:i/>
          <w:color w:val="000000"/>
          <w:sz w:val="20"/>
        </w:rPr>
        <w:t>Item 1A. Risk Factors</w:t>
      </w:r>
      <w:r>
        <w:rPr>
          <w:color w:val="000000"/>
        </w:rPr>
        <w:t xml:space="preserve"> </w:t>
      </w:r>
      <w:r>
        <w:rPr>
          <w:rFonts w:ascii="Times New Roman" w:hAnsi="Times New Roman"/>
          <w:color w:val="000000"/>
          <w:sz w:val="20"/>
        </w:rPr>
        <w:t>in our Form 10-K for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these uncertainties, all parties are cautioned not to place undue reliance on such Forward-Looking Statements. Except to the extent required by law, we disclaim any obligation to update any such factors or to publicly announce the result of any revisions to any of the Forward-Looking Statements contained herein to reflect future events or developments.</w:t>
      </w:r>
    </w:p>
    <w:p>
      <w:pPr>
        <w:pStyle w:val="TextBody"/>
        <w:bidi w:val="0"/>
        <w:spacing w:before="12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jc w:val="center"/>
        <w:rPr>
          <w:rFonts w:ascii="Times New Roman" w:hAnsi="Times New Roman"/>
          <w:b/>
          <w:color w:val="000000"/>
          <w:sz w:val="20"/>
        </w:rPr>
      </w:pPr>
      <w:r>
        <w:rPr>
          <w:rFonts w:ascii="Times New Roman" w:hAnsi="Times New Roman"/>
          <w:b/>
          <w:color w:val="000000"/>
          <w:sz w:val="20"/>
        </w:rPr>
        <w:t>OTHER INFORMATION</w:t>
      </w:r>
    </w:p>
    <w:p>
      <w:pPr>
        <w:pStyle w:val="TextBody"/>
        <w:bidi w:val="0"/>
        <w:jc w:val="both"/>
        <w:rPr/>
      </w:pPr>
      <w:r>
        <w:rPr/>
        <w:t> </w:t>
      </w:r>
    </w:p>
    <w:p>
      <w:pPr>
        <w:pStyle w:val="TextBody"/>
        <w:bidi w:val="0"/>
        <w:jc w:val="both"/>
        <w:rPr>
          <w:rFonts w:ascii="Times New Roman" w:hAnsi="Times New Roman"/>
          <w:sz w:val="20"/>
        </w:rPr>
      </w:pPr>
      <w:bookmarkStart w:id="12" w:name="item_1_legal_proceedings"/>
      <w:bookmarkEnd w:id="12"/>
      <w:r>
        <w:rPr>
          <w:rFonts w:ascii="Times New Roman" w:hAnsi="Times New Roman"/>
          <w:b/>
          <w:color w:val="000000"/>
          <w:sz w:val="20"/>
          <w:u w:val="single"/>
        </w:rPr>
        <w:t>Item 1. Legal</w:t>
      </w:r>
      <w:r>
        <w:rPr>
          <w:rFonts w:ascii="Times New Roman" w:hAnsi="Times New Roman"/>
          <w:color w:val="000000"/>
          <w:sz w:val="20"/>
          <w:u w:val="single"/>
        </w:rPr>
        <w:t xml:space="preserve"> </w:t>
      </w:r>
      <w:r>
        <w:rPr>
          <w:rFonts w:ascii="Times New Roman" w:hAnsi="Times New Roman"/>
          <w:b/>
          <w:color w:val="000000"/>
          <w:sz w:val="20"/>
          <w:u w:val="single"/>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from time to time subject to various legal proceedings and claims arising in the ordinary course of business. For further discussion of our legal matters, see “Note 5. Commitments and Contingencies—Legal Matters” in the notes to the Condensed Consolidated Financial Statements in this report. </w:t>
      </w:r>
    </w:p>
    <w:p>
      <w:pPr>
        <w:pStyle w:val="TextBody"/>
        <w:bidi w:val="0"/>
        <w:jc w:val="left"/>
        <w:rPr/>
      </w:pPr>
      <w:r>
        <w:rPr/>
        <w:t> </w:t>
      </w:r>
    </w:p>
    <w:p>
      <w:pPr>
        <w:pStyle w:val="TextBody"/>
        <w:bidi w:val="0"/>
        <w:jc w:val="left"/>
        <w:rPr>
          <w:rFonts w:ascii="Times New Roman" w:hAnsi="Times New Roman"/>
          <w:sz w:val="20"/>
        </w:rPr>
      </w:pPr>
      <w:bookmarkStart w:id="13" w:name="item_1a_risk_factors"/>
      <w:bookmarkEnd w:id="13"/>
      <w:r>
        <w:rPr>
          <w:rFonts w:ascii="Times New Roman" w:hAnsi="Times New Roman"/>
          <w:b/>
          <w:color w:val="000000"/>
          <w:sz w:val="20"/>
          <w:u w:val="single"/>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Reference is made to Item 1A of our 2024 Form 10-K filed with the SEC on February 27, 2025. Except as set forth below, there were no material changes from the risk factors disclosed in our 2024 Form 10-K.</w:t>
      </w:r>
    </w:p>
    <w:p>
      <w:pPr>
        <w:pStyle w:val="TextBody"/>
        <w:bidi w:val="0"/>
        <w:spacing w:before="120" w:after="283"/>
        <w:jc w:val="left"/>
        <w:rPr>
          <w:rFonts w:ascii="Times New Roman" w:hAnsi="Times New Roman"/>
          <w:sz w:val="20"/>
        </w:rPr>
      </w:pPr>
      <w:r>
        <w:rPr>
          <w:rFonts w:ascii="Times New Roman" w:hAnsi="Times New Roman"/>
          <w:b/>
          <w:color w:val="000000"/>
          <w:sz w:val="20"/>
        </w:rPr>
        <w:t>Our business and customers are sensitive to adverse economic cycles and a prolonged deterioration of global market and economic conditions could have a material adverse effect on our business, financial condition, results of operations and cash flow</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our business is affected by cyclical factors such as inflation, currency exchange rates, global energy policy and costs, regulatory policies (including tariffs), global market conditions and economic downturns in specific industries. Certain sales are sensitive to the level of activity in the agricultural, mining, automotive and housing industries. Therefore, substantial changes in these macroeconomic factors could adversely affect our operating results, liquidity, financial condition and capital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slowdown of, or persistent weakness in, economic activity caused by a deterioration of global market and economic conditions could adversely affect our business in the following ways, among others: conditions in the credit markets could impact the ability of our customers and their customers to obtain sufficient credit to support their operations; the failure of our customers to fulfill their purchase obligations could result in increases in bad debts and affect our working capital; and the failure of certain key suppliers could increase our exposure to disruptions in supply or to financial losses. We also may experience declining demand and falling prices for some of our products due to our customers’ reluctance to replenish inventories. The overall impact of a global economic downturn or reduced overall global trade on us is difficult to predict, and our business could be materially adversely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conditions in the international market for nitrogen fertilizer significantly influence our operating results. The international market for fertilizers is influenced by such factors as the relative value of the U.S. currency and its impact on the importation of fertilizers, foreign agricultural policies, the existence of, or changes in, import or foreign currency exchange barriers in certain foreign markets and other regulatory policies (including tariffs) of foreign governments, as well as the U.S. laws and policies affecting foreign trade and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the U.S. government recently announced and, in some cases, implemented tariffs on certain products from various countries, which resulted in certain affected countries imposing or threatening to impose retaliatory or reciprocal tariffs on products from the U.S., including agricultural products such as corn. The trade policies and tariff initiatives of the current Presidential administration could adversely affect certain markets within which we operate. Specifically, the imposition of tariffs on agricultural products, including any retaliatory or reciprocal tariffs imposed by other countries, could impact the selling prices of our products or the cost of imported components or equipment used in our capital activities. In addition, such policies could lead to reduced demand for agricultural and consumer products, increase input costs for our customers, and disrupt supply chains.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ultimate impact of changing trade policies on our business will depend on various factors, including the magnitude, duration and nature of tariffs. While we actively monitor these developments, we may not be able to fully mitigate the adverse impact of potential tariff initiatives or other trade-related disruptions.</w:t>
      </w:r>
    </w:p>
    <w:p>
      <w:pPr>
        <w:pStyle w:val="TextBody"/>
        <w:bidi w:val="0"/>
        <w:spacing w:before="120" w:after="283"/>
        <w:jc w:val="left"/>
        <w:rPr>
          <w:rFonts w:ascii="Times New Roman" w:hAnsi="Times New Roman"/>
          <w:sz w:val="20"/>
        </w:rPr>
      </w:pPr>
      <w:bookmarkStart w:id="14" w:name="item_2_unregistered_sales_equity_securit"/>
      <w:bookmarkEnd w:id="14"/>
      <w:r>
        <w:rPr>
          <w:rFonts w:ascii="Times New Roman" w:hAnsi="Times New Roman"/>
          <w:b/>
          <w:color w:val="000000"/>
          <w:sz w:val="20"/>
          <w:u w:val="single"/>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15, 2025, we issued an aggregate of 83,800 restricted stock units under the LSB Industries, Inc. 2025 Long-Term Incentive Plan to certain non-employee directors as compensation for their service on our board of directors for the 2025 fiscal year. The restricted stock units were issued pursuant to the exemption from registration under Section 4(a)(2) of the Securities Act of 1933, as amended. Each restricted stock unit represents the right to receive one share of common stock.</w:t>
      </w:r>
    </w:p>
    <w:p>
      <w:pPr>
        <w:pStyle w:val="TextBody"/>
        <w:bidi w:val="0"/>
        <w:spacing w:before="120" w:after="283"/>
        <w:jc w:val="both"/>
        <w:rPr>
          <w:rFonts w:ascii="Times New Roman" w:hAnsi="Times New Roman"/>
          <w:b/>
          <w:color w:val="000000"/>
          <w:sz w:val="20"/>
          <w:u w:val="single"/>
        </w:rPr>
      </w:pPr>
      <w:bookmarkStart w:id="15" w:name="item_3_defaults_upon_senior_securities"/>
      <w:bookmarkEnd w:id="15"/>
      <w:r>
        <w:rPr>
          <w:rFonts w:ascii="Times New Roman" w:hAnsi="Times New Roman"/>
          <w:b/>
          <w:color w:val="000000"/>
          <w:sz w:val="20"/>
          <w:u w:val="single"/>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b/>
          <w:color w:val="000000"/>
          <w:sz w:val="20"/>
          <w:u w:val="single"/>
        </w:rPr>
      </w:pPr>
      <w:bookmarkStart w:id="16" w:name="item_4_mine_safety_disclosures"/>
      <w:bookmarkEnd w:id="16"/>
      <w:r>
        <w:rPr>
          <w:rFonts w:ascii="Times New Roman" w:hAnsi="Times New Roman"/>
          <w:b/>
          <w:color w:val="000000"/>
          <w:sz w:val="20"/>
          <w:u w:val="single"/>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7" w:name="item_5_orinformation"/>
      <w:bookmarkEnd w:id="17"/>
      <w:r>
        <w:rPr>
          <w:rFonts w:ascii="Times New Roman" w:hAnsi="Times New Roman"/>
          <w:b/>
          <w:color w:val="000000"/>
          <w:sz w:val="20"/>
          <w:u w:val="single"/>
        </w:rPr>
        <w:t>Item 5. Other</w:t>
      </w:r>
      <w:r>
        <w:rPr>
          <w:rFonts w:ascii="Times New Roman" w:hAnsi="Times New Roman"/>
          <w:color w:val="000000"/>
          <w:sz w:val="20"/>
          <w:u w:val="single"/>
        </w:rPr>
        <w:t xml:space="preserve"> </w:t>
      </w:r>
      <w:r>
        <w:rPr>
          <w:rFonts w:ascii="Times New Roman" w:hAnsi="Times New Roman"/>
          <w:b/>
          <w:color w:val="000000"/>
          <w:sz w:val="20"/>
          <w:u w:val="single"/>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Adoption of 10b5-1 Trading Plans by Our Officers and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11, 2025, Michael J. Foster, our Executive Vice President, General Counsel and Secretary, entered into a Rule 10b5-1 trading plan that is intended to satisfy the affirmative defense of Rule 10b5-1(c) and provides that Mr. Foster, acting through a broker, may sell up to an aggregate of 30,000 shares of our common stock, subject to adjustments for stock splits, stock combinations, stock dividends and other similar changes to our common stock. Sales of shares under the plan may only occur from September 10, 2025 to September 10, 2026. The plan is scheduled to terminate on September 10, 2026, subject to earlier termination upon the sale of all shares subject to the plan or the expiration of all sale orders under the plan, upon termination by Mr. Foster or the broker, or as otherwise provided in the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as described above, during the three months ended June 30, 2025, none of the Company’s directors or executive officers adopted or terminated a “Rule 10b5-1 trading arrangement” or “non-Rule 10b5-1 trading arrangement,” as each term is defined in Item 408(a) of Regulation S-K.</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bookmarkStart w:id="18" w:name="item_6exhibits"/>
      <w:bookmarkEnd w:id="18"/>
      <w:r>
        <w:rPr>
          <w:rFonts w:ascii="Times New Roman" w:hAnsi="Times New Roman"/>
          <w:b/>
          <w:color w:val="000000"/>
          <w:sz w:val="20"/>
          <w:u w:val="single"/>
        </w:rPr>
        <w:t>Item 6. 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 “Index to Exhibits” on page 36. </w:t>
      </w:r>
    </w:p>
    <w:p>
      <w:pPr>
        <w:pStyle w:val="TextBody"/>
        <w:bidi w:val="0"/>
        <w:jc w:val="both"/>
        <w:rPr/>
      </w:pPr>
      <w:r>
        <w:rPr/>
        <w:t> </w:t>
      </w:r>
    </w:p>
    <w:p>
      <w:pPr>
        <w:pStyle w:val="TextBody"/>
        <w:bidi w:val="0"/>
        <w:jc w:val="both"/>
        <w:rPr>
          <w:rFonts w:ascii="Times New Roman" w:hAnsi="Times New Roman"/>
          <w:sz w:val="20"/>
        </w:rPr>
      </w:pPr>
      <w:bookmarkStart w:id="19" w:name="index_item_6"/>
      <w:bookmarkStart w:id="20" w:name="item_5_or_information"/>
      <w:bookmarkEnd w:id="19"/>
      <w:bookmarkEnd w:id="20"/>
      <w:r>
        <w:rPr>
          <w:rFonts w:ascii="Times New Roman" w:hAnsi="Times New Roman"/>
          <w:b/>
          <w:color w:val="000000"/>
          <w:sz w:val="20"/>
          <w:u w:val="single"/>
        </w:rPr>
        <w:t>Index to Exhibits Item 6.</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40"/>
        <w:gridCol w:w="146"/>
        <w:gridCol w:w="5645"/>
        <w:gridCol w:w="146"/>
        <w:gridCol w:w="3428"/>
      </w:tblGrid>
      <w:tr>
        <w:trPr/>
        <w:tc>
          <w:tcPr>
            <w:tcW w:w="84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28" w:type="dxa"/>
            <w:tcBorders/>
            <w:shd w:fill="FFFFFF" w:val="clear"/>
            <w:vAlign w:val="center"/>
          </w:tcPr>
          <w:p>
            <w:pPr>
              <w:pStyle w:val="TableContents"/>
              <w:bidi w:val="0"/>
              <w:spacing w:before="0" w:after="283"/>
              <w:jc w:val="left"/>
              <w:rPr>
                <w:sz w:val="4"/>
                <w:szCs w:val="4"/>
              </w:rPr>
            </w:pPr>
            <w:r>
              <w:rPr>
                <w:sz w:val="4"/>
                <w:szCs w:val="4"/>
              </w:rPr>
            </w:r>
          </w:p>
        </w:tc>
      </w:tr>
      <w:tr>
        <w:trPr/>
        <w:tc>
          <w:tcPr>
            <w:tcW w:w="84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4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the Following</w:t>
            </w:r>
          </w:p>
        </w:tc>
      </w:tr>
      <w:tr>
        <w:trPr/>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LSB Industries, Inc., dated January 21, 1977, as amended August 27, 1987</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3(i).1 to the Company’s Form 10-K filed on February 28, 2013</w:t>
            </w:r>
          </w:p>
        </w:tc>
      </w:tr>
      <w:tr>
        <w:trPr/>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Restated Certificate of Incorporation of LSB Industries, dated September 23, 2021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3(i).2 to the Company’s Registration Statement on Form S-3 filed on November 16, 2021</w:t>
            </w:r>
          </w:p>
        </w:tc>
      </w:tr>
      <w:tr>
        <w:trPr/>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3(ii).1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Second Amended and Restated Bylaws of LSB Industries, Inc., as amended by the December 17, 2024 amendment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3(ii).1 to the Company’s Form 10-K filed February 27, 2025</w:t>
            </w:r>
          </w:p>
        </w:tc>
      </w:tr>
      <w:tr>
        <w:trPr/>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LSB Industries, Inc. 2025 Long Term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 to the Company’s Registration Statement on Form S-8 filed on June 25, 2025</w:t>
            </w:r>
          </w:p>
        </w:tc>
      </w:tr>
      <w:tr>
        <w:trPr/>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10.2(a)+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hyperlink w:anchor="lxu-ex10_2.htm">
              <w:r>
                <w:rPr>
                  <w:rStyle w:val="InternetLink"/>
                  <w:rFonts w:ascii="Times New Roman" w:hAnsi="Times New Roman"/>
                  <w:color w:val="0000FF"/>
                  <w:sz w:val="20"/>
                  <w:u w:val="single"/>
                </w:rPr>
                <w:t>Form of Restricted Stock Unit Agreement (Directors) under the LSB Industries, Inc. 2025 Long Term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10.3(a)+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hyperlink w:anchor="lxu-ex10_3.htm">
              <w:r>
                <w:rPr>
                  <w:rStyle w:val="InternetLink"/>
                  <w:rFonts w:ascii="Times New Roman" w:hAnsi="Times New Roman"/>
                  <w:color w:val="0000FF"/>
                  <w:sz w:val="20"/>
                  <w:u w:val="single"/>
                </w:rPr>
                <w:t>Form of Restricted Stock Unit Agreement (Executives Officers) under the LSB Industries, Inc. 2025 Long Term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10.4(a)+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hyperlink w:anchor="lxu-ex10_4.htm">
              <w:r>
                <w:rPr>
                  <w:rStyle w:val="InternetLink"/>
                  <w:rFonts w:ascii="Times New Roman" w:hAnsi="Times New Roman"/>
                  <w:color w:val="0000FF"/>
                  <w:sz w:val="20"/>
                  <w:u w:val="single"/>
                </w:rPr>
                <w:t>Form of Restricted Stock Unit Agreement (Employees) under the LSB Industries, Inc. 2025 Long Term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31.1(a)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pPr>
            <w:hyperlink w:anchor="lxu-ex31_1.htm">
              <w:r>
                <w:rPr>
                  <w:rStyle w:val="InternetLink"/>
                  <w:rFonts w:ascii="Times New Roman" w:hAnsi="Times New Roman"/>
                  <w:color w:val="0000FF"/>
                  <w:sz w:val="20"/>
                  <w:u w:val="single"/>
                </w:rPr>
                <w:t>Certification of Mark T. Behrman, Chief Executive Officer, pursuant to Sarbanes-Oxley Act of 2002, Section 302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31.2(a)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pPr>
            <w:hyperlink w:anchor="lxu-ex31_2.htm">
              <w:r>
                <w:rPr>
                  <w:rStyle w:val="InternetLink"/>
                  <w:rFonts w:ascii="Times New Roman" w:hAnsi="Times New Roman"/>
                  <w:color w:val="0000FF"/>
                  <w:sz w:val="20"/>
                  <w:u w:val="single"/>
                </w:rPr>
                <w:t>Certification of Cheryl A. Maguire, Chief Financial Officer, pursuant to Sarbanes-Oxley Act of 2002, Section 302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32.1(a)(b)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pPr>
            <w:hyperlink w:anchor="lxu-ex32_1.htm">
              <w:r>
                <w:rPr>
                  <w:rStyle w:val="InternetLink"/>
                  <w:rFonts w:ascii="Times New Roman" w:hAnsi="Times New Roman"/>
                  <w:color w:val="0000FF"/>
                  <w:sz w:val="20"/>
                  <w:u w:val="single"/>
                </w:rPr>
                <w:t>Certification of Mark T. Behrman, Chief Executive Officer, furnished pursuant to Sarbanes-Oxley Act of 2002, Section 906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32.2(a)(b)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pPr>
            <w:hyperlink w:anchor="lxu-ex32_2.htm">
              <w:r>
                <w:rPr>
                  <w:rStyle w:val="InternetLink"/>
                  <w:rFonts w:ascii="Times New Roman" w:hAnsi="Times New Roman"/>
                  <w:color w:val="0000FF"/>
                  <w:sz w:val="20"/>
                  <w:u w:val="single"/>
                </w:rPr>
                <w:t>Certification of Cheryl A. Maguire, Chief Financial Officer, furnished pursuant to Sarbanes-Oxley Act of 2002, Section 906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101.INS(a)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101.SCH(a)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101.CAL(a)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101.DEF(a)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101.LAB(a)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Labels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101.PRE(a)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104(a)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Filed herewith or furnished herewith.</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(b)</w:t>
      </w:r>
    </w:p>
    <w:p>
      <w:pPr>
        <w:pStyle w:val="TextBody"/>
        <w:bidi w:val="0"/>
        <w:jc w:val="both"/>
        <w:rPr>
          <w:rFonts w:ascii="Times New Roman" w:hAnsi="Times New Roman"/>
          <w:color w:val="000000"/>
          <w:sz w:val="18"/>
        </w:rPr>
      </w:pPr>
      <w:r>
        <w:rPr>
          <w:rFonts w:ascii="Times New Roman" w:hAnsi="Times New Roman"/>
          <w:color w:val="000000"/>
          <w:sz w:val="18"/>
        </w:rPr>
        <w:t>The certifications attached as Exhibits 32.1 and 32.2 are not deemed “filed” with the SEC and are not to be incorporated by reference into any filing of LSB Industries, Inc. under the Securities Act of 1933, as amended, whether made before or after the date of this Quarterly Report on Form 10-Q, irrespective of any general incorporation language contained in such filing.</w:t>
      </w:r>
    </w:p>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bookmarkStart w:id="21" w:name="signatures"/>
      <w:bookmarkEnd w:id="21"/>
      <w:r>
        <w:rPr>
          <w:rFonts w:ascii="Times New Roman" w:hAnsi="Times New Roman"/>
          <w:b/>
          <w:color w:val="000000"/>
          <w:sz w:val="20"/>
          <w:u w:val="single"/>
        </w:rPr>
        <w:t>SIGNATURES</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requirements of the Securities Exchange Act of 1934, as amended, the Company has caused the undersigned, duly authorized, to sign this report on its behalf on this 30</w:t>
      </w:r>
      <w:r>
        <w:rPr>
          <w:rFonts w:ascii="Times New Roman" w:hAnsi="Times New Roman"/>
          <w:color w:val="000000"/>
          <w:sz w:val="13"/>
        </w:rPr>
        <w:t>th</w:t>
      </w:r>
      <w:r>
        <w:rPr>
          <w:rFonts w:ascii="Times New Roman" w:hAnsi="Times New Roman"/>
          <w:color w:val="000000"/>
          <w:sz w:val="20"/>
        </w:rPr>
        <w:t xml:space="preserve"> day of July 2025.</w:t>
      </w:r>
    </w:p>
    <w:p>
      <w:pPr>
        <w:pStyle w:val="TextBody"/>
        <w:bidi w:val="0"/>
        <w:jc w:val="both"/>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283"/>
              <w:jc w:val="left"/>
              <w:rPr>
                <w:sz w:val="4"/>
                <w:szCs w:val="4"/>
              </w:rPr>
            </w:pPr>
            <w:r>
              <w:rPr>
                <w:sz w:val="4"/>
                <w:szCs w:val="4"/>
              </w:rPr>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LSB INDUSTRIES, INC.</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2" w:name="lxu-ex10_2.htm"/>
      <w:bookmarkStart w:id="23" w:name="kslxuex10_2"/>
      <w:bookmarkEnd w:id="22"/>
      <w:bookmarkEnd w:id="23"/>
      <w:r>
        <w:rPr>
          <w:rFonts w:ascii="Times New Roman" w:hAnsi="Times New Roman"/>
          <w:color w:val="000000"/>
          <w:sz w:val="20"/>
        </w:rPr>
        <w:t>Exhibit 10.2</w:t>
      </w:r>
      <w:r>
        <w:br w:type="page"/>
      </w:r>
    </w:p>
    <w:p>
      <w:pPr>
        <w:pStyle w:val="TextBody"/>
        <w:bidi w:val="0"/>
        <w:jc w:val="left"/>
        <w:rPr/>
      </w:pPr>
      <w:r>
        <w:rPr/>
        <w:t> </w:t>
      </w:r>
    </w:p>
    <w:p>
      <w:pPr>
        <w:pStyle w:val="Heading1"/>
        <w:bidi w:val="0"/>
        <w:spacing w:before="240" w:after="60"/>
        <w:jc w:val="center"/>
        <w:rPr>
          <w:rFonts w:ascii="Times New Roman" w:hAnsi="Times New Roman"/>
          <w:b/>
          <w:color w:val="000000"/>
          <w:sz w:val="28"/>
        </w:rPr>
      </w:pPr>
      <w:r>
        <w:rPr>
          <w:rFonts w:ascii="Times New Roman" w:hAnsi="Times New Roman"/>
          <w:b/>
          <w:color w:val="000000"/>
          <w:sz w:val="28"/>
        </w:rPr>
        <w:t>DIRECTOR RESTRICTED STOCK UNIT</w:t>
        <w:br/>
        <w:t>AWARD AGREEMENT</w:t>
      </w:r>
    </w:p>
    <w:p>
      <w:pPr>
        <w:pStyle w:val="TextBody"/>
        <w:bidi w:val="0"/>
        <w:jc w:val="center"/>
        <w:rPr>
          <w:rFonts w:ascii="Times New Roman" w:hAnsi="Times New Roman"/>
          <w:b/>
          <w:color w:val="000000"/>
          <w:sz w:val="22"/>
        </w:rPr>
      </w:pPr>
      <w:r>
        <w:rPr>
          <w:rFonts w:ascii="Times New Roman" w:hAnsi="Times New Roman"/>
          <w:b/>
          <w:color w:val="000000"/>
          <w:sz w:val="22"/>
        </w:rPr>
        <w:t>LSB INDUSTRIES, INC.</w:t>
      </w:r>
    </w:p>
    <w:p>
      <w:pPr>
        <w:pStyle w:val="TextBody"/>
        <w:bidi w:val="0"/>
        <w:jc w:val="center"/>
        <w:rPr>
          <w:rFonts w:ascii="Times New Roman" w:hAnsi="Times New Roman"/>
          <w:b/>
          <w:color w:val="000000"/>
          <w:sz w:val="22"/>
        </w:rPr>
      </w:pPr>
      <w:r>
        <w:rPr>
          <w:rFonts w:ascii="Times New Roman" w:hAnsi="Times New Roman"/>
          <w:b/>
          <w:color w:val="000000"/>
          <w:sz w:val="22"/>
        </w:rPr>
        <w:t>2025 LONG TERM INCENTIVE PLAN</w:t>
      </w:r>
    </w:p>
    <w:p>
      <w:pPr>
        <w:pStyle w:val="TextBody"/>
        <w:bidi w:val="0"/>
        <w:spacing w:before="0" w:after="24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LSB Industries, Inc.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grants to the Participant named below (“</w:t>
      </w:r>
      <w:r>
        <w:rPr>
          <w:rFonts w:ascii="Times New Roman" w:hAnsi="Times New Roman"/>
          <w:color w:val="000000"/>
          <w:sz w:val="22"/>
          <w:u w:val="single"/>
        </w:rPr>
        <w:t>you</w:t>
      </w:r>
      <w:r>
        <w:rPr>
          <w:rFonts w:ascii="Times New Roman" w:hAnsi="Times New Roman"/>
          <w:color w:val="000000"/>
          <w:sz w:val="20"/>
        </w:rPr>
        <w:t>”</w:t>
      </w:r>
      <w:r>
        <w:rPr>
          <w:rFonts w:ascii="Times New Roman" w:hAnsi="Times New Roman"/>
          <w:color w:val="000000"/>
          <w:sz w:val="22"/>
        </w:rPr>
        <w:t>) the number of Restricted Stock Units (“</w:t>
      </w:r>
      <w:r>
        <w:rPr>
          <w:rFonts w:ascii="Times New Roman" w:hAnsi="Times New Roman"/>
          <w:color w:val="000000"/>
          <w:sz w:val="22"/>
          <w:u w:val="single"/>
        </w:rPr>
        <w:t>RSUs</w:t>
      </w:r>
      <w:r>
        <w:rPr>
          <w:rFonts w:ascii="Times New Roman" w:hAnsi="Times New Roman"/>
          <w:color w:val="000000"/>
          <w:sz w:val="20"/>
        </w:rPr>
        <w:t>”</w:t>
      </w:r>
      <w:r>
        <w:rPr>
          <w:rFonts w:ascii="Times New Roman" w:hAnsi="Times New Roman"/>
          <w:color w:val="000000"/>
          <w:sz w:val="22"/>
        </w:rPr>
        <w:t>) set forth below (the “</w:t>
      </w:r>
      <w:r>
        <w:rPr>
          <w:rFonts w:ascii="Times New Roman" w:hAnsi="Times New Roman"/>
          <w:color w:val="000000"/>
          <w:sz w:val="22"/>
          <w:u w:val="single"/>
        </w:rPr>
        <w:t>Award</w:t>
      </w:r>
      <w:r>
        <w:rPr>
          <w:rFonts w:ascii="Times New Roman" w:hAnsi="Times New Roman"/>
          <w:color w:val="000000"/>
          <w:sz w:val="20"/>
        </w:rPr>
        <w:t>”</w:t>
      </w:r>
      <w:r>
        <w:rPr>
          <w:rFonts w:ascii="Times New Roman" w:hAnsi="Times New Roman"/>
          <w:color w:val="000000"/>
          <w:sz w:val="22"/>
        </w:rPr>
        <w:t>), under this RSU Award Agreement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w:t>
      </w:r>
    </w:p>
    <w:tbl>
      <w:tblPr>
        <w:tblW w:w="10205" w:type="dxa"/>
        <w:jc w:val="left"/>
        <w:tblInd w:w="0" w:type="dxa"/>
        <w:tblLayout w:type="fixed"/>
        <w:tblCellMar>
          <w:top w:w="28" w:type="dxa"/>
          <w:left w:w="28" w:type="dxa"/>
          <w:bottom w:w="28" w:type="dxa"/>
          <w:right w:w="28" w:type="dxa"/>
        </w:tblCellMar>
      </w:tblPr>
      <w:tblGrid>
        <w:gridCol w:w="1980"/>
        <w:gridCol w:w="8225"/>
      </w:tblGrid>
      <w:tr>
        <w:trPr/>
        <w:tc>
          <w:tcPr>
            <w:tcW w:w="1980" w:type="dxa"/>
            <w:tcBorders/>
            <w:vAlign w:val="center"/>
          </w:tcPr>
          <w:p>
            <w:pPr>
              <w:pStyle w:val="TableContents"/>
              <w:bidi w:val="0"/>
              <w:spacing w:before="0" w:after="283"/>
              <w:jc w:val="left"/>
              <w:rPr>
                <w:sz w:val="4"/>
                <w:szCs w:val="4"/>
              </w:rPr>
            </w:pPr>
            <w:r>
              <w:rPr>
                <w:sz w:val="4"/>
                <w:szCs w:val="4"/>
              </w:rPr>
            </w:r>
          </w:p>
        </w:tc>
        <w:tc>
          <w:tcPr>
            <w:tcW w:w="8225" w:type="dxa"/>
            <w:tcBorders/>
            <w:vAlign w:val="center"/>
          </w:tcPr>
          <w:p>
            <w:pPr>
              <w:pStyle w:val="TableContents"/>
              <w:bidi w:val="0"/>
              <w:spacing w:before="0" w:after="283"/>
              <w:jc w:val="left"/>
              <w:rPr>
                <w:sz w:val="4"/>
                <w:szCs w:val="4"/>
              </w:rPr>
            </w:pPr>
            <w:r>
              <w:rPr>
                <w:sz w:val="4"/>
                <w:szCs w:val="4"/>
              </w:rPr>
            </w:r>
          </w:p>
        </w:tc>
      </w:tr>
      <w:tr>
        <w:trPr/>
        <w:tc>
          <w:tcPr>
            <w:tcW w:w="198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Participant:</w:t>
            </w:r>
          </w:p>
        </w:tc>
        <w:tc>
          <w:tcPr>
            <w:tcW w:w="822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[Name]</w:t>
            </w:r>
          </w:p>
        </w:tc>
      </w:tr>
      <w:tr>
        <w:trPr/>
        <w:tc>
          <w:tcPr>
            <w:tcW w:w="198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Grant Date:</w:t>
            </w:r>
          </w:p>
        </w:tc>
        <w:tc>
          <w:tcPr>
            <w:tcW w:w="82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[Date]</w:t>
            </w:r>
          </w:p>
        </w:tc>
      </w:tr>
      <w:tr>
        <w:trPr/>
        <w:tc>
          <w:tcPr>
            <w:tcW w:w="198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Total Number of RSUs:</w:t>
            </w:r>
          </w:p>
        </w:tc>
        <w:tc>
          <w:tcPr>
            <w:tcW w:w="82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w:t>
            </w:r>
          </w:p>
        </w:tc>
      </w:tr>
      <w:tr>
        <w:trPr/>
        <w:tc>
          <w:tcPr>
            <w:tcW w:w="198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Definition of RSU:</w:t>
            </w:r>
          </w:p>
        </w:tc>
        <w:tc>
          <w:tcPr>
            <w:tcW w:w="82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sz w:val="22"/>
              </w:rPr>
            </w:pPr>
            <w:r>
              <w:rPr>
                <w:rFonts w:ascii="Times New Roman" w:hAnsi="Times New Roman"/>
                <w:color w:val="000000"/>
                <w:sz w:val="22"/>
              </w:rPr>
              <w:t>Each RSU entitles you to earn and receive 1 share of Stock (a “</w:t>
            </w:r>
            <w:r>
              <w:rPr>
                <w:rFonts w:ascii="Times New Roman" w:hAnsi="Times New Roman"/>
                <w:color w:val="000000"/>
                <w:sz w:val="22"/>
                <w:u w:val="single"/>
              </w:rPr>
              <w:t>Share</w:t>
            </w:r>
            <w:r>
              <w:rPr>
                <w:rFonts w:ascii="Times New Roman" w:hAnsi="Times New Roman"/>
                <w:color w:val="000000"/>
                <w:sz w:val="22"/>
              </w:rPr>
              <w:t xml:space="preserve">”) in the future, subject to the terms of this Agreement. </w:t>
            </w:r>
          </w:p>
        </w:tc>
      </w:tr>
      <w:tr>
        <w:trPr/>
        <w:tc>
          <w:tcPr>
            <w:tcW w:w="198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Plan:</w:t>
            </w:r>
          </w:p>
        </w:tc>
        <w:tc>
          <w:tcPr>
            <w:tcW w:w="82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sz w:val="22"/>
              </w:rPr>
            </w:pPr>
            <w:r>
              <w:rPr>
                <w:rFonts w:ascii="Times New Roman" w:hAnsi="Times New Roman"/>
                <w:color w:val="000000"/>
                <w:sz w:val="22"/>
              </w:rPr>
              <w:t xml:space="preserve">LSB Industries, Inc. 2025 Long Term Incentive Plan, attached hereto as </w:t>
            </w:r>
            <w:r>
              <w:rPr>
                <w:rFonts w:ascii="Times New Roman" w:hAnsi="Times New Roman"/>
                <w:b/>
                <w:color w:val="000000"/>
                <w:sz w:val="22"/>
                <w:u w:val="single"/>
              </w:rPr>
              <w:t>Exhibit A</w:t>
            </w:r>
            <w:r>
              <w:rPr>
                <w:rFonts w:ascii="Times New Roman" w:hAnsi="Times New Roman"/>
                <w:color w:val="000000"/>
                <w:sz w:val="22"/>
              </w:rPr>
              <w:t>.</w:t>
            </w:r>
          </w:p>
        </w:tc>
      </w:tr>
      <w:tr>
        <w:trPr/>
        <w:tc>
          <w:tcPr>
            <w:tcW w:w="198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Defined Terms:</w:t>
            </w:r>
          </w:p>
        </w:tc>
        <w:tc>
          <w:tcPr>
            <w:tcW w:w="82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As set forth in the Plan, unless otherwise defined in this Agreement.</w:t>
            </w:r>
          </w:p>
        </w:tc>
      </w:tr>
      <w:tr>
        <w:trPr/>
        <w:tc>
          <w:tcPr>
            <w:tcW w:w="198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Earning and Payment of RSUs:</w:t>
            </w:r>
          </w:p>
        </w:tc>
        <w:tc>
          <w:tcPr>
            <w:tcW w:w="82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sz w:val="22"/>
              </w:rPr>
            </w:pPr>
            <w:r>
              <w:rPr>
                <w:rFonts w:ascii="Times New Roman" w:hAnsi="Times New Roman"/>
                <w:color w:val="000000"/>
                <w:sz w:val="22"/>
              </w:rPr>
              <w:t xml:space="preserve">Subject to </w:t>
            </w:r>
            <w:r>
              <w:rPr>
                <w:rFonts w:ascii="Times New Roman" w:hAnsi="Times New Roman"/>
                <w:b/>
                <w:color w:val="000000"/>
                <w:sz w:val="22"/>
              </w:rPr>
              <w:t>Accelerated Payment Events for RSUs</w:t>
            </w:r>
            <w:r>
              <w:rPr>
                <w:rFonts w:ascii="Times New Roman" w:hAnsi="Times New Roman"/>
                <w:color w:val="000000"/>
                <w:sz w:val="22"/>
              </w:rPr>
              <w:t> below, the RSUs will become earned and payable on the 1st anniversary of the Grant Date, as long as you do not have a Separation from Service before such date.</w:t>
            </w:r>
          </w:p>
        </w:tc>
      </w:tr>
      <w:tr>
        <w:trPr/>
        <w:tc>
          <w:tcPr>
            <w:tcW w:w="198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Accelerated Payment Events for RSUs:</w:t>
            </w:r>
          </w:p>
        </w:tc>
        <w:tc>
          <w:tcPr>
            <w:tcW w:w="822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Upon a Change of Control, any RSUs that remain outstanding and unearned will immediately become earned and payable in full, as long as you do not have a Separation from Service before the Change of Control.</w:t>
            </w:r>
          </w:p>
          <w:p>
            <w:pPr>
              <w:pStyle w:val="TableContents"/>
              <w:bidi w:val="0"/>
              <w:spacing w:before="0" w:after="240"/>
              <w:jc w:val="left"/>
              <w:rPr>
                <w:rFonts w:ascii="Times New Roman" w:hAnsi="Times New Roman"/>
                <w:sz w:val="22"/>
              </w:rPr>
            </w:pPr>
            <w:r>
              <w:rPr>
                <w:rFonts w:ascii="Times New Roman" w:hAnsi="Times New Roman"/>
                <w:color w:val="000000"/>
                <w:sz w:val="22"/>
              </w:rPr>
              <w:t>Upon your Separation from Service for any reason other than Cause, any RSUs that remain outstanding and unearned will immediately become earned and payable in full. “</w:t>
            </w:r>
            <w:r>
              <w:rPr>
                <w:rFonts w:ascii="Times New Roman" w:hAnsi="Times New Roman"/>
                <w:color w:val="000000"/>
                <w:sz w:val="22"/>
                <w:u w:val="single"/>
              </w:rPr>
              <w:t>Cause</w:t>
            </w:r>
            <w:r>
              <w:rPr>
                <w:rFonts w:ascii="Times New Roman" w:hAnsi="Times New Roman"/>
                <w:color w:val="000000"/>
                <w:sz w:val="22"/>
              </w:rPr>
              <w:t>” means an act or failure to act by you that constitutes cause for removal of a director under applicable Delaware law.</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0" w:after="240"/>
        <w:jc w:val="center"/>
        <w:rPr>
          <w:rFonts w:ascii="Times New Roman" w:hAnsi="Times New Roman"/>
          <w:b/>
          <w:color w:val="000000"/>
          <w:sz w:val="22"/>
        </w:rPr>
      </w:pPr>
      <w:r>
        <w:rPr>
          <w:rFonts w:ascii="Times New Roman" w:hAnsi="Times New Roman"/>
          <w:b/>
          <w:color w:val="000000"/>
          <w:sz w:val="22"/>
        </w:rPr>
        <w:t>RSU TERMS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Grant of RSUs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The Award is subject to the terms of the Plan. The terms of the Plan are incorporated into this Agreement by this reference.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You must accept the terms of this Agreement within 10 business days after the Agreement is presented to you for by returning a signed copy of this Agreement to the Company in accordance with such procedures as the Company may establish. The Committee may unilaterally cancel and forfeit all or a portion of the Award if you do not timely accept the terms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Restrictions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You will have no rights or privileges of a Stockholder as to any Shares underlying the RSUs before settlement under </w:t>
      </w:r>
      <w:r>
        <w:rPr>
          <w:rFonts w:ascii="Times New Roman" w:hAnsi="Times New Roman"/>
          <w:color w:val="000000"/>
          <w:sz w:val="22"/>
          <w:u w:val="single"/>
        </w:rPr>
        <w:t>Section 6</w:t>
      </w:r>
      <w:r>
        <w:rPr>
          <w:rFonts w:ascii="Times New Roman" w:hAnsi="Times New Roman"/>
          <w:color w:val="000000"/>
          <w:sz w:val="20"/>
        </w:rPr>
        <w:t xml:space="preserve"> </w:t>
      </w:r>
      <w:r>
        <w:rPr>
          <w:rFonts w:ascii="Times New Roman" w:hAnsi="Times New Roman"/>
          <w:color w:val="000000"/>
          <w:sz w:val="22"/>
        </w:rPr>
        <w:t>below (“</w:t>
      </w:r>
      <w:r>
        <w:rPr>
          <w:rFonts w:ascii="Times New Roman" w:hAnsi="Times New Roman"/>
          <w:color w:val="000000"/>
          <w:sz w:val="22"/>
          <w:u w:val="single"/>
        </w:rPr>
        <w:t>Settlement</w:t>
      </w:r>
      <w:r>
        <w:rPr>
          <w:rFonts w:ascii="Times New Roman" w:hAnsi="Times New Roman"/>
          <w:color w:val="000000"/>
          <w:sz w:val="20"/>
        </w:rPr>
        <w:t>”</w:t>
      </w:r>
      <w:r>
        <w:rPr>
          <w:rFonts w:ascii="Times New Roman" w:hAnsi="Times New Roman"/>
          <w:color w:val="000000"/>
          <w:sz w:val="22"/>
        </w:rPr>
        <w:t>), including no right to vote or receive dividends or other distributions; in addition, the following terms will apply: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 you will not be entitled to delivery of any Share certificates for the RSUs until Settlement (if at all), and upon the satisfaction of all other terms;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you may not sell, transfer (other than by will or the laws of descent and distribution), assign, pledge, or otherwise encumber or dispose of the RSUs or any rights under the RSUs before Settlement;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you will forfeit all of the RSUs and all of your rights under the RSUs will terminate in their entirety on the terms set forth in </w:t>
      </w:r>
      <w:r>
        <w:rPr>
          <w:rFonts w:ascii="Times New Roman" w:hAnsi="Times New Roman"/>
          <w:color w:val="000000"/>
          <w:sz w:val="22"/>
          <w:u w:val="single"/>
        </w:rPr>
        <w:t>Section 5</w:t>
      </w:r>
      <w:r>
        <w:rPr>
          <w:rFonts w:ascii="Times New Roman" w:hAnsi="Times New Roman"/>
          <w:color w:val="000000"/>
          <w:sz w:val="20"/>
        </w:rPr>
        <w:t xml:space="preserve"> </w:t>
      </w:r>
      <w:r>
        <w:rPr>
          <w:rFonts w:ascii="Times New Roman" w:hAnsi="Times New Roman"/>
          <w:color w:val="000000"/>
          <w:sz w:val="22"/>
        </w:rPr>
        <w:t xml:space="preserve">below and </w:t>
      </w:r>
      <w:r>
        <w:rPr>
          <w:rFonts w:ascii="Times New Roman" w:hAnsi="Times New Roman"/>
          <w:color w:val="000000"/>
          <w:sz w:val="22"/>
          <w:u w:val="single"/>
        </w:rPr>
        <w:t>Section 11(j)</w:t>
      </w:r>
      <w:r>
        <w:rPr>
          <w:rFonts w:ascii="Times New Roman" w:hAnsi="Times New Roman"/>
          <w:color w:val="000000"/>
          <w:sz w:val="20"/>
        </w:rPr>
        <w:t xml:space="preserve"> </w:t>
      </w:r>
      <w:r>
        <w:rPr>
          <w:rFonts w:ascii="Times New Roman" w:hAnsi="Times New Roman"/>
          <w:color w:val="000000"/>
          <w:sz w:val="22"/>
        </w:rPr>
        <w:t>below;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(iv) no Share underlying an RSU will be considered earned until the end of the Restricted Period applicable to the RSU.</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Any attempt to dispose of the RSUs, any interest in the RSUs, or any Shares in respect of the RSUs in a manner contrary to the terms of this Agreement will be void and of no effect.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Restricted Period</w:t>
      </w:r>
      <w:r>
        <w:rPr>
          <w:rFonts w:ascii="Times New Roman" w:hAnsi="Times New Roman"/>
          <w:color w:val="000000"/>
          <w:sz w:val="22"/>
        </w:rPr>
        <w:t>. The “</w:t>
      </w:r>
      <w:r>
        <w:rPr>
          <w:rFonts w:ascii="Times New Roman" w:hAnsi="Times New Roman"/>
          <w:color w:val="000000"/>
          <w:sz w:val="22"/>
          <w:u w:val="single"/>
        </w:rPr>
        <w:t>Restricted Period</w:t>
      </w:r>
      <w:r>
        <w:rPr>
          <w:rFonts w:ascii="Times New Roman" w:hAnsi="Times New Roman"/>
          <w:color w:val="000000"/>
          <w:sz w:val="20"/>
        </w:rPr>
        <w:t xml:space="preserve">” </w:t>
      </w:r>
      <w:r>
        <w:rPr>
          <w:rFonts w:ascii="Times New Roman" w:hAnsi="Times New Roman"/>
          <w:color w:val="000000"/>
          <w:sz w:val="22"/>
        </w:rPr>
        <w:t>is the period beginning on the Grant Date and ending on the date the RSUs, or such applicable portion of the RSUs, are deemed earned and payable under the terms set forth in the table above.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Dividend Equivalents</w:t>
      </w:r>
      <w:r>
        <w:rPr>
          <w:rFonts w:ascii="Times New Roman" w:hAnsi="Times New Roman"/>
          <w:color w:val="000000"/>
          <w:sz w:val="22"/>
        </w:rPr>
        <w:t>. Each RSU will be credited with any cash and stock dividends paid by the Company in respect of 1 Share (“</w:t>
      </w:r>
      <w:r>
        <w:rPr>
          <w:rFonts w:ascii="Times New Roman" w:hAnsi="Times New Roman"/>
          <w:color w:val="000000"/>
          <w:sz w:val="22"/>
          <w:u w:val="single"/>
        </w:rPr>
        <w:t>Dividend Equivalents</w:t>
      </w:r>
      <w:r>
        <w:rPr>
          <w:rFonts w:ascii="Times New Roman" w:hAnsi="Times New Roman"/>
          <w:color w:val="000000"/>
          <w:sz w:val="20"/>
        </w:rPr>
        <w:t>”</w:t>
      </w:r>
      <w:r>
        <w:rPr>
          <w:rFonts w:ascii="Times New Roman" w:hAnsi="Times New Roman"/>
          <w:color w:val="000000"/>
          <w:sz w:val="22"/>
        </w:rPr>
        <w:t>). Dividend Equivalents will be accrued by the Company and credited to you and will not bear interest. Dividend Equivalents credited to you and attributable to any particular RSU will be distributed to you in cash (or, if determined by the Committee, in Shares having a Fair Market Value equal to the amount of such Dividend Equivalents) upon Settlement of the RSU to which the Dividend Equivalent is attributable and, if the RSU is forfeited, you will have no right to such Dividend Equivalent.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Forfeiture</w:t>
      </w:r>
      <w:r>
        <w:rPr>
          <w:rFonts w:ascii="Times New Roman" w:hAnsi="Times New Roman"/>
          <w:color w:val="000000"/>
          <w:sz w:val="22"/>
        </w:rPr>
        <w:t xml:space="preserve">. If, during the Restricted Period, (a) you incur a Separation from Service (for the avoidance of doubt, which does not otherwise result in the immediate or continued earning and payment of the RSUs), (b) you materially breach this Agreement, or (c) you fail to meet the tax withholding obligations described in </w:t>
      </w:r>
      <w:r>
        <w:rPr>
          <w:rFonts w:ascii="Times New Roman" w:hAnsi="Times New Roman"/>
          <w:color w:val="000000"/>
          <w:sz w:val="22"/>
          <w:u w:val="single"/>
        </w:rPr>
        <w:t>Section 7</w:t>
      </w:r>
      <w:r>
        <w:rPr>
          <w:rFonts w:ascii="Times New Roman" w:hAnsi="Times New Roman"/>
          <w:color w:val="000000"/>
          <w:sz w:val="20"/>
        </w:rPr>
        <w:t xml:space="preserve"> </w:t>
      </w:r>
      <w:r>
        <w:rPr>
          <w:rFonts w:ascii="Times New Roman" w:hAnsi="Times New Roman"/>
          <w:color w:val="000000"/>
          <w:sz w:val="22"/>
        </w:rPr>
        <w:t>below, you will immediately and automatically forfeit all of your rights in respect of the RSUs.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Settlement of RSUs</w:t>
      </w:r>
      <w:r>
        <w:rPr>
          <w:rFonts w:ascii="Times New Roman" w:hAnsi="Times New Roman"/>
          <w:color w:val="000000"/>
          <w:sz w:val="22"/>
        </w:rPr>
        <w:t>. Settlement of RSUs under this Agreement will be subject to the following: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 xml:space="preserve">Page </w:t>
      </w:r>
      <w:r>
        <w:rPr>
          <w:rFonts w:ascii="Times New Roman" w:hAnsi="Times New Roman"/>
          <w:b/>
          <w:color w:val="000000"/>
          <w:sz w:val="24"/>
        </w:rPr>
        <w:t>2</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b/>
          <w:color w:val="000000"/>
          <w:sz w:val="24"/>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Company will deliver to you 1 Share for each RSU that has become earned and payable, as soon as administratively practicable after the end of the applicable Restricted Period.</w:t>
      </w:r>
    </w:p>
    <w:p>
      <w:pPr>
        <w:pStyle w:val="TextBody"/>
        <w:bidi w:val="0"/>
        <w:spacing w:before="0" w:after="240"/>
        <w:jc w:val="both"/>
        <w:rPr>
          <w:rFonts w:ascii="Times New Roman" w:hAnsi="Times New Roman"/>
          <w:sz w:val="20"/>
        </w:rPr>
      </w:pPr>
      <w:r>
        <w:rPr>
          <w:rFonts w:ascii="Times New Roman" w:hAnsi="Times New Roman"/>
          <w:color w:val="000000"/>
          <w:sz w:val="22"/>
        </w:rPr>
        <w:t>(b) Any issuance of Shares under the Award may be effected on a non-certificated basis, to the extent not prohibited by Applicable Law.</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2"/>
        </w:rPr>
        <w:t>(c) If a certificate for Shares is delivered to you under the Award, the certificate may bear the following or a similar legend as determined by the Company: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ownership and transferability of this certificate and the shares of stock represented hereby are subject to the terms (including forfeiture) of the LSB Industries, Inc. 2025 Long Term Incentive Plan and an RSU award agreement entered into between the registered owner and LSB Industries, Inc. Copies of such plan and agreement are on file in the executive offices of LSB Industries, Inc.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addition, any stock certificates for Shares will be subject to any stop-transfer orders and other restrictions as the Company may deem advisable under applicable law, and the Company may cause a legend or legends to be placed on any certificates to make appropriate reference to these restrictions.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 </w:t>
      </w:r>
      <w:r>
        <w:rPr>
          <w:rFonts w:ascii="Times New Roman" w:hAnsi="Times New Roman"/>
          <w:color w:val="000000"/>
          <w:sz w:val="22"/>
          <w:u w:val="single"/>
        </w:rPr>
        <w:t>Taxes</w:t>
      </w:r>
      <w:r>
        <w:rPr>
          <w:rFonts w:ascii="Times New Roman" w:hAnsi="Times New Roman"/>
          <w:color w:val="000000"/>
          <w:sz w:val="22"/>
        </w:rPr>
        <w:t>. Regardless of any action the Company may take that is related to any or all income tax, payroll tax, or other tax-related withholding under the Plan (“</w:t>
      </w:r>
      <w:r>
        <w:rPr>
          <w:rFonts w:ascii="Times New Roman" w:hAnsi="Times New Roman"/>
          <w:color w:val="000000"/>
          <w:sz w:val="22"/>
          <w:u w:val="single"/>
        </w:rPr>
        <w:t>Tax-Related Items</w:t>
      </w:r>
      <w:r>
        <w:rPr>
          <w:rFonts w:ascii="Times New Roman" w:hAnsi="Times New Roman"/>
          <w:color w:val="000000"/>
          <w:sz w:val="20"/>
        </w:rPr>
        <w:t>”</w:t>
      </w:r>
      <w:r>
        <w:rPr>
          <w:rFonts w:ascii="Times New Roman" w:hAnsi="Times New Roman"/>
          <w:color w:val="000000"/>
          <w:sz w:val="22"/>
        </w:rPr>
        <w:t xml:space="preserve">), the ultimate liability for all Tax-Related Items owed by you is and will remain your responsibility. The Company (a) makes no representations or undertakings regarding the treatment of any Tax-Related Items and (b) does not commit to structure the terms of the Award to reduce or eliminate your liability for Tax-Related Items. You will be required to meet any applicable tax withholding obligation in accordance with the tax withholding terms of </w:t>
      </w:r>
      <w:r>
        <w:rPr>
          <w:rFonts w:ascii="Times New Roman" w:hAnsi="Times New Roman"/>
          <w:color w:val="000000"/>
          <w:sz w:val="22"/>
          <w:u w:val="single"/>
        </w:rPr>
        <w:t>Section 7 of the Plan</w:t>
      </w:r>
      <w:r>
        <w:rPr>
          <w:rFonts w:ascii="Times New Roman" w:hAnsi="Times New Roman"/>
          <w:color w:val="000000"/>
          <w:sz w:val="20"/>
        </w:rPr>
        <w:t xml:space="preserve"> </w:t>
      </w:r>
      <w:r>
        <w:rPr>
          <w:rFonts w:ascii="Times New Roman" w:hAnsi="Times New Roman"/>
          <w:color w:val="000000"/>
          <w:sz w:val="22"/>
        </w:rPr>
        <w:t xml:space="preserve">(and any successor terms). The RSUs are intended to be exempt from Section 409A, and this Agreement will be administered and interpreted consistently with that intent and with the terms of </w:t>
      </w:r>
      <w:r>
        <w:rPr>
          <w:rFonts w:ascii="Times New Roman" w:hAnsi="Times New Roman"/>
          <w:color w:val="000000"/>
          <w:sz w:val="22"/>
          <w:u w:val="single"/>
        </w:rPr>
        <w:t>Section 19 of the Plan</w:t>
      </w:r>
      <w:r>
        <w:rPr>
          <w:rFonts w:ascii="Times New Roman" w:hAnsi="Times New Roman"/>
          <w:color w:val="000000"/>
          <w:sz w:val="20"/>
        </w:rPr>
        <w:t xml:space="preserve"> </w:t>
      </w:r>
      <w:r>
        <w:rPr>
          <w:rFonts w:ascii="Times New Roman" w:hAnsi="Times New Roman"/>
          <w:color w:val="000000"/>
          <w:sz w:val="22"/>
        </w:rPr>
        <w:t>(and any successor terms).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Adjustment</w:t>
      </w:r>
      <w:r>
        <w:rPr>
          <w:rFonts w:ascii="Times New Roman" w:hAnsi="Times New Roman"/>
          <w:color w:val="000000"/>
          <w:sz w:val="22"/>
        </w:rPr>
        <w:t xml:space="preserve">. Upon any event described in </w:t>
      </w:r>
      <w:r>
        <w:rPr>
          <w:rFonts w:ascii="Times New Roman" w:hAnsi="Times New Roman"/>
          <w:color w:val="000000"/>
          <w:sz w:val="22"/>
          <w:u w:val="single"/>
        </w:rPr>
        <w:t>Section 8 of the Plan</w:t>
      </w:r>
      <w:r>
        <w:rPr>
          <w:rFonts w:ascii="Times New Roman" w:hAnsi="Times New Roman"/>
          <w:color w:val="000000"/>
          <w:sz w:val="20"/>
        </w:rPr>
        <w:t xml:space="preserve"> </w:t>
      </w:r>
      <w:r>
        <w:rPr>
          <w:rFonts w:ascii="Times New Roman" w:hAnsi="Times New Roman"/>
          <w:color w:val="000000"/>
          <w:sz w:val="22"/>
        </w:rPr>
        <w:t>(and any successor terms) occurring after the Grant Date, the adjustment terms of that section will apply to the Award.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Bound by Plan and Committee Decisions</w:t>
      </w:r>
      <w:r>
        <w:rPr>
          <w:rFonts w:ascii="Times New Roman" w:hAnsi="Times New Roman"/>
          <w:color w:val="000000"/>
          <w:sz w:val="22"/>
        </w:rPr>
        <w:t>. By accepting the Award, you acknowledge that you have received a copy of the Plan and have had an opportunity to review the Plan, and you agree to be bound by all of the terms of the Plan. If there is any conflict between this Agreement and the Plan, the Plan will control. The authority to manage and control the operation and administration of this Agreement and the Plan is vested in the Committee. The Committee has all powers under this Agreement that it has under the Plan. Any interpretation of this Agreement or the Plan by the Committee and any decision made by the Committee related to the Agreement or the Plan will be final and binding on all Persons.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10. </w:t>
      </w:r>
      <w:r>
        <w:rPr>
          <w:rFonts w:ascii="Times New Roman" w:hAnsi="Times New Roman"/>
          <w:color w:val="000000"/>
          <w:sz w:val="22"/>
          <w:u w:val="single"/>
        </w:rPr>
        <w:t>Regulatory and Other Limitations</w:t>
      </w:r>
      <w:r>
        <w:rPr>
          <w:rFonts w:ascii="Times New Roman" w:hAnsi="Times New Roman"/>
          <w:color w:val="000000"/>
          <w:sz w:val="22"/>
        </w:rPr>
        <w:t>. Notwithstanding anything else in this Agreement, the Committee may impose conditions, restrictions, and limitations on the issuance of Shares under the Award unless and until the Committee determines that the issuance complies with (a) all registration requirements under the Securities Act, (b) all listing requirements of any securities exchange or similar entity on which the Shares are listed, (c) all Company policies and administrative rules, and (d) all applicable laws.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Miscellaneous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Notices</w:t>
      </w:r>
      <w:r>
        <w:rPr>
          <w:rFonts w:ascii="Times New Roman" w:hAnsi="Times New Roman"/>
          <w:color w:val="000000"/>
          <w:sz w:val="22"/>
        </w:rPr>
        <w:t>. Any notice that may be required or permitted under this Agreement must be in writing and may be delivered personally, by intraoffice mail, or by electronic mail or via a postal service (postage prepaid) to the electronic mail or postal address and directed to the person as the receiving party may designate in writing from time to time.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Waiver</w:t>
      </w:r>
      <w:r>
        <w:rPr>
          <w:rFonts w:ascii="Times New Roman" w:hAnsi="Times New Roman"/>
          <w:color w:val="000000"/>
          <w:sz w:val="22"/>
        </w:rPr>
        <w:t>. The waiver by any party to this Agreement of a breach of any term of the Agreement will not operate or be construed as a waiver of any other or subsequent breach.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 xml:space="preserve">Page </w:t>
      </w:r>
      <w:r>
        <w:rPr>
          <w:rFonts w:ascii="Times New Roman" w:hAnsi="Times New Roman"/>
          <w:b/>
          <w:color w:val="000000"/>
          <w:sz w:val="24"/>
        </w:rPr>
        <w:t>3</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b/>
          <w:color w:val="000000"/>
          <w:sz w:val="24"/>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Entire Agreement</w:t>
      </w:r>
      <w:r>
        <w:rPr>
          <w:rFonts w:ascii="Times New Roman" w:hAnsi="Times New Roman"/>
          <w:color w:val="000000"/>
          <w:sz w:val="22"/>
        </w:rPr>
        <w:t>. This Agreement and the Plan constitute the entire agreement between you and the Company related to the Award. Any prior agreements, commitments, or negotiations related the Award are superseded.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Binding Effect; Successors</w:t>
      </w:r>
      <w:r>
        <w:rPr>
          <w:rFonts w:ascii="Times New Roman" w:hAnsi="Times New Roman"/>
          <w:color w:val="000000"/>
          <w:sz w:val="22"/>
        </w:rPr>
        <w:t>. The obligations and rights of the Company under this Agreement will be binding upon and inure to the benefit of the Company and any successor corporation or organization resulting from the merger, consolidation, sale, or other reorganization of the Company, or upon any successor corporation or organization succeeding to substantially all of the assets and business of the Company. Your obligations and rights under this Agreement will be binding upon and inure to your benefit and the benefit of your beneficiaries, executors, administrators, heirs, and successors.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Governing Law; Jurisdiction</w:t>
      </w:r>
      <w:r>
        <w:rPr>
          <w:rFonts w:ascii="Times New Roman" w:hAnsi="Times New Roman"/>
          <w:color w:val="000000"/>
          <w:sz w:val="22"/>
        </w:rPr>
        <w:t xml:space="preserve">. You acknowledge and expressly agree to the governing law and jurisdiction terms of </w:t>
      </w:r>
      <w:r>
        <w:rPr>
          <w:rFonts w:ascii="Times New Roman" w:hAnsi="Times New Roman"/>
          <w:color w:val="000000"/>
          <w:sz w:val="22"/>
          <w:u w:val="single"/>
        </w:rPr>
        <w:t>Section 9(c) of the Plan</w:t>
      </w:r>
      <w:r>
        <w:rPr>
          <w:rFonts w:ascii="Times New Roman" w:hAnsi="Times New Roman"/>
          <w:color w:val="000000"/>
          <w:sz w:val="20"/>
        </w:rPr>
        <w:t xml:space="preserve"> </w:t>
      </w:r>
      <w:r>
        <w:rPr>
          <w:rFonts w:ascii="Times New Roman" w:hAnsi="Times New Roman"/>
          <w:color w:val="000000"/>
          <w:sz w:val="22"/>
        </w:rPr>
        <w:t>(and any successor terms).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Amendment</w:t>
      </w:r>
      <w:r>
        <w:rPr>
          <w:rFonts w:ascii="Times New Roman" w:hAnsi="Times New Roman"/>
          <w:color w:val="000000"/>
          <w:sz w:val="22"/>
        </w:rPr>
        <w:t>. This Agreement may be amended at any time by the Committee, except that no amendment may, without your consent, materially and adversely affect your rights under the Award.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Severability</w:t>
      </w:r>
      <w:r>
        <w:rPr>
          <w:rFonts w:ascii="Times New Roman" w:hAnsi="Times New Roman"/>
          <w:color w:val="000000"/>
          <w:sz w:val="22"/>
        </w:rPr>
        <w:t>. The invalidity or unenforceability of any term of the Plan or this Agreement will not affect the validity or enforceability of any other term of the Plan or this Agreement, and each other term of the Plan and this Agreement will be severable and enforceable to the extent permitted by applicable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No Rights to Service; No Impact on Other Benefits</w:t>
      </w:r>
      <w:r>
        <w:rPr>
          <w:rFonts w:ascii="Times New Roman" w:hAnsi="Times New Roman"/>
          <w:color w:val="000000"/>
          <w:sz w:val="22"/>
        </w:rPr>
        <w:t>. Nothing in this Agreement will be construed as giving you any right to be retained in any position with the Company or its Affiliates. Nothing in this Agreement will interfere with or restrict the rights of the Company or its Affiliates—which are expressly reserved—to remove, terminate, or discharge you at any time for any reason whatsoever or for no reason, subject to the Company’s certificate of incorporation, bylaws, and other similar governing documents and applicable law. The value of the RSUs is not part of your normal or expected compensation for purposes of calculating any severance, retirement, welfare, insurance, or similar employee benefit. The grant of the RSUs does not create any right to receive any future awards.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Further Assurances</w:t>
      </w:r>
      <w:r>
        <w:rPr>
          <w:rFonts w:ascii="Times New Roman" w:hAnsi="Times New Roman"/>
          <w:color w:val="000000"/>
          <w:sz w:val="22"/>
        </w:rPr>
        <w:t>. You must, upon request of the Company, do all acts and execute, deliver, and perform all additional documents, instruments, and agreements that may be reasonably required by the Company to implement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Clawback</w:t>
      </w:r>
      <w:r>
        <w:rPr>
          <w:rFonts w:ascii="Times New Roman" w:hAnsi="Times New Roman"/>
          <w:color w:val="000000"/>
          <w:sz w:val="22"/>
        </w:rPr>
        <w:t xml:space="preserve">. You acknowledge and consent to </w:t>
      </w:r>
      <w:r>
        <w:rPr>
          <w:rFonts w:ascii="Times New Roman" w:hAnsi="Times New Roman"/>
          <w:color w:val="000000"/>
          <w:sz w:val="22"/>
          <w:u w:val="single"/>
        </w:rPr>
        <w:t>Section 9(l) of the Plan</w:t>
      </w:r>
      <w:r>
        <w:rPr>
          <w:rFonts w:ascii="Times New Roman" w:hAnsi="Times New Roman"/>
          <w:color w:val="000000"/>
          <w:sz w:val="20"/>
        </w:rPr>
        <w:t xml:space="preserve"> </w:t>
      </w:r>
      <w:r>
        <w:rPr>
          <w:rFonts w:ascii="Times New Roman" w:hAnsi="Times New Roman"/>
          <w:color w:val="000000"/>
          <w:sz w:val="22"/>
        </w:rPr>
        <w:t>regarding clawbacks, and to the Company’s application, implementation, and enforcement of any applicable Company clawback or similar policy that may apply to you, whether adopted before or after the Grant Date, and any term of applicable law relating to clawback, cancellation, recoupment, rescission, payback, or reduction of compensation, and the Company may take such actions as may be necessary to effectuate any such policy or applicable law, without further consideration or 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Electronic Delivery and Acceptance</w:t>
      </w:r>
      <w:r>
        <w:rPr>
          <w:rFonts w:ascii="Times New Roman" w:hAnsi="Times New Roman"/>
          <w:color w:val="000000"/>
          <w:sz w:val="22"/>
        </w:rPr>
        <w:t>. The Company may deliver any documents related to current or future participation in the Plan by electronic means. You consent to receive those documents by electronic delivery and to participate in the Plan through any on-line or electronic system established and maintained by the Company or a third party designated by the Company.</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jc w:val="center"/>
        <w:rPr>
          <w:rFonts w:ascii="Times New Roman" w:hAnsi="Times New Roman"/>
          <w:sz w:val="20"/>
        </w:rPr>
      </w:pPr>
      <w:r>
        <w:rPr>
          <w:rFonts w:ascii="Times New Roman" w:hAnsi="Times New Roman"/>
          <w:color w:val="000000"/>
          <w:sz w:val="24"/>
        </w:rPr>
        <w:t xml:space="preserve">Page </w:t>
      </w:r>
      <w:r>
        <w:rPr>
          <w:rFonts w:ascii="Times New Roman" w:hAnsi="Times New Roman"/>
          <w:b/>
          <w:color w:val="000000"/>
          <w:sz w:val="24"/>
        </w:rPr>
        <w:t>4</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b/>
          <w:color w:val="000000"/>
          <w:sz w:val="24"/>
        </w:rPr>
        <w:t>NUMPAGES 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12. </w:t>
      </w:r>
      <w:r>
        <w:rPr>
          <w:rFonts w:ascii="Times New Roman" w:hAnsi="Times New Roman"/>
          <w:color w:val="000000"/>
          <w:sz w:val="22"/>
          <w:u w:val="single"/>
        </w:rPr>
        <w:t>Your Representations</w:t>
      </w:r>
      <w:r>
        <w:rPr>
          <w:rFonts w:ascii="Times New Roman" w:hAnsi="Times New Roman"/>
          <w:color w:val="000000"/>
          <w:sz w:val="22"/>
        </w:rPr>
        <w:t>. You represent to the Company that you have read and fully understand this Agreement and the Plan and that your decision to participate in the Plan is completely voluntary. You also acknowledge that you are relying solely on your own advisors regarding the tax consequences of the Award.</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EXECUTED effective as of the Grant Date.</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2"/>
        </w:rPr>
        <w:t>LSB INDUSTRIES, INC.,</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a Delaware corporation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Michael J. Foster</w:t>
      </w:r>
    </w:p>
    <w:p>
      <w:pPr>
        <w:pStyle w:val="TextBody"/>
        <w:bidi w:val="0"/>
        <w:jc w:val="left"/>
        <w:rPr>
          <w:rFonts w:ascii="Times New Roman" w:hAnsi="Times New Roman"/>
          <w:color w:val="000000"/>
          <w:sz w:val="22"/>
        </w:rPr>
      </w:pPr>
      <w:r>
        <w:rPr>
          <w:rFonts w:ascii="Times New Roman" w:hAnsi="Times New Roman"/>
          <w:color w:val="000000"/>
          <w:sz w:val="22"/>
        </w:rPr>
        <w:t>Title: Executive Vice President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PARTICIPANT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 xml:space="preserve">[Name] </w:t>
      </w:r>
    </w:p>
    <w:p>
      <w:pPr>
        <w:pStyle w:val="TextBody"/>
        <w:bidi w:val="0"/>
        <w:jc w:val="center"/>
        <w:rPr>
          <w:rFonts w:ascii="Times New Roman" w:hAnsi="Times New Roman"/>
          <w:i/>
          <w:color w:val="000000"/>
          <w:sz w:val="22"/>
        </w:rPr>
      </w:pPr>
      <w:r>
        <w:rPr>
          <w:rFonts w:ascii="Times New Roman" w:hAnsi="Times New Roman"/>
          <w:i/>
          <w:color w:val="000000"/>
          <w:sz w:val="22"/>
        </w:rPr>
        <w:t>Signature Page to</w:t>
      </w:r>
    </w:p>
    <w:p>
      <w:pPr>
        <w:pStyle w:val="TextBody"/>
        <w:bidi w:val="0"/>
        <w:jc w:val="center"/>
        <w:rPr>
          <w:rFonts w:ascii="Times New Roman" w:hAnsi="Times New Roman"/>
          <w:i/>
          <w:color w:val="000000"/>
          <w:sz w:val="22"/>
        </w:rPr>
      </w:pPr>
      <w:r>
        <w:rPr>
          <w:rFonts w:ascii="Times New Roman" w:hAnsi="Times New Roman"/>
          <w:i/>
          <w:color w:val="000000"/>
          <w:sz w:val="22"/>
        </w:rPr>
        <w:t>Director Restricted Stock Unit Award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jc w:val="center"/>
        <w:rPr>
          <w:rFonts w:ascii="Times New Roman" w:hAnsi="Times New Roman"/>
          <w:sz w:val="20"/>
        </w:rPr>
      </w:pPr>
      <w:r>
        <w:rPr>
          <w:rFonts w:ascii="Times New Roman" w:hAnsi="Times New Roman"/>
          <w:b/>
          <w:caps/>
          <w:color w:val="000000"/>
          <w:sz w:val="22"/>
        </w:rPr>
        <w:t xml:space="preserve">LSB Industries, Inc. </w:t>
      </w:r>
      <w:r>
        <w:rPr>
          <w:rFonts w:ascii="Times New Roman" w:hAnsi="Times New Roman"/>
          <w:b/>
          <w:color w:val="000000"/>
          <w:sz w:val="22"/>
        </w:rPr>
        <w:br/>
        <w:t>2025 LONG-TERM INCENTIVE PLAN</w:t>
      </w:r>
    </w:p>
    <w:p>
      <w:pPr>
        <w:pStyle w:val="TextBody"/>
        <w:bidi w:val="0"/>
        <w:spacing w:before="0" w:after="480"/>
        <w:jc w:val="both"/>
        <w:rPr>
          <w:rFonts w:ascii="Times New Roman" w:hAnsi="Times New Roman"/>
          <w:sz w:val="20"/>
        </w:rPr>
      </w:pPr>
      <w:r>
        <w:rPr>
          <w:rFonts w:ascii="Times New Roman" w:hAnsi="Times New Roman"/>
          <w:color w:val="000000"/>
          <w:sz w:val="22"/>
        </w:rPr>
        <w:t>The LSB Industries, Inc. 2025 Long-Term Incentive Plan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was adopted by the Board of Directors of LSB Industries,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effective as of May 15,</w:t>
      </w:r>
      <w:r>
        <w:rPr>
          <w:rFonts w:ascii="Times New Roman" w:hAnsi="Times New Roman"/>
          <w:color w:val="000000"/>
          <w:sz w:val="20"/>
        </w:rPr>
        <w:t xml:space="preserve"> </w:t>
      </w:r>
      <w:r>
        <w:rPr>
          <w:rFonts w:ascii="Times New Roman" w:hAnsi="Times New Roman"/>
          <w:color w:val="000000"/>
          <w:sz w:val="22"/>
        </w:rPr>
        <w:t>2025 (the “</w:t>
      </w:r>
      <w:r>
        <w:rPr>
          <w:rFonts w:ascii="Times New Roman" w:hAnsi="Times New Roman"/>
          <w:b/>
          <w:i/>
          <w:color w:val="000000"/>
          <w:sz w:val="22"/>
        </w:rPr>
        <w:t>Board Approval Date</w:t>
      </w:r>
      <w:r>
        <w:rPr>
          <w:rFonts w:ascii="Times New Roman" w:hAnsi="Times New Roman"/>
          <w:color w:val="000000"/>
          <w:sz w:val="20"/>
        </w:rPr>
        <w:t>”</w:t>
      </w:r>
      <w:r>
        <w:rPr>
          <w:rFonts w:ascii="Times New Roman" w:hAnsi="Times New Roman"/>
          <w:color w:val="000000"/>
          <w:sz w:val="22"/>
        </w:rPr>
        <w:t>) to be effective as of the date the Plan is approved by the Company’s stockholders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PURPOSE</w:t>
      </w:r>
    </w:p>
    <w:p>
      <w:pPr>
        <w:pStyle w:val="TextBody"/>
        <w:bidi w:val="0"/>
        <w:jc w:val="both"/>
        <w:rPr>
          <w:rFonts w:ascii="Times New Roman" w:hAnsi="Times New Roman"/>
          <w:color w:val="000000"/>
          <w:sz w:val="22"/>
        </w:rPr>
      </w:pPr>
      <w:r>
        <w:rPr>
          <w:rFonts w:ascii="Times New Roman" w:hAnsi="Times New Roman"/>
          <w:color w:val="000000"/>
          <w:sz w:val="22"/>
        </w:rPr>
        <w:t>The purpose of the Plan is to attract and retain the services of key Employees, key Contractors, and Outside Directors of the Company and its Subsidiaries and to provide such persons with a proprietary interest in the Company through the granting of Incentive Stock Options, Nonqualified Stock Options, Stock Appreciation Rights, Restricted Stock, Restricted Stock Units, Performance Awards, Dividend Equivalent Rights, Other Awards, and Tandem Awards, whether granted singly, or in combination, or in tandem, that will: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increase the interest of such persons in the Company’s welfare;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furnish an incentive to such persons to continue their services for the Company or its Subsidiaries;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provide a means through which the Company may attract able persons as Employees, Contractors, and Outside Directors.</w:t>
      </w:r>
    </w:p>
    <w:p>
      <w:pPr>
        <w:pStyle w:val="TextBody"/>
        <w:bidi w:val="0"/>
        <w:spacing w:before="0" w:after="480"/>
        <w:jc w:val="both"/>
        <w:rPr>
          <w:rFonts w:ascii="Times New Roman" w:hAnsi="Times New Roman"/>
          <w:sz w:val="20"/>
        </w:rPr>
      </w:pPr>
      <w:r>
        <w:rPr>
          <w:rFonts w:ascii="Times New Roman" w:hAnsi="Times New Roman"/>
          <w:color w:val="000000"/>
          <w:sz w:val="22"/>
        </w:rPr>
        <w:t xml:space="preserve">With respect to Reporting Participants, the Plan and all transactions under the Plan are intended to comply with all applicable conditions of Rule 16b-3 promulgated under the Exchange Act. To the extent any provision of the Plan or action by the Committee fails to so comply, such provision or action shall be deemed null and void </w:t>
      </w:r>
      <w:r>
        <w:rPr>
          <w:rFonts w:ascii="Times New Roman" w:hAnsi="Times New Roman"/>
          <w:i/>
          <w:color w:val="000000"/>
          <w:sz w:val="22"/>
        </w:rPr>
        <w:t>ab initio</w:t>
      </w:r>
      <w:r>
        <w:rPr>
          <w:rFonts w:ascii="Times New Roman" w:hAnsi="Times New Roman"/>
          <w:color w:val="000000"/>
          <w:sz w:val="22"/>
        </w:rPr>
        <w:t>, to the extent permitted by law and deemed advisable by the Committee.</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2.</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DEFINITIONS</w:t>
      </w:r>
    </w:p>
    <w:p>
      <w:pPr>
        <w:pStyle w:val="TextBody"/>
        <w:bidi w:val="0"/>
        <w:jc w:val="left"/>
        <w:rPr>
          <w:rFonts w:ascii="Times New Roman" w:hAnsi="Times New Roman"/>
          <w:color w:val="000000"/>
          <w:sz w:val="22"/>
        </w:rPr>
      </w:pPr>
      <w:r>
        <w:rPr>
          <w:rFonts w:ascii="Times New Roman" w:hAnsi="Times New Roman"/>
          <w:color w:val="000000"/>
          <w:sz w:val="22"/>
        </w:rPr>
        <w:t>For the purpose of the Plan, unless the context requires otherwise, the following terms shall have the meanings indicated: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240"/>
        <w:jc w:val="both"/>
        <w:rPr/>
      </w:pPr>
      <w:r>
        <w:rPr>
          <w:color w:val="000000"/>
        </w:rPr>
        <w:t>“</w:t>
      </w:r>
      <w:r>
        <w:rPr>
          <w:rFonts w:ascii="Times New Roman" w:hAnsi="Times New Roman"/>
          <w:b/>
          <w:i/>
          <w:color w:val="000000"/>
          <w:sz w:val="22"/>
        </w:rPr>
        <w:t>Applicable Law</w:t>
      </w:r>
      <w:r>
        <w:rPr>
          <w:color w:val="000000"/>
        </w:rPr>
        <w:t xml:space="preserve">” </w:t>
      </w:r>
      <w:r>
        <w:rPr>
          <w:rFonts w:ascii="Times New Roman" w:hAnsi="Times New Roman"/>
          <w:color w:val="000000"/>
          <w:sz w:val="22"/>
        </w:rPr>
        <w:t>means all legal requirements relating to the administration of equity incentive plans and the issuance and distribution of shares of Common Stock, if any, under applicable corporate laws, applicable securities laws, the rules of any exchange or inter-dealer quotation system upon which the Company’s securities are listed or quoted, the rules of any foreign jurisdiction applicable to Incentives granted to residents therein, and any other applicable law, rule or restriction.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w:t>
      </w:r>
    </w:p>
    <w:p>
      <w:pPr>
        <w:pStyle w:val="TextBody"/>
        <w:bidi w:val="0"/>
        <w:spacing w:before="0" w:after="240"/>
        <w:jc w:val="both"/>
        <w:rPr/>
      </w:pPr>
      <w:r>
        <w:rPr>
          <w:color w:val="000000"/>
        </w:rPr>
        <w:t>“</w:t>
      </w:r>
      <w:r>
        <w:rPr>
          <w:rFonts w:ascii="Times New Roman" w:hAnsi="Times New Roman"/>
          <w:b/>
          <w:i/>
          <w:color w:val="000000"/>
          <w:sz w:val="22"/>
        </w:rPr>
        <w:t>Authorized Officer</w:t>
      </w:r>
      <w:r>
        <w:rPr>
          <w:color w:val="000000"/>
        </w:rPr>
        <w:t xml:space="preserve">” </w:t>
      </w:r>
      <w:r>
        <w:rPr>
          <w:rFonts w:ascii="Times New Roman" w:hAnsi="Times New Roman"/>
          <w:color w:val="000000"/>
          <w:sz w:val="22"/>
        </w:rPr>
        <w:t xml:space="preserve">is defined in </w:t>
      </w:r>
      <w:r>
        <w:rPr>
          <w:rFonts w:ascii="Times New Roman" w:hAnsi="Times New Roman"/>
          <w:color w:val="000000"/>
          <w:sz w:val="22"/>
          <w:u w:val="single"/>
        </w:rPr>
        <w:t>Section 3.2(b)</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w:t>
      </w:r>
    </w:p>
    <w:p>
      <w:pPr>
        <w:pStyle w:val="TextBody"/>
        <w:bidi w:val="0"/>
        <w:spacing w:before="0" w:after="240"/>
        <w:jc w:val="both"/>
        <w:rPr/>
      </w:pPr>
      <w:r>
        <w:rPr>
          <w:color w:val="000000"/>
        </w:rPr>
        <w:t>“</w:t>
      </w:r>
      <w:r>
        <w:rPr>
          <w:rFonts w:ascii="Times New Roman" w:hAnsi="Times New Roman"/>
          <w:b/>
          <w:i/>
          <w:color w:val="000000"/>
          <w:sz w:val="22"/>
        </w:rPr>
        <w:t>Award</w:t>
      </w:r>
      <w:r>
        <w:rPr>
          <w:color w:val="000000"/>
        </w:rPr>
        <w:t xml:space="preserve">” </w:t>
      </w:r>
      <w:r>
        <w:rPr>
          <w:rFonts w:ascii="Times New Roman" w:hAnsi="Times New Roman"/>
          <w:color w:val="000000"/>
          <w:sz w:val="22"/>
        </w:rPr>
        <w:t>means the grant of any Incentive Stock Option, Nonqualified Stock Option, Restricted Stock, SAR, Restricted Stock Unit, Performance Award, Dividend Equivalent Right or Other Award, whether granted singly or in combination or in tandem (each individually referred to herein as an “</w:t>
      </w:r>
      <w:r>
        <w:rPr>
          <w:rFonts w:ascii="Times New Roman" w:hAnsi="Times New Roman"/>
          <w:b/>
          <w:i/>
          <w:color w:val="000000"/>
          <w:sz w:val="22"/>
        </w:rPr>
        <w:t>Incentive</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w:t>
      </w:r>
    </w:p>
    <w:p>
      <w:pPr>
        <w:pStyle w:val="TextBody"/>
        <w:bidi w:val="0"/>
        <w:spacing w:before="0" w:after="240"/>
        <w:jc w:val="both"/>
        <w:rPr/>
      </w:pPr>
      <w:r>
        <w:rPr>
          <w:color w:val="000000"/>
        </w:rPr>
        <w:t>“</w:t>
      </w:r>
      <w:r>
        <w:rPr>
          <w:rFonts w:ascii="Times New Roman" w:hAnsi="Times New Roman"/>
          <w:b/>
          <w:i/>
          <w:color w:val="000000"/>
          <w:sz w:val="22"/>
        </w:rPr>
        <w:t>Award Agreement</w:t>
      </w:r>
      <w:r>
        <w:rPr>
          <w:color w:val="000000"/>
        </w:rPr>
        <w:t xml:space="preserve">” </w:t>
      </w:r>
      <w:r>
        <w:rPr>
          <w:rFonts w:ascii="Times New Roman" w:hAnsi="Times New Roman"/>
          <w:color w:val="000000"/>
          <w:sz w:val="22"/>
        </w:rPr>
        <w:t>means a written agreement between a Participant and the Company which sets out the terms of the grant of an Award.</w:t>
      </w:r>
    </w:p>
    <w:p>
      <w:pPr>
        <w:pStyle w:val="TextBody"/>
        <w:bidi w:val="0"/>
        <w:jc w:val="center"/>
        <w:rPr>
          <w:rFonts w:ascii="Times New Roman" w:hAnsi="Times New Roman"/>
          <w:color w:val="000000"/>
          <w:sz w:val="22"/>
        </w:rPr>
      </w:pPr>
      <w:r>
        <w:rPr>
          <w:rFonts w:ascii="Times New Roman" w:hAnsi="Times New Roman"/>
          <w:color w:val="000000"/>
          <w:sz w:val="22"/>
        </w:rPr>
        <w:t>A-6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2.5</w:t>
      </w:r>
    </w:p>
    <w:p>
      <w:pPr>
        <w:pStyle w:val="TextBody"/>
        <w:bidi w:val="0"/>
        <w:spacing w:before="0" w:after="240"/>
        <w:jc w:val="both"/>
        <w:rPr/>
      </w:pPr>
      <w:r>
        <w:rPr>
          <w:color w:val="000000"/>
        </w:rPr>
        <w:t>“</w:t>
      </w:r>
      <w:r>
        <w:rPr>
          <w:rFonts w:ascii="Times New Roman" w:hAnsi="Times New Roman"/>
          <w:b/>
          <w:i/>
          <w:color w:val="000000"/>
          <w:sz w:val="22"/>
        </w:rPr>
        <w:t>Award Period</w:t>
      </w:r>
      <w:r>
        <w:rPr>
          <w:color w:val="000000"/>
        </w:rPr>
        <w:t xml:space="preserve">” </w:t>
      </w:r>
      <w:r>
        <w:rPr>
          <w:rFonts w:ascii="Times New Roman" w:hAnsi="Times New Roman"/>
          <w:color w:val="000000"/>
          <w:sz w:val="22"/>
        </w:rPr>
        <w:t>means the period set forth in the Award Agreement during which one or more Incentives granted under an Award may be exercised.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w:t>
      </w:r>
    </w:p>
    <w:p>
      <w:pPr>
        <w:pStyle w:val="TextBody"/>
        <w:bidi w:val="0"/>
        <w:spacing w:before="0" w:after="240"/>
        <w:jc w:val="both"/>
        <w:rPr/>
      </w:pPr>
      <w:r>
        <w:rPr>
          <w:color w:val="000000"/>
        </w:rPr>
        <w:t>“</w:t>
      </w:r>
      <w:r>
        <w:rPr>
          <w:rFonts w:ascii="Times New Roman" w:hAnsi="Times New Roman"/>
          <w:b/>
          <w:i/>
          <w:color w:val="000000"/>
          <w:sz w:val="22"/>
        </w:rPr>
        <w:t>Board</w:t>
      </w:r>
      <w:r>
        <w:rPr>
          <w:color w:val="000000"/>
        </w:rPr>
        <w:t xml:space="preserve">” </w:t>
      </w:r>
      <w:r>
        <w:rPr>
          <w:rFonts w:ascii="Times New Roman" w:hAnsi="Times New Roman"/>
          <w:color w:val="000000"/>
          <w:sz w:val="22"/>
        </w:rPr>
        <w:t>means the board of directors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2.7</w:t>
      </w:r>
    </w:p>
    <w:p>
      <w:pPr>
        <w:pStyle w:val="TextBody"/>
        <w:bidi w:val="0"/>
        <w:spacing w:before="0" w:after="240"/>
        <w:jc w:val="both"/>
        <w:rPr/>
      </w:pPr>
      <w:r>
        <w:rPr>
          <w:color w:val="000000"/>
        </w:rPr>
        <w:t>“</w:t>
      </w:r>
      <w:r>
        <w:rPr>
          <w:rFonts w:ascii="Times New Roman" w:hAnsi="Times New Roman"/>
          <w:b/>
          <w:i/>
          <w:color w:val="000000"/>
          <w:sz w:val="22"/>
        </w:rPr>
        <w:t>Change in Control</w:t>
      </w:r>
      <w:r>
        <w:rPr>
          <w:color w:val="000000"/>
        </w:rPr>
        <w:t xml:space="preserve">” </w:t>
      </w:r>
      <w:r>
        <w:rPr>
          <w:rFonts w:ascii="Times New Roman" w:hAnsi="Times New Roman"/>
          <w:color w:val="000000"/>
          <w:sz w:val="22"/>
        </w:rPr>
        <w:t>means the occurrence of an event set forth in any one of the following paragraphs, except as otherwise provided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Person, or more than one Person acting as a “group” (as defined in Section 13(d) of the Exchange Act) acquires (or has acquired during the 12-month period ending on the date of the most recent acquisition by such Person or Persons) and becomes the Beneficial Owner, directly or indirectly, of securities of the Company representing more than 50% of the combined voting power of the Company’s then outstanding securities, excluding any acquisition by an employee benefit plan (or related trust) sponsored or maintained by the Company or any entity controlled by the Company; provided, however, a Change in Control shall not occur if such Person or Persons acting as a group already own more than 50% of the Company’s securities and acquire additional Company securities;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the following individuals cease for any reason to constitute a majority of the number of directors then serving: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w:t>
      </w:r>
      <w:r>
        <w:rPr>
          <w:color w:val="000000"/>
        </w:rPr>
        <w:t xml:space="preserve"> </w:t>
      </w:r>
      <w:r>
        <w:rPr>
          <w:rFonts w:ascii="Times New Roman" w:hAnsi="Times New Roman"/>
          <w:color w:val="000000"/>
          <w:sz w:val="22"/>
        </w:rPr>
        <w:t>was approved or recommended by a vote of at least the majority of the directors then still in office who either were directors on the Effective Date or whose appointment, election or nomination for election was previously so approved or recommended;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Person, or more than one Person acting as a “group” (as defined in Section 13(d) of the Exchange Act), acquires (or has acquired during the 12-month period ending on the date of the most recent acquisition by such Person or Persons) all or substantially all of the Company’s assets that have a total Gross Fair Market Value equal to more than 50% of the total Gross Fair Market Value of the Company’s assets immediately prior to such acquisition(s).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For purposes hereof:</w:t>
      </w:r>
    </w:p>
    <w:p>
      <w:pPr>
        <w:pStyle w:val="TextBody"/>
        <w:bidi w:val="0"/>
        <w:spacing w:before="0" w:after="240"/>
        <w:jc w:val="left"/>
        <w:rPr/>
      </w:pPr>
      <w:r>
        <w:rPr>
          <w:color w:val="000000"/>
        </w:rPr>
        <w:t>“</w:t>
      </w:r>
      <w:r>
        <w:rPr>
          <w:rFonts w:ascii="Times New Roman" w:hAnsi="Times New Roman"/>
          <w:b/>
          <w:i/>
          <w:color w:val="000000"/>
          <w:sz w:val="22"/>
        </w:rPr>
        <w:t>Affiliate</w:t>
      </w:r>
      <w:r>
        <w:rPr>
          <w:rFonts w:ascii="Times New Roman" w:hAnsi="Times New Roman"/>
          <w:color w:val="000000"/>
          <w:sz w:val="20"/>
        </w:rPr>
        <w:t xml:space="preserve">” </w:t>
      </w:r>
      <w:r>
        <w:rPr>
          <w:rFonts w:ascii="Times New Roman" w:hAnsi="Times New Roman"/>
          <w:color w:val="000000"/>
          <w:sz w:val="22"/>
        </w:rPr>
        <w:t>shall have the meaning set forth in Rule 12b-2 promulgated under Section 12 of the Exchange Act.</w:t>
      </w:r>
    </w:p>
    <w:p>
      <w:pPr>
        <w:pStyle w:val="TextBody"/>
        <w:bidi w:val="0"/>
        <w:spacing w:before="0" w:after="240"/>
        <w:jc w:val="both"/>
        <w:rPr/>
      </w:pPr>
      <w:r>
        <w:rPr>
          <w:color w:val="000000"/>
        </w:rPr>
        <w:t>“</w:t>
      </w:r>
      <w:r>
        <w:rPr>
          <w:rFonts w:ascii="Times New Roman" w:hAnsi="Times New Roman"/>
          <w:b/>
          <w:i/>
          <w:color w:val="000000"/>
          <w:sz w:val="22"/>
        </w:rPr>
        <w:t>Beneficial Owner</w:t>
      </w:r>
      <w:r>
        <w:rPr>
          <w:rFonts w:ascii="Times New Roman" w:hAnsi="Times New Roman"/>
          <w:color w:val="000000"/>
          <w:sz w:val="20"/>
        </w:rPr>
        <w:t xml:space="preserve">” </w:t>
      </w:r>
      <w:r>
        <w:rPr>
          <w:rFonts w:ascii="Times New Roman" w:hAnsi="Times New Roman"/>
          <w:color w:val="000000"/>
          <w:sz w:val="22"/>
        </w:rPr>
        <w:t>shall have the meaning set forth in Rule 13d-3 under the Exchange Act except that a Person shall be deemed to be the “Beneficial Owner” of all shares that any such Person has the right to acquire pursuant to any agreement or arrangement or upon exercise of conversion rights, warrants, options or otherwise, without regard to the 60-day period referred to in such rule).</w:t>
      </w:r>
    </w:p>
    <w:p>
      <w:pPr>
        <w:pStyle w:val="TextBody"/>
        <w:bidi w:val="0"/>
        <w:spacing w:before="0" w:after="240"/>
        <w:jc w:val="both"/>
        <w:rPr/>
      </w:pPr>
      <w:r>
        <w:rPr>
          <w:color w:val="000000"/>
        </w:rPr>
        <w:t>“</w:t>
      </w:r>
      <w:r>
        <w:rPr>
          <w:rFonts w:ascii="Times New Roman" w:hAnsi="Times New Roman"/>
          <w:b/>
          <w:i/>
          <w:color w:val="000000"/>
          <w:sz w:val="22"/>
        </w:rPr>
        <w:t>Company</w:t>
      </w:r>
      <w:r>
        <w:rPr>
          <w:rFonts w:ascii="Times New Roman" w:hAnsi="Times New Roman"/>
          <w:color w:val="000000"/>
          <w:sz w:val="20"/>
        </w:rPr>
        <w:t xml:space="preserve">” </w:t>
      </w:r>
      <w:r>
        <w:rPr>
          <w:rFonts w:ascii="Times New Roman" w:hAnsi="Times New Roman"/>
          <w:color w:val="000000"/>
          <w:sz w:val="22"/>
        </w:rPr>
        <w:t xml:space="preserve">shall mean, unless as otherwise provided in an Award Agreement, (i) the Company, as defined in </w:t>
      </w:r>
      <w:r>
        <w:rPr>
          <w:rFonts w:ascii="Times New Roman" w:hAnsi="Times New Roman"/>
          <w:color w:val="000000"/>
          <w:sz w:val="22"/>
          <w:u w:val="single"/>
        </w:rPr>
        <w:t>Section 2.12;</w:t>
      </w:r>
      <w:r>
        <w:rPr>
          <w:rFonts w:ascii="Times New Roman" w:hAnsi="Times New Roman"/>
          <w:color w:val="000000"/>
          <w:sz w:val="20"/>
        </w:rPr>
        <w:t xml:space="preserve"> </w:t>
      </w:r>
      <w:r>
        <w:rPr>
          <w:rFonts w:ascii="Times New Roman" w:hAnsi="Times New Roman"/>
          <w:color w:val="000000"/>
          <w:sz w:val="22"/>
        </w:rPr>
        <w:t>(ii) the entity for whom a Participant performs services for which an Award is granted; and (iii) an entity that is a stockholder owning more than 50% of the total number of outstanding shares of Common Stock (or other equity interests) and total voting power (</w:t>
      </w:r>
      <w:r>
        <w:rPr>
          <w:rFonts w:ascii="Times New Roman" w:hAnsi="Times New Roman"/>
          <w:i/>
          <w:color w:val="000000"/>
          <w:sz w:val="22"/>
        </w:rPr>
        <w:t>i.e.</w:t>
      </w:r>
      <w:r>
        <w:rPr>
          <w:rFonts w:ascii="Times New Roman" w:hAnsi="Times New Roman"/>
          <w:color w:val="000000"/>
          <w:sz w:val="22"/>
        </w:rPr>
        <w:t>, a majority stockholder) of the Company or entity identified in (ii), or any entity in a chain of entities in which each entity is a majority stockholder of another entity in the chain, ending on the Company or the entity identified in (ii).</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i/>
          <w:color w:val="000000"/>
          <w:sz w:val="22"/>
        </w:rPr>
        <w:t>Gross Fair Market Value</w:t>
      </w:r>
      <w:r>
        <w:rPr>
          <w:rFonts w:ascii="Times New Roman" w:hAnsi="Times New Roman"/>
          <w:color w:val="000000"/>
          <w:sz w:val="20"/>
        </w:rPr>
        <w:t xml:space="preserve">” </w:t>
      </w:r>
      <w:r>
        <w:rPr>
          <w:rFonts w:ascii="Times New Roman" w:hAnsi="Times New Roman"/>
          <w:color w:val="000000"/>
          <w:sz w:val="22"/>
        </w:rPr>
        <w:t>shall mean the value of the Company’s assets or the value of the assets being disposed of, determined without regard to any liabilities associated with such assets.</w:t>
      </w:r>
    </w:p>
    <w:p>
      <w:pPr>
        <w:pStyle w:val="TextBody"/>
        <w:bidi w:val="0"/>
        <w:jc w:val="center"/>
        <w:rPr>
          <w:rFonts w:ascii="Times New Roman" w:hAnsi="Times New Roman"/>
          <w:color w:val="000000"/>
          <w:sz w:val="22"/>
        </w:rPr>
      </w:pPr>
      <w:r>
        <w:rPr>
          <w:rFonts w:ascii="Times New Roman" w:hAnsi="Times New Roman"/>
          <w:color w:val="000000"/>
          <w:sz w:val="22"/>
        </w:rPr>
        <w:t>A-7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Person</w:t>
      </w:r>
      <w:r>
        <w:rPr>
          <w:rFonts w:ascii="Times New Roman" w:hAnsi="Times New Roman"/>
          <w:color w:val="000000"/>
          <w:sz w:val="20"/>
        </w:rPr>
        <w:t xml:space="preserve">” </w:t>
      </w:r>
      <w:r>
        <w:rPr>
          <w:rFonts w:ascii="Times New Roman" w:hAnsi="Times New Roman"/>
          <w:color w:val="000000"/>
          <w:sz w:val="22"/>
        </w:rPr>
        <w:t>means any person or entity of any nature whatsoever, specifically including an individual, a firm, a company, a corporation, a partnership, a limited liability company, a trust or other entity; a Person, together with that Person’s Affiliates and Associates (as those terms are defined in Rule 12b-2 under the Exchange Act, provided that “registrant” as used in Rule 12b-2 shall mean the Company), and any Persons acting as a partnership, limited partnership, joint venture, association, syndicate or other group (whether or not formally organized), or otherwise acting jointly or in concert or in a coordinated or consciously parallel manner (whether or not pursuant to any express agreement), for the purpose of acquiring, holding, voting or disposing of securities of the Company with such Person, shall be deemed a single “Person.”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the foregoing, no transaction or series of transactions shall be deemed to constitute a Change in Control unless and to the extent such transaction or transactions constitute a change in ownership or control under Section 409A of the Code. Additionally, for purposes of this </w:t>
      </w:r>
      <w:r>
        <w:rPr>
          <w:rFonts w:ascii="Times New Roman" w:hAnsi="Times New Roman"/>
          <w:color w:val="000000"/>
          <w:sz w:val="22"/>
          <w:u w:val="single"/>
        </w:rPr>
        <w:t>Section 2.7</w:t>
      </w:r>
      <w:r>
        <w:rPr>
          <w:rFonts w:ascii="Times New Roman" w:hAnsi="Times New Roman"/>
          <w:color w:val="000000"/>
          <w:sz w:val="22"/>
        </w:rPr>
        <w:t>, Section 318(a) of the Code, regarding constructive ownership, shall apply to determine stock ownership; provided, however, that any stock underlying unvested Nonqualified Stock Options or Incentive Stock Options shall not be treated as owned by such Participant who owns such Nonqualified Stock Option or Incentive Stock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2.8</w:t>
      </w:r>
    </w:p>
    <w:p>
      <w:pPr>
        <w:pStyle w:val="TextBody"/>
        <w:bidi w:val="0"/>
        <w:spacing w:before="0" w:after="240"/>
        <w:jc w:val="both"/>
        <w:rPr/>
      </w:pPr>
      <w:r>
        <w:rPr>
          <w:color w:val="000000"/>
        </w:rPr>
        <w:t>“</w:t>
      </w:r>
      <w:r>
        <w:rPr>
          <w:rFonts w:ascii="Times New Roman" w:hAnsi="Times New Roman"/>
          <w:b/>
          <w:i/>
          <w:color w:val="000000"/>
          <w:sz w:val="22"/>
        </w:rPr>
        <w:t>Claim</w:t>
      </w:r>
      <w:r>
        <w:rPr>
          <w:color w:val="000000"/>
        </w:rPr>
        <w:t xml:space="preserve">” </w:t>
      </w:r>
      <w:r>
        <w:rPr>
          <w:rFonts w:ascii="Times New Roman" w:hAnsi="Times New Roman"/>
          <w:color w:val="000000"/>
          <w:sz w:val="22"/>
        </w:rPr>
        <w:t>means any claim, liability or obligation of any nature, arising out of or relating to this Plan or an alleged breach of this Plan or an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2.9</w:t>
      </w:r>
    </w:p>
    <w:p>
      <w:pPr>
        <w:pStyle w:val="TextBody"/>
        <w:bidi w:val="0"/>
        <w:spacing w:before="0" w:after="240"/>
        <w:jc w:val="both"/>
        <w:rPr/>
      </w:pPr>
      <w:r>
        <w:rPr>
          <w:color w:val="000000"/>
        </w:rPr>
        <w:t>“</w:t>
      </w:r>
      <w:r>
        <w:rPr>
          <w:rFonts w:ascii="Times New Roman" w:hAnsi="Times New Roman"/>
          <w:b/>
          <w:i/>
          <w:color w:val="000000"/>
          <w:sz w:val="22"/>
        </w:rPr>
        <w:t>Code</w:t>
      </w:r>
      <w:r>
        <w:rPr>
          <w:color w:val="000000"/>
        </w:rPr>
        <w:t xml:space="preserve">” </w:t>
      </w:r>
      <w:r>
        <w:rPr>
          <w:rFonts w:ascii="Times New Roman" w:hAnsi="Times New Roman"/>
          <w:color w:val="000000"/>
          <w:sz w:val="22"/>
        </w:rPr>
        <w:t>means the United States Internal Revenue Code of 1986, as amended.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2.10</w:t>
      </w:r>
    </w:p>
    <w:p>
      <w:pPr>
        <w:pStyle w:val="TextBody"/>
        <w:bidi w:val="0"/>
        <w:spacing w:before="0" w:after="240"/>
        <w:jc w:val="both"/>
        <w:rPr/>
      </w:pPr>
      <w:r>
        <w:rPr>
          <w:color w:val="000000"/>
        </w:rPr>
        <w:t>“</w:t>
      </w:r>
      <w:r>
        <w:rPr>
          <w:rFonts w:ascii="Times New Roman" w:hAnsi="Times New Roman"/>
          <w:b/>
          <w:i/>
          <w:color w:val="000000"/>
          <w:sz w:val="22"/>
        </w:rPr>
        <w:t>Committee</w:t>
      </w:r>
      <w:r>
        <w:rPr>
          <w:color w:val="000000"/>
        </w:rPr>
        <w:t xml:space="preserve">” </w:t>
      </w:r>
      <w:r>
        <w:rPr>
          <w:rFonts w:ascii="Times New Roman" w:hAnsi="Times New Roman"/>
          <w:color w:val="000000"/>
          <w:sz w:val="22"/>
        </w:rPr>
        <w:t xml:space="preserve">means the committee appointed or designated by the Board to administer the Plan in accordance with </w:t>
      </w:r>
      <w:r>
        <w:rPr>
          <w:rFonts w:ascii="Times New Roman" w:hAnsi="Times New Roman"/>
          <w:color w:val="000000"/>
          <w:sz w:val="22"/>
          <w:u w:val="single"/>
        </w:rPr>
        <w:t>Article 3</w:t>
      </w:r>
      <w:r>
        <w:rPr>
          <w:color w:val="000000"/>
        </w:rPr>
        <w:t xml:space="preserve"> </w:t>
      </w:r>
      <w:r>
        <w:rPr>
          <w:rFonts w:ascii="Times New Roman" w:hAnsi="Times New Roman"/>
          <w:color w:val="000000"/>
          <w:sz w:val="22"/>
        </w:rPr>
        <w:t>of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2.11</w:t>
      </w:r>
    </w:p>
    <w:p>
      <w:pPr>
        <w:pStyle w:val="TextBody"/>
        <w:bidi w:val="0"/>
        <w:spacing w:before="0" w:after="240"/>
        <w:jc w:val="both"/>
        <w:rPr/>
      </w:pPr>
      <w:r>
        <w:rPr>
          <w:color w:val="000000"/>
        </w:rPr>
        <w:t>“</w:t>
      </w:r>
      <w:r>
        <w:rPr>
          <w:rFonts w:ascii="Times New Roman" w:hAnsi="Times New Roman"/>
          <w:b/>
          <w:i/>
          <w:color w:val="000000"/>
          <w:sz w:val="22"/>
        </w:rPr>
        <w:t>Common Stock</w:t>
      </w:r>
      <w:r>
        <w:rPr>
          <w:color w:val="000000"/>
        </w:rPr>
        <w:t xml:space="preserve">” </w:t>
      </w:r>
      <w:r>
        <w:rPr>
          <w:rFonts w:ascii="Times New Roman" w:hAnsi="Times New Roman"/>
          <w:color w:val="000000"/>
          <w:sz w:val="22"/>
        </w:rPr>
        <w:t>means the common stock, par value $0.10 per share, which the Company is currently authorized to issue or may in the future be authorized to issue, or any securities into which or for which the common stock of the Company may be converted or exchanged, as the case may be, pursuant to the terms of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2.12</w:t>
      </w:r>
    </w:p>
    <w:p>
      <w:pPr>
        <w:pStyle w:val="TextBody"/>
        <w:bidi w:val="0"/>
        <w:spacing w:before="0" w:after="240"/>
        <w:jc w:val="both"/>
        <w:rPr/>
      </w:pPr>
      <w:r>
        <w:rPr>
          <w:color w:val="000000"/>
        </w:rPr>
        <w:t>“</w:t>
      </w:r>
      <w:r>
        <w:rPr>
          <w:rFonts w:ascii="Times New Roman" w:hAnsi="Times New Roman"/>
          <w:b/>
          <w:i/>
          <w:color w:val="000000"/>
          <w:sz w:val="22"/>
        </w:rPr>
        <w:t>Company</w:t>
      </w:r>
      <w:r>
        <w:rPr>
          <w:color w:val="000000"/>
        </w:rPr>
        <w:t xml:space="preserve">” </w:t>
      </w:r>
      <w:r>
        <w:rPr>
          <w:rFonts w:ascii="Times New Roman" w:hAnsi="Times New Roman"/>
          <w:color w:val="000000"/>
          <w:sz w:val="22"/>
        </w:rPr>
        <w:t>means LSB Industries, Inc., a Delaware corporation, and any successor entity.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2.13</w:t>
      </w:r>
    </w:p>
    <w:p>
      <w:pPr>
        <w:pStyle w:val="TextBody"/>
        <w:bidi w:val="0"/>
        <w:spacing w:before="0" w:after="240"/>
        <w:jc w:val="both"/>
        <w:rPr/>
      </w:pPr>
      <w:r>
        <w:rPr>
          <w:color w:val="000000"/>
        </w:rPr>
        <w:t>“</w:t>
      </w:r>
      <w:r>
        <w:rPr>
          <w:rFonts w:ascii="Times New Roman" w:hAnsi="Times New Roman"/>
          <w:b/>
          <w:i/>
          <w:color w:val="000000"/>
          <w:sz w:val="22"/>
        </w:rPr>
        <w:t>Contractor</w:t>
      </w:r>
      <w:r>
        <w:rPr>
          <w:color w:val="000000"/>
        </w:rPr>
        <w:t xml:space="preserve">” </w:t>
      </w:r>
      <w:r>
        <w:rPr>
          <w:rFonts w:ascii="Times New Roman" w:hAnsi="Times New Roman"/>
          <w:color w:val="000000"/>
          <w:sz w:val="22"/>
        </w:rPr>
        <w:t xml:space="preserve">means any natural person (or a wholly owned alter ego entity of the natural person providing such services of which such person is an employee, stockholder, or partner),, who is not an Employee, rendering </w:t>
      </w:r>
      <w:r>
        <w:rPr>
          <w:rFonts w:ascii="Times New Roman" w:hAnsi="Times New Roman"/>
          <w:i/>
          <w:color w:val="000000"/>
          <w:sz w:val="22"/>
        </w:rPr>
        <w:t>bona fide</w:t>
      </w:r>
      <w:r>
        <w:rPr>
          <w:color w:val="000000"/>
        </w:rPr>
        <w:t xml:space="preserve"> </w:t>
      </w:r>
      <w:r>
        <w:rPr>
          <w:rFonts w:ascii="Times New Roman" w:hAnsi="Times New Roman"/>
          <w:color w:val="000000"/>
          <w:sz w:val="22"/>
        </w:rPr>
        <w:t xml:space="preserve">services to the Company or a Subsidiary, with compensation, pursuant to a written independent contractor agreement between such person and the Company or a Subsidiary, </w:t>
      </w:r>
      <w:r>
        <w:rPr>
          <w:rFonts w:ascii="Times New Roman" w:hAnsi="Times New Roman"/>
          <w:i/>
          <w:color w:val="000000"/>
          <w:sz w:val="22"/>
        </w:rPr>
        <w:t>provided that</w:t>
      </w:r>
      <w:r>
        <w:rPr>
          <w:color w:val="000000"/>
        </w:rPr>
        <w:t xml:space="preserve"> </w:t>
      </w:r>
      <w:r>
        <w:rPr>
          <w:rFonts w:ascii="Times New Roman" w:hAnsi="Times New Roman"/>
          <w:color w:val="000000"/>
          <w:sz w:val="22"/>
        </w:rPr>
        <w:t>such services are not rendered in connection with the offer or sale of securities in a capital raising transaction and do not directly or indirectly promote or maintain a market for the Company’s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2.14</w:t>
      </w:r>
    </w:p>
    <w:p>
      <w:pPr>
        <w:pStyle w:val="TextBody"/>
        <w:bidi w:val="0"/>
        <w:spacing w:before="0" w:after="240"/>
        <w:jc w:val="both"/>
        <w:rPr/>
      </w:pPr>
      <w:r>
        <w:rPr>
          <w:color w:val="000000"/>
        </w:rPr>
        <w:t>“</w:t>
      </w:r>
      <w:r>
        <w:rPr>
          <w:rFonts w:ascii="Times New Roman" w:hAnsi="Times New Roman"/>
          <w:b/>
          <w:i/>
          <w:color w:val="000000"/>
          <w:sz w:val="22"/>
        </w:rPr>
        <w:t>Corporation</w:t>
      </w:r>
      <w:r>
        <w:rPr>
          <w:color w:val="000000"/>
        </w:rPr>
        <w:t xml:space="preserve">” </w:t>
      </w:r>
      <w:r>
        <w:rPr>
          <w:rFonts w:ascii="Times New Roman" w:hAnsi="Times New Roman"/>
          <w:color w:val="000000"/>
          <w:sz w:val="22"/>
        </w:rPr>
        <w:t>means any entity that (a) is defined as a corporation under Section 7701 of the Code and (b) is the Company or is in an unbroken chain of corporations (other than the Company) beginning with the Company, if each of the corporations other than the last corporation in the unbroken chain owns stock possessing a majority of the total combined voting power of all classes of stock in one of the other corporations in the chain. For purposes of clause (b) hereof, an entity shall be treated as a “corporation” if it satisfies the definition of a corporation under Section 7701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2.15</w:t>
      </w:r>
    </w:p>
    <w:p>
      <w:pPr>
        <w:pStyle w:val="TextBody"/>
        <w:bidi w:val="0"/>
        <w:spacing w:before="0" w:after="240"/>
        <w:jc w:val="both"/>
        <w:rPr/>
      </w:pPr>
      <w:r>
        <w:rPr>
          <w:color w:val="000000"/>
        </w:rPr>
        <w:t>“</w:t>
      </w:r>
      <w:r>
        <w:rPr>
          <w:rFonts w:ascii="Times New Roman" w:hAnsi="Times New Roman"/>
          <w:b/>
          <w:i/>
          <w:color w:val="000000"/>
          <w:sz w:val="22"/>
        </w:rPr>
        <w:t>Date of Grant</w:t>
      </w:r>
      <w:r>
        <w:rPr>
          <w:color w:val="000000"/>
        </w:rPr>
        <w:t xml:space="preserve">” </w:t>
      </w:r>
      <w:r>
        <w:rPr>
          <w:rFonts w:ascii="Times New Roman" w:hAnsi="Times New Roman"/>
          <w:color w:val="000000"/>
          <w:sz w:val="22"/>
        </w:rPr>
        <w:t xml:space="preserve">means the effective date on which an Award is made to a Participant as set forth in the applicable Award Agreement; </w:t>
      </w:r>
      <w:r>
        <w:rPr>
          <w:rFonts w:ascii="Times New Roman" w:hAnsi="Times New Roman"/>
          <w:i/>
          <w:color w:val="000000"/>
          <w:sz w:val="22"/>
        </w:rPr>
        <w:t>provided, however</w:t>
      </w:r>
      <w:r>
        <w:rPr>
          <w:rFonts w:ascii="Times New Roman" w:hAnsi="Times New Roman"/>
          <w:color w:val="000000"/>
          <w:sz w:val="22"/>
        </w:rPr>
        <w:t>, that solely for purposes of Section 16 of the Exchange Act and the rules and regulations promulgated thereunder, the Date of Grant of an Award shall be the date of stockholder approval of the Plan if such date is later than the effective date of such Award as set forth in the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2.16</w:t>
      </w:r>
    </w:p>
    <w:p>
      <w:pPr>
        <w:pStyle w:val="TextBody"/>
        <w:bidi w:val="0"/>
        <w:spacing w:before="0" w:after="240"/>
        <w:jc w:val="both"/>
        <w:rPr/>
      </w:pPr>
      <w:r>
        <w:rPr>
          <w:color w:val="000000"/>
        </w:rPr>
        <w:t>“</w:t>
      </w:r>
      <w:r>
        <w:rPr>
          <w:rFonts w:ascii="Times New Roman" w:hAnsi="Times New Roman"/>
          <w:b/>
          <w:i/>
          <w:color w:val="000000"/>
          <w:sz w:val="22"/>
        </w:rPr>
        <w:t>Dividend Equivalent Right</w:t>
      </w:r>
      <w:r>
        <w:rPr>
          <w:color w:val="000000"/>
        </w:rPr>
        <w:t xml:space="preserve">” </w:t>
      </w:r>
      <w:r>
        <w:rPr>
          <w:rFonts w:ascii="Times New Roman" w:hAnsi="Times New Roman"/>
          <w:color w:val="000000"/>
          <w:sz w:val="22"/>
        </w:rPr>
        <w:t>means the right of the holder thereof to receive credits based on the cash dividends that would have been paid on the shares of Common Stock specified in the Award if such shares were held by the Participant to whom the Award is made.</w:t>
      </w:r>
    </w:p>
    <w:p>
      <w:pPr>
        <w:pStyle w:val="TextBody"/>
        <w:bidi w:val="0"/>
        <w:jc w:val="center"/>
        <w:rPr>
          <w:rFonts w:ascii="Times New Roman" w:hAnsi="Times New Roman"/>
          <w:color w:val="000000"/>
          <w:sz w:val="22"/>
        </w:rPr>
      </w:pPr>
      <w:r>
        <w:rPr>
          <w:rFonts w:ascii="Times New Roman" w:hAnsi="Times New Roman"/>
          <w:color w:val="000000"/>
          <w:sz w:val="22"/>
        </w:rPr>
        <w:t>A-8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2.17</w:t>
      </w:r>
    </w:p>
    <w:p>
      <w:pPr>
        <w:pStyle w:val="TextBody"/>
        <w:bidi w:val="0"/>
        <w:spacing w:before="0" w:after="0"/>
        <w:jc w:val="both"/>
        <w:rPr/>
      </w:pPr>
      <w:r>
        <w:rPr>
          <w:color w:val="000000"/>
        </w:rPr>
        <w:t>“</w:t>
      </w:r>
      <w:r>
        <w:rPr>
          <w:rFonts w:ascii="Times New Roman" w:hAnsi="Times New Roman"/>
          <w:b/>
          <w:i/>
          <w:color w:val="000000"/>
          <w:sz w:val="22"/>
        </w:rPr>
        <w:t>Employee</w:t>
      </w:r>
      <w:r>
        <w:rPr>
          <w:color w:val="000000"/>
        </w:rPr>
        <w:t xml:space="preserve">” </w:t>
      </w:r>
      <w:r>
        <w:rPr>
          <w:rFonts w:ascii="Times New Roman" w:hAnsi="Times New Roman"/>
          <w:color w:val="000000"/>
          <w:sz w:val="22"/>
        </w:rPr>
        <w:t>means a common law employee (as defined in accordance with the Regulations and Revenue Rulings then applicable under Section 3401(c) of the Code) of the Company or any Subsidiary of the Company; provided, however, in the case of individuals whose employment status, by virtue of their employer or residence, is not determined under Section 3401(c) of the Code, “Employee” shall mean an individual treated as an employee for local payroll tax or employment purposes by the applicable employer under Applicable Law for the relevant period. An employee on leave of absence may be considered as still in the employ of the Company or its Subsidiaries for purposes of eligibility for participation in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2.18</w:t>
      </w:r>
    </w:p>
    <w:p>
      <w:pPr>
        <w:pStyle w:val="TextBody"/>
        <w:bidi w:val="0"/>
        <w:spacing w:before="0" w:after="240"/>
        <w:jc w:val="both"/>
        <w:rPr/>
      </w:pPr>
      <w:r>
        <w:rPr>
          <w:color w:val="000000"/>
        </w:rPr>
        <w:t>“</w:t>
      </w:r>
      <w:r>
        <w:rPr>
          <w:rFonts w:ascii="Times New Roman" w:hAnsi="Times New Roman"/>
          <w:b/>
          <w:i/>
          <w:color w:val="000000"/>
          <w:sz w:val="22"/>
        </w:rPr>
        <w:t>Exchange Act</w:t>
      </w:r>
      <w:r>
        <w:rPr>
          <w:color w:val="000000"/>
        </w:rPr>
        <w:t xml:space="preserve">” </w:t>
      </w:r>
      <w:r>
        <w:rPr>
          <w:rFonts w:ascii="Times New Roman" w:hAnsi="Times New Roman"/>
          <w:color w:val="000000"/>
          <w:sz w:val="22"/>
        </w:rPr>
        <w:t>means the United States Securities Exchange Act of 1934, as amended.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2.19</w:t>
      </w:r>
    </w:p>
    <w:p>
      <w:pPr>
        <w:pStyle w:val="TextBody"/>
        <w:bidi w:val="0"/>
        <w:spacing w:before="0" w:after="240"/>
        <w:jc w:val="both"/>
        <w:rPr/>
      </w:pPr>
      <w:r>
        <w:rPr>
          <w:color w:val="000000"/>
        </w:rPr>
        <w:t>“</w:t>
      </w:r>
      <w:r>
        <w:rPr>
          <w:rFonts w:ascii="Times New Roman" w:hAnsi="Times New Roman"/>
          <w:b/>
          <w:i/>
          <w:color w:val="000000"/>
          <w:sz w:val="22"/>
        </w:rPr>
        <w:t>Exercise Date</w:t>
      </w:r>
      <w:r>
        <w:rPr>
          <w:color w:val="000000"/>
        </w:rPr>
        <w:t xml:space="preserve">” </w:t>
      </w:r>
      <w:r>
        <w:rPr>
          <w:rFonts w:ascii="Times New Roman" w:hAnsi="Times New Roman"/>
          <w:color w:val="000000"/>
          <w:sz w:val="22"/>
        </w:rPr>
        <w:t>is the date (i) with respect to any Stock Option, that the Participant has delivered both the Exercise Notice and consideration to the Company with a value equal to the total Option Price of the shares to be purchased (plus any income and/or employment tax withholding or other tax payment due with respect to such Award); and (ii) with respect to any SAR, that the Participant has delivered both the Exercise Notice and consideration to the Company with a value equal to any income and/or employment tax withholding or other tax payment due with respect to such SAR.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2.20</w:t>
      </w:r>
    </w:p>
    <w:p>
      <w:pPr>
        <w:pStyle w:val="TextBody"/>
        <w:bidi w:val="0"/>
        <w:spacing w:before="0" w:after="240"/>
        <w:jc w:val="both"/>
        <w:rPr/>
      </w:pPr>
      <w:r>
        <w:rPr>
          <w:color w:val="000000"/>
        </w:rPr>
        <w:t>“</w:t>
      </w:r>
      <w:r>
        <w:rPr>
          <w:rFonts w:ascii="Times New Roman" w:hAnsi="Times New Roman"/>
          <w:b/>
          <w:i/>
          <w:color w:val="000000"/>
          <w:sz w:val="22"/>
        </w:rPr>
        <w:t>Exercise Notice</w:t>
      </w:r>
      <w:r>
        <w:rPr>
          <w:color w:val="000000"/>
        </w:rPr>
        <w:t xml:space="preserve">” </w:t>
      </w:r>
      <w:r>
        <w:rPr>
          <w:rFonts w:ascii="Times New Roman" w:hAnsi="Times New Roman"/>
          <w:color w:val="000000"/>
          <w:sz w:val="22"/>
        </w:rPr>
        <w:t xml:space="preserve">is defined in </w:t>
      </w:r>
      <w:r>
        <w:rPr>
          <w:rFonts w:ascii="Times New Roman" w:hAnsi="Times New Roman"/>
          <w:color w:val="000000"/>
          <w:sz w:val="22"/>
          <w:u w:val="single"/>
        </w:rPr>
        <w:t>Section 8.3(b)</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2.21</w:t>
      </w:r>
    </w:p>
    <w:p>
      <w:pPr>
        <w:pStyle w:val="TextBody"/>
        <w:bidi w:val="0"/>
        <w:spacing w:before="0" w:after="240"/>
        <w:jc w:val="both"/>
        <w:rPr/>
      </w:pPr>
      <w:r>
        <w:rPr>
          <w:color w:val="000000"/>
        </w:rPr>
        <w:t>“</w:t>
      </w:r>
      <w:r>
        <w:rPr>
          <w:rFonts w:ascii="Times New Roman" w:hAnsi="Times New Roman"/>
          <w:b/>
          <w:i/>
          <w:color w:val="000000"/>
          <w:sz w:val="22"/>
        </w:rPr>
        <w:t>Fair Market Value</w:t>
      </w:r>
      <w:r>
        <w:rPr>
          <w:color w:val="000000"/>
        </w:rPr>
        <w:t xml:space="preserve">” </w:t>
      </w:r>
      <w:r>
        <w:rPr>
          <w:rFonts w:ascii="Times New Roman" w:hAnsi="Times New Roman"/>
          <w:color w:val="000000"/>
          <w:sz w:val="22"/>
        </w:rPr>
        <w:t>means, as of a particular date, (a) if the shares of Common Stock are listed on any established national securities exchange, the closing sales price per share of Common Stock on the consolidated transaction reporting system for the principal securities exchange for the Common Stock on that date (as determined by the Committee, in its discretion), or, if there shall have been no such sale so reported on that date, on the last preceding date on which such a sale was so reported; (b) if the shares of Common Stock are not so listed, but are quoted on an automated quotation system, the closing sales price per share of Common Stock reported on the automated quotation system on that date, or, if there shall have been no such sale so reported on that date, on the last preceding date on which such a sale was so reported; (c) if the Common Stock is not so listed or quoted, the mean between the closing bid and asked price on that date, or, if there are no quotations available for such date, on the last preceding date on which such quotations shall be available, as reported by the OTCQX, OTCQB or OTC Pink (Pink Open Market); or (d) if none of the above is applicable, such amount as may be determined by the Committee (acting on the advice of an Independent Third Party, should the Committee elect in its sole discretion to utilize an Independent Third Party for this purpose), in good faith, to be the fair market value per share of Common Stock. The determination of Fair Market Value shall, where applicable, be in compliance with Section 409A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2.22</w:t>
      </w:r>
    </w:p>
    <w:p>
      <w:pPr>
        <w:pStyle w:val="TextBody"/>
        <w:bidi w:val="0"/>
        <w:spacing w:before="0" w:after="240"/>
        <w:jc w:val="both"/>
        <w:rPr/>
      </w:pPr>
      <w:r>
        <w:rPr>
          <w:color w:val="000000"/>
        </w:rPr>
        <w:t>“</w:t>
      </w:r>
      <w:r>
        <w:rPr>
          <w:rFonts w:ascii="Times New Roman" w:hAnsi="Times New Roman"/>
          <w:b/>
          <w:i/>
          <w:color w:val="000000"/>
          <w:sz w:val="22"/>
        </w:rPr>
        <w:t>Immediate Family Members</w:t>
      </w:r>
      <w:r>
        <w:rPr>
          <w:color w:val="000000"/>
        </w:rPr>
        <w:t xml:space="preserve">” </w:t>
      </w:r>
      <w:r>
        <w:rPr>
          <w:rFonts w:ascii="Times New Roman" w:hAnsi="Times New Roman"/>
          <w:color w:val="000000"/>
          <w:sz w:val="22"/>
        </w:rPr>
        <w:t xml:space="preserve">is defined in </w:t>
      </w:r>
      <w:r>
        <w:rPr>
          <w:rFonts w:ascii="Times New Roman" w:hAnsi="Times New Roman"/>
          <w:color w:val="000000"/>
          <w:sz w:val="22"/>
          <w:u w:val="single"/>
        </w:rPr>
        <w:t>Section 15.8</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2.23</w:t>
      </w:r>
    </w:p>
    <w:p>
      <w:pPr>
        <w:pStyle w:val="TextBody"/>
        <w:bidi w:val="0"/>
        <w:spacing w:before="0" w:after="240"/>
        <w:jc w:val="both"/>
        <w:rPr/>
      </w:pPr>
      <w:r>
        <w:rPr>
          <w:color w:val="000000"/>
        </w:rPr>
        <w:t>“</w:t>
      </w:r>
      <w:r>
        <w:rPr>
          <w:rFonts w:ascii="Times New Roman" w:hAnsi="Times New Roman"/>
          <w:b/>
          <w:i/>
          <w:color w:val="000000"/>
          <w:sz w:val="22"/>
        </w:rPr>
        <w:t>Incentive</w:t>
      </w:r>
      <w:r>
        <w:rPr>
          <w:color w:val="000000"/>
        </w:rPr>
        <w:t xml:space="preserve">” </w:t>
      </w:r>
      <w:r>
        <w:rPr>
          <w:rFonts w:ascii="Times New Roman" w:hAnsi="Times New Roman"/>
          <w:color w:val="000000"/>
          <w:sz w:val="22"/>
        </w:rPr>
        <w:t xml:space="preserve">is defined in </w:t>
      </w:r>
      <w:r>
        <w:rPr>
          <w:rFonts w:ascii="Times New Roman" w:hAnsi="Times New Roman"/>
          <w:color w:val="000000"/>
          <w:sz w:val="22"/>
          <w:u w:val="single"/>
        </w:rPr>
        <w:t>Section 2.3</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2.24</w:t>
      </w:r>
    </w:p>
    <w:p>
      <w:pPr>
        <w:pStyle w:val="TextBody"/>
        <w:bidi w:val="0"/>
        <w:spacing w:before="0" w:after="240"/>
        <w:jc w:val="both"/>
        <w:rPr/>
      </w:pPr>
      <w:r>
        <w:rPr>
          <w:color w:val="000000"/>
        </w:rPr>
        <w:t>“</w:t>
      </w:r>
      <w:r>
        <w:rPr>
          <w:rFonts w:ascii="Times New Roman" w:hAnsi="Times New Roman"/>
          <w:b/>
          <w:i/>
          <w:color w:val="000000"/>
          <w:sz w:val="22"/>
        </w:rPr>
        <w:t>Incentive Stock Option</w:t>
      </w:r>
      <w:r>
        <w:rPr>
          <w:color w:val="000000"/>
        </w:rPr>
        <w:t xml:space="preserve">” </w:t>
      </w:r>
      <w:r>
        <w:rPr>
          <w:rFonts w:ascii="Times New Roman" w:hAnsi="Times New Roman"/>
          <w:color w:val="000000"/>
          <w:sz w:val="22"/>
        </w:rPr>
        <w:t>means an incentive stock option within the meaning of Section 422 of the Code, granted pursuant to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2.25</w:t>
      </w:r>
    </w:p>
    <w:p>
      <w:pPr>
        <w:pStyle w:val="TextBody"/>
        <w:bidi w:val="0"/>
        <w:spacing w:before="0" w:after="240"/>
        <w:jc w:val="both"/>
        <w:rPr/>
      </w:pPr>
      <w:r>
        <w:rPr>
          <w:color w:val="000000"/>
        </w:rPr>
        <w:t>“</w:t>
      </w:r>
      <w:r>
        <w:rPr>
          <w:rFonts w:ascii="Times New Roman" w:hAnsi="Times New Roman"/>
          <w:b/>
          <w:i/>
          <w:color w:val="000000"/>
          <w:sz w:val="22"/>
        </w:rPr>
        <w:t>Independent Third Party</w:t>
      </w:r>
      <w:r>
        <w:rPr>
          <w:color w:val="000000"/>
        </w:rPr>
        <w:t xml:space="preserve">” </w:t>
      </w:r>
      <w:r>
        <w:rPr>
          <w:rFonts w:ascii="Times New Roman" w:hAnsi="Times New Roman"/>
          <w:color w:val="000000"/>
          <w:sz w:val="22"/>
        </w:rPr>
        <w:t>means an individual or entity independent of the Company having experience in providing investment banking or similar appraisal or valuation services and with expertise generally in the valuation of securities or other property for purposes of this Plan. The Committee may utilize one or more Independent Third Parties.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2.26</w:t>
      </w:r>
    </w:p>
    <w:p>
      <w:pPr>
        <w:pStyle w:val="TextBody"/>
        <w:bidi w:val="0"/>
        <w:spacing w:before="0" w:after="240"/>
        <w:jc w:val="both"/>
        <w:rPr/>
      </w:pPr>
      <w:r>
        <w:rPr>
          <w:color w:val="000000"/>
        </w:rPr>
        <w:t>“</w:t>
      </w:r>
      <w:r>
        <w:rPr>
          <w:rFonts w:ascii="Times New Roman" w:hAnsi="Times New Roman"/>
          <w:b/>
          <w:i/>
          <w:color w:val="000000"/>
          <w:sz w:val="22"/>
        </w:rPr>
        <w:t>Nonqualified Stock Option</w:t>
      </w:r>
      <w:r>
        <w:rPr>
          <w:color w:val="000000"/>
        </w:rPr>
        <w:t xml:space="preserve">” </w:t>
      </w:r>
      <w:r>
        <w:rPr>
          <w:rFonts w:ascii="Times New Roman" w:hAnsi="Times New Roman"/>
          <w:color w:val="000000"/>
          <w:sz w:val="22"/>
        </w:rPr>
        <w:t>means a nonqualified stock option, granted pursuant to this Plan, which is not an Incentive Stock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2.27</w:t>
      </w:r>
    </w:p>
    <w:p>
      <w:pPr>
        <w:pStyle w:val="TextBody"/>
        <w:bidi w:val="0"/>
        <w:spacing w:before="0" w:after="240"/>
        <w:jc w:val="both"/>
        <w:rPr/>
      </w:pPr>
      <w:r>
        <w:rPr>
          <w:color w:val="000000"/>
        </w:rPr>
        <w:t>“</w:t>
      </w:r>
      <w:r>
        <w:rPr>
          <w:rFonts w:ascii="Times New Roman" w:hAnsi="Times New Roman"/>
          <w:b/>
          <w:i/>
          <w:color w:val="000000"/>
          <w:sz w:val="22"/>
        </w:rPr>
        <w:t>Option Price</w:t>
      </w:r>
      <w:r>
        <w:rPr>
          <w:color w:val="000000"/>
        </w:rPr>
        <w:t xml:space="preserve">” </w:t>
      </w:r>
      <w:r>
        <w:rPr>
          <w:rFonts w:ascii="Times New Roman" w:hAnsi="Times New Roman"/>
          <w:color w:val="000000"/>
          <w:sz w:val="22"/>
        </w:rPr>
        <w:t>means the price which must be paid by a Participant upon exercise of a Stock Option to purchase a share of Common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2.28</w:t>
      </w:r>
    </w:p>
    <w:p>
      <w:pPr>
        <w:pStyle w:val="TextBody"/>
        <w:bidi w:val="0"/>
        <w:spacing w:before="0" w:after="240"/>
        <w:jc w:val="both"/>
        <w:rPr/>
      </w:pPr>
      <w:r>
        <w:rPr>
          <w:color w:val="000000"/>
        </w:rPr>
        <w:t>“</w:t>
      </w:r>
      <w:r>
        <w:rPr>
          <w:rFonts w:ascii="Times New Roman" w:hAnsi="Times New Roman"/>
          <w:b/>
          <w:i/>
          <w:color w:val="000000"/>
          <w:sz w:val="22"/>
        </w:rPr>
        <w:t>Other Award</w:t>
      </w:r>
      <w:r>
        <w:rPr>
          <w:color w:val="000000"/>
        </w:rPr>
        <w:t xml:space="preserve">” </w:t>
      </w:r>
      <w:r>
        <w:rPr>
          <w:rFonts w:ascii="Times New Roman" w:hAnsi="Times New Roman"/>
          <w:color w:val="000000"/>
          <w:sz w:val="22"/>
        </w:rPr>
        <w:t xml:space="preserve">means an Award issued pursuant to </w:t>
      </w:r>
      <w:r>
        <w:rPr>
          <w:rFonts w:ascii="Times New Roman" w:hAnsi="Times New Roman"/>
          <w:color w:val="000000"/>
          <w:sz w:val="22"/>
          <w:u w:val="single"/>
        </w:rPr>
        <w:t>Section 6.9</w:t>
      </w:r>
      <w:r>
        <w:rPr>
          <w:color w:val="000000"/>
        </w:rPr>
        <w:t xml:space="preserve"> </w:t>
      </w:r>
      <w:r>
        <w:rPr>
          <w:rFonts w:ascii="Times New Roman" w:hAnsi="Times New Roman"/>
          <w:color w:val="000000"/>
          <w:sz w:val="22"/>
        </w:rPr>
        <w:t>hereof.</w:t>
      </w:r>
    </w:p>
    <w:p>
      <w:pPr>
        <w:pStyle w:val="TextBody"/>
        <w:bidi w:val="0"/>
        <w:jc w:val="center"/>
        <w:rPr>
          <w:rFonts w:ascii="Times New Roman" w:hAnsi="Times New Roman"/>
          <w:color w:val="000000"/>
          <w:sz w:val="22"/>
        </w:rPr>
      </w:pPr>
      <w:r>
        <w:rPr>
          <w:rFonts w:ascii="Times New Roman" w:hAnsi="Times New Roman"/>
          <w:color w:val="000000"/>
          <w:sz w:val="22"/>
        </w:rPr>
        <w:t>A-9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2.29</w:t>
      </w:r>
    </w:p>
    <w:p>
      <w:pPr>
        <w:pStyle w:val="TextBody"/>
        <w:bidi w:val="0"/>
        <w:spacing w:before="0" w:after="240"/>
        <w:jc w:val="both"/>
        <w:rPr/>
      </w:pPr>
      <w:r>
        <w:rPr>
          <w:color w:val="000000"/>
        </w:rPr>
        <w:t>“</w:t>
      </w:r>
      <w:r>
        <w:rPr>
          <w:rFonts w:ascii="Times New Roman" w:hAnsi="Times New Roman"/>
          <w:b/>
          <w:i/>
          <w:color w:val="000000"/>
          <w:sz w:val="22"/>
        </w:rPr>
        <w:t>Outside Director</w:t>
      </w:r>
      <w:r>
        <w:rPr>
          <w:color w:val="000000"/>
        </w:rPr>
        <w:t xml:space="preserve">” </w:t>
      </w:r>
      <w:r>
        <w:rPr>
          <w:rFonts w:ascii="Times New Roman" w:hAnsi="Times New Roman"/>
          <w:color w:val="000000"/>
          <w:sz w:val="22"/>
        </w:rPr>
        <w:t>means a director of the Company who is not an Employee or a Contractor.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2.30</w:t>
      </w:r>
    </w:p>
    <w:p>
      <w:pPr>
        <w:pStyle w:val="TextBody"/>
        <w:bidi w:val="0"/>
        <w:spacing w:before="0" w:after="240"/>
        <w:jc w:val="both"/>
        <w:rPr/>
      </w:pPr>
      <w:r>
        <w:rPr>
          <w:color w:val="000000"/>
        </w:rPr>
        <w:t>“</w:t>
      </w:r>
      <w:r>
        <w:rPr>
          <w:rFonts w:ascii="Times New Roman" w:hAnsi="Times New Roman"/>
          <w:b/>
          <w:i/>
          <w:color w:val="000000"/>
          <w:sz w:val="22"/>
        </w:rPr>
        <w:t>Participant</w:t>
      </w:r>
      <w:r>
        <w:rPr>
          <w:color w:val="000000"/>
        </w:rPr>
        <w:t xml:space="preserve">” </w:t>
      </w:r>
      <w:r>
        <w:rPr>
          <w:rFonts w:ascii="Times New Roman" w:hAnsi="Times New Roman"/>
          <w:color w:val="000000"/>
          <w:sz w:val="22"/>
        </w:rPr>
        <w:t>means an Employee, Contractor or an Outside Director to whom an Award is granted under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2.31</w:t>
      </w:r>
    </w:p>
    <w:p>
      <w:pPr>
        <w:pStyle w:val="TextBody"/>
        <w:bidi w:val="0"/>
        <w:spacing w:before="0" w:after="240"/>
        <w:jc w:val="both"/>
        <w:rPr/>
      </w:pPr>
      <w:r>
        <w:rPr>
          <w:color w:val="000000"/>
        </w:rPr>
        <w:t>“</w:t>
      </w:r>
      <w:r>
        <w:rPr>
          <w:rFonts w:ascii="Times New Roman" w:hAnsi="Times New Roman"/>
          <w:b/>
          <w:i/>
          <w:color w:val="000000"/>
          <w:sz w:val="22"/>
        </w:rPr>
        <w:t>Performance Award</w:t>
      </w:r>
      <w:r>
        <w:rPr>
          <w:color w:val="000000"/>
        </w:rPr>
        <w:t xml:space="preserve">” </w:t>
      </w:r>
      <w:r>
        <w:rPr>
          <w:rFonts w:ascii="Times New Roman" w:hAnsi="Times New Roman"/>
          <w:color w:val="000000"/>
          <w:sz w:val="22"/>
        </w:rPr>
        <w:t xml:space="preserve">means an Award hereunder of cash, shares of Common Stock, units or rights based upon, payable in, or otherwise related to, Common Stock pursuant to </w:t>
      </w:r>
      <w:r>
        <w:rPr>
          <w:rFonts w:ascii="Times New Roman" w:hAnsi="Times New Roman"/>
          <w:color w:val="000000"/>
          <w:sz w:val="22"/>
          <w:u w:val="single"/>
        </w:rPr>
        <w:t>Section 6.7</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2.32</w:t>
      </w:r>
    </w:p>
    <w:p>
      <w:pPr>
        <w:pStyle w:val="TextBody"/>
        <w:bidi w:val="0"/>
        <w:spacing w:before="0" w:after="240"/>
        <w:jc w:val="both"/>
        <w:rPr/>
      </w:pPr>
      <w:r>
        <w:rPr>
          <w:color w:val="000000"/>
        </w:rPr>
        <w:t>“</w:t>
      </w:r>
      <w:r>
        <w:rPr>
          <w:rFonts w:ascii="Times New Roman" w:hAnsi="Times New Roman"/>
          <w:b/>
          <w:i/>
          <w:color w:val="000000"/>
          <w:sz w:val="22"/>
        </w:rPr>
        <w:t>Performance Goal</w:t>
      </w:r>
      <w:r>
        <w:rPr>
          <w:color w:val="000000"/>
        </w:rPr>
        <w:t xml:space="preserve">” </w:t>
      </w:r>
      <w:r>
        <w:rPr>
          <w:rFonts w:ascii="Times New Roman" w:hAnsi="Times New Roman"/>
          <w:color w:val="000000"/>
          <w:sz w:val="22"/>
        </w:rPr>
        <w:t>means any of the performance goals relating to one or more business or individual performance criteria established by the Committee in its sole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2.33</w:t>
      </w:r>
    </w:p>
    <w:p>
      <w:pPr>
        <w:pStyle w:val="TextBody"/>
        <w:bidi w:val="0"/>
        <w:spacing w:before="0" w:after="240"/>
        <w:jc w:val="both"/>
        <w:rPr/>
      </w:pPr>
      <w:r>
        <w:rPr>
          <w:color w:val="000000"/>
        </w:rPr>
        <w:t>“</w:t>
      </w:r>
      <w:r>
        <w:rPr>
          <w:rFonts w:ascii="Times New Roman" w:hAnsi="Times New Roman"/>
          <w:b/>
          <w:i/>
          <w:color w:val="000000"/>
          <w:sz w:val="22"/>
        </w:rPr>
        <w:t>Plan</w:t>
      </w:r>
      <w:r>
        <w:rPr>
          <w:color w:val="000000"/>
        </w:rPr>
        <w:t xml:space="preserve">” </w:t>
      </w:r>
      <w:r>
        <w:rPr>
          <w:rFonts w:ascii="Times New Roman" w:hAnsi="Times New Roman"/>
          <w:color w:val="000000"/>
          <w:sz w:val="22"/>
        </w:rPr>
        <w:t>means this LSB Industries, Inc. 2025</w:t>
      </w:r>
      <w:r>
        <w:rPr>
          <w:color w:val="000000"/>
        </w:rPr>
        <w:t xml:space="preserve"> </w:t>
      </w:r>
      <w:r>
        <w:rPr>
          <w:rFonts w:ascii="Times New Roman" w:hAnsi="Times New Roman"/>
          <w:color w:val="000000"/>
          <w:sz w:val="22"/>
        </w:rPr>
        <w:t>Long-Term Incentive Plan, as amended from time to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2.34</w:t>
      </w:r>
    </w:p>
    <w:p>
      <w:pPr>
        <w:pStyle w:val="TextBody"/>
        <w:bidi w:val="0"/>
        <w:spacing w:before="0" w:after="240"/>
        <w:jc w:val="both"/>
        <w:rPr/>
      </w:pPr>
      <w:r>
        <w:rPr>
          <w:color w:val="000000"/>
        </w:rPr>
        <w:t>“</w:t>
      </w:r>
      <w:r>
        <w:rPr>
          <w:rFonts w:ascii="Times New Roman" w:hAnsi="Times New Roman"/>
          <w:b/>
          <w:i/>
          <w:color w:val="000000"/>
          <w:sz w:val="22"/>
        </w:rPr>
        <w:t>Prior Plans</w:t>
      </w:r>
      <w:r>
        <w:rPr>
          <w:color w:val="000000"/>
        </w:rPr>
        <w:t xml:space="preserve">” </w:t>
      </w:r>
      <w:r>
        <w:rPr>
          <w:rFonts w:ascii="Times New Roman" w:hAnsi="Times New Roman"/>
          <w:color w:val="000000"/>
          <w:sz w:val="22"/>
        </w:rPr>
        <w:t>mean the LSB Industries, Inc. 2008 Incentive Stock Plan, as amended effective June 5, 2014 and LSB Industries, Inc. 2016 Long Term Incentive Plan, as amended and restated March 4, 2021.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2.35</w:t>
      </w:r>
    </w:p>
    <w:p>
      <w:pPr>
        <w:pStyle w:val="TextBody"/>
        <w:bidi w:val="0"/>
        <w:spacing w:before="0" w:after="240"/>
        <w:jc w:val="both"/>
        <w:rPr/>
      </w:pPr>
      <w:r>
        <w:rPr>
          <w:color w:val="000000"/>
        </w:rPr>
        <w:t>“</w:t>
      </w:r>
      <w:r>
        <w:rPr>
          <w:rFonts w:ascii="Times New Roman" w:hAnsi="Times New Roman"/>
          <w:b/>
          <w:i/>
          <w:color w:val="000000"/>
          <w:sz w:val="22"/>
        </w:rPr>
        <w:t>Prior Plan Awards</w:t>
      </w:r>
      <w:r>
        <w:rPr>
          <w:color w:val="000000"/>
        </w:rPr>
        <w:t xml:space="preserve">” </w:t>
      </w:r>
      <w:r>
        <w:rPr>
          <w:rFonts w:ascii="Times New Roman" w:hAnsi="Times New Roman"/>
          <w:color w:val="000000"/>
          <w:sz w:val="22"/>
        </w:rPr>
        <w:t xml:space="preserve">means any awards that are outstanding under any Prior Plan immediately prior to the Effective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2.36</w:t>
      </w:r>
    </w:p>
    <w:p>
      <w:pPr>
        <w:pStyle w:val="TextBody"/>
        <w:bidi w:val="0"/>
        <w:spacing w:before="0" w:after="240"/>
        <w:jc w:val="both"/>
        <w:rPr/>
      </w:pPr>
      <w:r>
        <w:rPr>
          <w:color w:val="000000"/>
        </w:rPr>
        <w:t>“</w:t>
      </w:r>
      <w:r>
        <w:rPr>
          <w:rFonts w:ascii="Times New Roman" w:hAnsi="Times New Roman"/>
          <w:b/>
          <w:i/>
          <w:color w:val="000000"/>
          <w:sz w:val="22"/>
        </w:rPr>
        <w:t>Reporting Participant</w:t>
      </w:r>
      <w:r>
        <w:rPr>
          <w:color w:val="000000"/>
        </w:rPr>
        <w:t xml:space="preserve">” </w:t>
      </w:r>
      <w:r>
        <w:rPr>
          <w:rFonts w:ascii="Times New Roman" w:hAnsi="Times New Roman"/>
          <w:color w:val="000000"/>
          <w:sz w:val="22"/>
        </w:rPr>
        <w:t>means a Participant who is subject to the reporting requirements of Section 16 of the Exchange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2.37</w:t>
      </w:r>
    </w:p>
    <w:p>
      <w:pPr>
        <w:pStyle w:val="TextBody"/>
        <w:bidi w:val="0"/>
        <w:spacing w:before="0" w:after="240"/>
        <w:jc w:val="both"/>
        <w:rPr/>
      </w:pPr>
      <w:r>
        <w:rPr>
          <w:color w:val="000000"/>
        </w:rPr>
        <w:t>“</w:t>
      </w:r>
      <w:r>
        <w:rPr>
          <w:rFonts w:ascii="Times New Roman" w:hAnsi="Times New Roman"/>
          <w:b/>
          <w:i/>
          <w:color w:val="000000"/>
          <w:sz w:val="22"/>
        </w:rPr>
        <w:t>Restricted Stock</w:t>
      </w:r>
      <w:r>
        <w:rPr>
          <w:color w:val="000000"/>
        </w:rPr>
        <w:t xml:space="preserve">” </w:t>
      </w:r>
      <w:r>
        <w:rPr>
          <w:rFonts w:ascii="Times New Roman" w:hAnsi="Times New Roman"/>
          <w:color w:val="000000"/>
          <w:sz w:val="22"/>
        </w:rPr>
        <w:t xml:space="preserve">means shares of Common Stock issued or transferred to a Participant pursuant to </w:t>
      </w:r>
      <w:r>
        <w:rPr>
          <w:rFonts w:ascii="Times New Roman" w:hAnsi="Times New Roman"/>
          <w:color w:val="000000"/>
          <w:sz w:val="22"/>
          <w:u w:val="single"/>
        </w:rPr>
        <w:t>Section 6.4</w:t>
      </w:r>
      <w:r>
        <w:rPr>
          <w:color w:val="000000"/>
        </w:rPr>
        <w:t xml:space="preserve"> </w:t>
      </w:r>
      <w:r>
        <w:rPr>
          <w:rFonts w:ascii="Times New Roman" w:hAnsi="Times New Roman"/>
          <w:color w:val="000000"/>
          <w:sz w:val="22"/>
        </w:rPr>
        <w:t>of this Plan which are subject to restrictions or limitations set forth in this Plan and in the related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2.38</w:t>
      </w:r>
    </w:p>
    <w:p>
      <w:pPr>
        <w:pStyle w:val="TextBody"/>
        <w:bidi w:val="0"/>
        <w:spacing w:before="0" w:after="240"/>
        <w:jc w:val="both"/>
        <w:rPr/>
      </w:pPr>
      <w:r>
        <w:rPr>
          <w:color w:val="000000"/>
        </w:rPr>
        <w:t>“</w:t>
      </w:r>
      <w:r>
        <w:rPr>
          <w:rFonts w:ascii="Times New Roman" w:hAnsi="Times New Roman"/>
          <w:b/>
          <w:i/>
          <w:color w:val="000000"/>
          <w:sz w:val="22"/>
        </w:rPr>
        <w:t>Restricted Stock Units</w:t>
      </w:r>
      <w:r>
        <w:rPr>
          <w:color w:val="000000"/>
        </w:rPr>
        <w:t xml:space="preserve">” </w:t>
      </w:r>
      <w:r>
        <w:rPr>
          <w:rFonts w:ascii="Times New Roman" w:hAnsi="Times New Roman"/>
          <w:color w:val="000000"/>
          <w:sz w:val="22"/>
        </w:rPr>
        <w:t xml:space="preserve">means units awarded to Participants pursuant to </w:t>
      </w:r>
      <w:r>
        <w:rPr>
          <w:rFonts w:ascii="Times New Roman" w:hAnsi="Times New Roman"/>
          <w:color w:val="000000"/>
          <w:sz w:val="22"/>
          <w:u w:val="single"/>
        </w:rPr>
        <w:t>Section 6.6</w:t>
      </w:r>
      <w:r>
        <w:rPr>
          <w:color w:val="000000"/>
        </w:rPr>
        <w:t xml:space="preserve"> </w:t>
      </w:r>
      <w:r>
        <w:rPr>
          <w:rFonts w:ascii="Times New Roman" w:hAnsi="Times New Roman"/>
          <w:color w:val="000000"/>
          <w:sz w:val="22"/>
        </w:rPr>
        <w:t>hereof, which are convertible into Common Stock at such time as such units are no longer subject to restrictions as established by the Committee.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2.39</w:t>
      </w:r>
    </w:p>
    <w:p>
      <w:pPr>
        <w:pStyle w:val="TextBody"/>
        <w:bidi w:val="0"/>
        <w:spacing w:before="0" w:after="240"/>
        <w:jc w:val="both"/>
        <w:rPr/>
      </w:pPr>
      <w:r>
        <w:rPr>
          <w:color w:val="000000"/>
        </w:rPr>
        <w:t>“</w:t>
      </w:r>
      <w:r>
        <w:rPr>
          <w:rFonts w:ascii="Times New Roman" w:hAnsi="Times New Roman"/>
          <w:b/>
          <w:i/>
          <w:color w:val="000000"/>
          <w:sz w:val="22"/>
        </w:rPr>
        <w:t>Restriction Period</w:t>
      </w:r>
      <w:r>
        <w:rPr>
          <w:color w:val="000000"/>
        </w:rPr>
        <w:t xml:space="preserve">” </w:t>
      </w:r>
      <w:r>
        <w:rPr>
          <w:rFonts w:ascii="Times New Roman" w:hAnsi="Times New Roman"/>
          <w:color w:val="000000"/>
          <w:sz w:val="22"/>
        </w:rPr>
        <w:t xml:space="preserve">is defined in </w:t>
      </w:r>
      <w:r>
        <w:rPr>
          <w:rFonts w:ascii="Times New Roman" w:hAnsi="Times New Roman"/>
          <w:color w:val="000000"/>
          <w:sz w:val="22"/>
          <w:u w:val="single"/>
        </w:rPr>
        <w:t>Section 6.4(b)(i)</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2.40</w:t>
      </w:r>
    </w:p>
    <w:p>
      <w:pPr>
        <w:pStyle w:val="TextBody"/>
        <w:bidi w:val="0"/>
        <w:spacing w:before="0" w:after="240"/>
        <w:jc w:val="both"/>
        <w:rPr/>
      </w:pPr>
      <w:r>
        <w:rPr>
          <w:color w:val="000000"/>
        </w:rPr>
        <w:t>“</w:t>
      </w:r>
      <w:r>
        <w:rPr>
          <w:rFonts w:ascii="Times New Roman" w:hAnsi="Times New Roman"/>
          <w:b/>
          <w:i/>
          <w:color w:val="000000"/>
          <w:sz w:val="22"/>
        </w:rPr>
        <w:t>SAR</w:t>
      </w:r>
      <w:r>
        <w:rPr>
          <w:color w:val="000000"/>
        </w:rPr>
        <w:t xml:space="preserve">” </w:t>
      </w:r>
      <w:r>
        <w:rPr>
          <w:rFonts w:ascii="Times New Roman" w:hAnsi="Times New Roman"/>
          <w:color w:val="000000"/>
          <w:sz w:val="22"/>
        </w:rPr>
        <w:t>or “</w:t>
      </w:r>
      <w:r>
        <w:rPr>
          <w:rFonts w:ascii="Times New Roman" w:hAnsi="Times New Roman"/>
          <w:b/>
          <w:color w:val="000000"/>
          <w:sz w:val="22"/>
        </w:rPr>
        <w:t>S</w:t>
      </w:r>
      <w:r>
        <w:rPr>
          <w:rFonts w:ascii="Times New Roman" w:hAnsi="Times New Roman"/>
          <w:b/>
          <w:i/>
          <w:color w:val="000000"/>
          <w:sz w:val="22"/>
        </w:rPr>
        <w:t>tock Appreciation Right</w:t>
      </w:r>
      <w:r>
        <w:rPr>
          <w:color w:val="000000"/>
        </w:rPr>
        <w:t xml:space="preserve">” </w:t>
      </w:r>
      <w:r>
        <w:rPr>
          <w:rFonts w:ascii="Times New Roman" w:hAnsi="Times New Roman"/>
          <w:color w:val="000000"/>
          <w:sz w:val="22"/>
        </w:rPr>
        <w:t>means the right to receive an amount, in cash and/or Common Stock, equal to the excess of the Fair Market Value of a specified number of shares of Common Stock as of the date the SAR is exercised (or, as provided in the Award Agreement, converted) over the SAR Price for such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2.41</w:t>
      </w:r>
    </w:p>
    <w:p>
      <w:pPr>
        <w:pStyle w:val="TextBody"/>
        <w:bidi w:val="0"/>
        <w:spacing w:before="0" w:after="240"/>
        <w:jc w:val="both"/>
        <w:rPr/>
      </w:pPr>
      <w:r>
        <w:rPr>
          <w:color w:val="000000"/>
        </w:rPr>
        <w:t>“</w:t>
      </w:r>
      <w:r>
        <w:rPr>
          <w:rFonts w:ascii="Times New Roman" w:hAnsi="Times New Roman"/>
          <w:b/>
          <w:i/>
          <w:color w:val="000000"/>
          <w:sz w:val="22"/>
        </w:rPr>
        <w:t>SAR Price</w:t>
      </w:r>
      <w:r>
        <w:rPr>
          <w:color w:val="000000"/>
        </w:rPr>
        <w:t xml:space="preserve">” </w:t>
      </w:r>
      <w:r>
        <w:rPr>
          <w:rFonts w:ascii="Times New Roman" w:hAnsi="Times New Roman"/>
          <w:color w:val="000000"/>
          <w:sz w:val="22"/>
        </w:rPr>
        <w:t>means the exercise price or conversion price of each share of Common Stock covered by a SAR, determined on the Date of Grant of the SAR.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2.42</w:t>
      </w:r>
    </w:p>
    <w:p>
      <w:pPr>
        <w:pStyle w:val="TextBody"/>
        <w:bidi w:val="0"/>
        <w:spacing w:before="0" w:after="240"/>
        <w:jc w:val="both"/>
        <w:rPr/>
      </w:pPr>
      <w:r>
        <w:rPr>
          <w:color w:val="000000"/>
        </w:rPr>
        <w:t>“</w:t>
      </w:r>
      <w:r>
        <w:rPr>
          <w:rFonts w:ascii="Times New Roman" w:hAnsi="Times New Roman"/>
          <w:b/>
          <w:i/>
          <w:color w:val="000000"/>
          <w:sz w:val="22"/>
        </w:rPr>
        <w:t>Spread</w:t>
      </w:r>
      <w:r>
        <w:rPr>
          <w:color w:val="000000"/>
        </w:rPr>
        <w:t xml:space="preserve">” </w:t>
      </w:r>
      <w:r>
        <w:rPr>
          <w:rFonts w:ascii="Times New Roman" w:hAnsi="Times New Roman"/>
          <w:color w:val="000000"/>
          <w:sz w:val="22"/>
        </w:rPr>
        <w:t xml:space="preserve">is defined in </w:t>
      </w:r>
      <w:r>
        <w:rPr>
          <w:rFonts w:ascii="Times New Roman" w:hAnsi="Times New Roman"/>
          <w:color w:val="000000"/>
          <w:sz w:val="22"/>
          <w:u w:val="single"/>
        </w:rPr>
        <w:t>Section 12.4(b)</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2.43</w:t>
      </w:r>
    </w:p>
    <w:p>
      <w:pPr>
        <w:pStyle w:val="TextBody"/>
        <w:bidi w:val="0"/>
        <w:spacing w:before="0" w:after="240"/>
        <w:jc w:val="both"/>
        <w:rPr/>
      </w:pPr>
      <w:r>
        <w:rPr>
          <w:color w:val="000000"/>
        </w:rPr>
        <w:t>“</w:t>
      </w:r>
      <w:r>
        <w:rPr>
          <w:rFonts w:ascii="Times New Roman" w:hAnsi="Times New Roman"/>
          <w:b/>
          <w:i/>
          <w:color w:val="000000"/>
          <w:sz w:val="22"/>
        </w:rPr>
        <w:t>Stock Option</w:t>
      </w:r>
      <w:r>
        <w:rPr>
          <w:color w:val="000000"/>
        </w:rPr>
        <w:t xml:space="preserve">” </w:t>
      </w:r>
      <w:r>
        <w:rPr>
          <w:rFonts w:ascii="Times New Roman" w:hAnsi="Times New Roman"/>
          <w:color w:val="000000"/>
          <w:sz w:val="22"/>
        </w:rPr>
        <w:t>means a Nonqualified Stock Option or an Incentive Stock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2.44</w:t>
      </w:r>
    </w:p>
    <w:p>
      <w:pPr>
        <w:pStyle w:val="TextBody"/>
        <w:bidi w:val="0"/>
        <w:spacing w:before="0" w:after="240"/>
        <w:jc w:val="both"/>
        <w:rPr/>
      </w:pPr>
      <w:r>
        <w:rPr>
          <w:color w:val="000000"/>
        </w:rPr>
        <w:t>“</w:t>
      </w:r>
      <w:r>
        <w:rPr>
          <w:rFonts w:ascii="Times New Roman" w:hAnsi="Times New Roman"/>
          <w:b/>
          <w:i/>
          <w:color w:val="000000"/>
          <w:sz w:val="22"/>
        </w:rPr>
        <w:t>Subsidiary</w:t>
      </w:r>
      <w:r>
        <w:rPr>
          <w:color w:val="000000"/>
        </w:rPr>
        <w:t xml:space="preserve">” </w:t>
      </w:r>
      <w:r>
        <w:rPr>
          <w:rFonts w:ascii="Times New Roman" w:hAnsi="Times New Roman"/>
          <w:color w:val="000000"/>
          <w:sz w:val="22"/>
        </w:rPr>
        <w:t>means (a) any corporation in an unbroken chain of corporations beginning with the Company, if each of the corporations other than the last corporation in the unbroken chain owns stock possessing a majority of the total combined voting power of all classes of stock in one of the other corporations in the chain, (b) any limited partnership, if the Company or any corporation described in item (a) above owns a majority of the general partnership interest and a majority of the limited partnership interests entitled to vote on the removal and replacement of the general partner, and (c) any partnership or limited liability company, if the partners or members thereof are composed only of the Company, any corporation listed in item (a) above or any limited partnership listed in item (b) above. “</w:t>
      </w:r>
      <w:r>
        <w:rPr>
          <w:rFonts w:ascii="Times New Roman" w:hAnsi="Times New Roman"/>
          <w:b/>
          <w:i/>
          <w:color w:val="000000"/>
          <w:sz w:val="22"/>
        </w:rPr>
        <w:t>Subsidiaries</w:t>
      </w:r>
      <w:r>
        <w:rPr>
          <w:color w:val="000000"/>
        </w:rPr>
        <w:t xml:space="preserve">” </w:t>
      </w:r>
      <w:r>
        <w:rPr>
          <w:rFonts w:ascii="Times New Roman" w:hAnsi="Times New Roman"/>
          <w:color w:val="000000"/>
          <w:sz w:val="22"/>
        </w:rPr>
        <w:t>means more than one of any such corporations, limited partnerships, partnerships or limited liability companies.</w:t>
      </w:r>
    </w:p>
    <w:p>
      <w:pPr>
        <w:pStyle w:val="TextBody"/>
        <w:bidi w:val="0"/>
        <w:jc w:val="center"/>
        <w:rPr>
          <w:rFonts w:ascii="Times New Roman" w:hAnsi="Times New Roman"/>
          <w:color w:val="000000"/>
          <w:sz w:val="22"/>
        </w:rPr>
      </w:pPr>
      <w:r>
        <w:rPr>
          <w:rFonts w:ascii="Times New Roman" w:hAnsi="Times New Roman"/>
          <w:color w:val="000000"/>
          <w:sz w:val="22"/>
        </w:rPr>
        <w:t>A-10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2.45</w:t>
      </w:r>
    </w:p>
    <w:p>
      <w:pPr>
        <w:pStyle w:val="TextBody"/>
        <w:bidi w:val="0"/>
        <w:spacing w:before="0" w:after="240"/>
        <w:jc w:val="both"/>
        <w:rPr/>
      </w:pPr>
      <w:r>
        <w:rPr>
          <w:color w:val="000000"/>
        </w:rPr>
        <w:t>“</w:t>
      </w:r>
      <w:r>
        <w:rPr>
          <w:rFonts w:ascii="Times New Roman" w:hAnsi="Times New Roman"/>
          <w:b/>
          <w:i/>
          <w:color w:val="000000"/>
          <w:sz w:val="22"/>
        </w:rPr>
        <w:t>Termination of Service</w:t>
      </w:r>
      <w:r>
        <w:rPr>
          <w:color w:val="000000"/>
        </w:rPr>
        <w:t xml:space="preserve">” </w:t>
      </w:r>
      <w:r>
        <w:rPr>
          <w:rFonts w:ascii="Times New Roman" w:hAnsi="Times New Roman"/>
          <w:color w:val="000000"/>
          <w:sz w:val="22"/>
        </w:rPr>
        <w:t xml:space="preserve">occurs when a Participant who is (a) an Employee of the Company or any Subsidiary ceases to serve as an Employee of the Company and its Subsidiaries, for any reason; (b) an Outside Director of the Company or a Subsidiary ceases to serve as a director of the Company and its Subsidiaries for any reason; or (c) a Contractor of the Company or a Subsidiary ceases to serve as a Contractor of the Company and its Subsidiaries for any reason. Except as may be necessary or desirable to comply with applicable federal or state law or as otherwise may be provided by a Participant’s Award Agreement, a “Termination of Service” shall not be deemed to have occurred when a Participant who is an Employee becomes an Outside Director or Contractor or vice versa. If, however, a Participant who is an Employee and who has an Incentive Stock Option ceases to be an Employee but does not suffer a Termination of Service, and if that Participant does not exercise the Incentive Stock Option within the time required under Section 422 of the Code upon ceasing to be an Employee, the Incentive Stock Option shall thereafter become a Nonqualified Stock Option. Notwithstanding the foregoing provisions of this </w:t>
      </w:r>
      <w:r>
        <w:rPr>
          <w:rFonts w:ascii="Times New Roman" w:hAnsi="Times New Roman"/>
          <w:color w:val="000000"/>
          <w:sz w:val="22"/>
          <w:u w:val="single"/>
        </w:rPr>
        <w:t>Section 2.45</w:t>
      </w:r>
      <w:r>
        <w:rPr>
          <w:rFonts w:ascii="Times New Roman" w:hAnsi="Times New Roman"/>
          <w:color w:val="000000"/>
          <w:sz w:val="22"/>
        </w:rPr>
        <w:t>, in the event an Award issued under the Plan is subject to Section 409A of the Code, then, in lieu of the foregoing definition and to the extent necessary to comply with the requirements of Section 409A of the Code, the definition of “Termination of Service” for purposes of such Award shall be the definition of “separation from service” provided for under Section 409A of the Code and the regulations or other guidance issued thereunder.</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2.46</w:t>
      </w:r>
    </w:p>
    <w:p>
      <w:pPr>
        <w:pStyle w:val="TextBody"/>
        <w:bidi w:val="0"/>
        <w:spacing w:before="0" w:after="480"/>
        <w:jc w:val="both"/>
        <w:rPr/>
      </w:pPr>
      <w:r>
        <w:rPr>
          <w:color w:val="000000"/>
        </w:rPr>
        <w:t>“</w:t>
      </w:r>
      <w:r>
        <w:rPr>
          <w:rFonts w:ascii="Times New Roman" w:hAnsi="Times New Roman"/>
          <w:b/>
          <w:i/>
          <w:color w:val="000000"/>
          <w:sz w:val="22"/>
        </w:rPr>
        <w:t>Total and Permanent Disability</w:t>
      </w:r>
      <w:r>
        <w:rPr>
          <w:color w:val="000000"/>
        </w:rPr>
        <w:t xml:space="preserve">” </w:t>
      </w:r>
      <w:r>
        <w:rPr>
          <w:rFonts w:ascii="Times New Roman" w:hAnsi="Times New Roman"/>
          <w:color w:val="000000"/>
          <w:sz w:val="22"/>
        </w:rPr>
        <w:t xml:space="preserve">means a Participant is qualified for long-term disability benefits under the Company’s or Subsidiary’s disability plan or insurance policy or under any applicable non-U.S. law; or, if no such plan or policy is then in existence or if the Participant is not eligible to participate in such plan or policy, that the Participant, because of a physical or mental condition resulting from bodily injury, disease, or mental disorder, is unable to perform the Participant’s duties of employment for a period of six continuous months, as determined in good faith by the Committee, based upon medical reports or other evidence satisfactory to the Committee; </w:t>
      </w:r>
      <w:r>
        <w:rPr>
          <w:rFonts w:ascii="Times New Roman" w:hAnsi="Times New Roman"/>
          <w:color w:val="000000"/>
          <w:sz w:val="22"/>
          <w:u w:val="single"/>
        </w:rPr>
        <w:t>provided</w:t>
      </w:r>
      <w:r>
        <w:rPr>
          <w:color w:val="000000"/>
        </w:rPr>
        <w:t xml:space="preserve"> </w:t>
      </w:r>
      <w:r>
        <w:rPr>
          <w:rFonts w:ascii="Times New Roman" w:hAnsi="Times New Roman"/>
          <w:color w:val="000000"/>
          <w:sz w:val="22"/>
          <w:u w:val="single"/>
        </w:rPr>
        <w:t>that</w:t>
      </w:r>
      <w:r>
        <w:rPr>
          <w:rFonts w:ascii="Times New Roman" w:hAnsi="Times New Roman"/>
          <w:color w:val="000000"/>
          <w:sz w:val="22"/>
        </w:rPr>
        <w:t xml:space="preserve">, with respect to any Incentive Stock Option, Total and Permanent Disability shall have the meaning given it under the rules governing Incentive Stock Options under the Code. Notwithstanding the foregoing provisions of this </w:t>
      </w:r>
      <w:r>
        <w:rPr>
          <w:rFonts w:ascii="Times New Roman" w:hAnsi="Times New Roman"/>
          <w:color w:val="000000"/>
          <w:sz w:val="22"/>
          <w:u w:val="single"/>
        </w:rPr>
        <w:t>Section 2.46</w:t>
      </w:r>
      <w:r>
        <w:rPr>
          <w:rFonts w:ascii="Times New Roman" w:hAnsi="Times New Roman"/>
          <w:color w:val="000000"/>
          <w:sz w:val="22"/>
        </w:rPr>
        <w:t>, in the event an Award issued under the Plan is subject to Section 409A of the Code, then, in lieu of the foregoing definition and to the extent necessary to comply with the requirements of Section 409A of the Code, the definition of “Total and Permanent Disability” for purposes of such Award shall be the definition of “disability” provided for under Section 409A of the Code and the regulations or other guidance issued thereunder.</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3.</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ADMINISTRATION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w:t>
      </w:r>
    </w:p>
    <w:p>
      <w:pPr>
        <w:pStyle w:val="TextBody"/>
        <w:bidi w:val="0"/>
        <w:spacing w:before="0" w:after="240"/>
        <w:jc w:val="both"/>
        <w:rPr/>
      </w:pPr>
      <w:r>
        <w:rPr>
          <w:rFonts w:ascii="Times New Roman" w:hAnsi="Times New Roman"/>
          <w:b/>
          <w:color w:val="000000"/>
          <w:sz w:val="22"/>
        </w:rPr>
        <w:t>General Administration; Establishment of Committee.</w:t>
      </w:r>
      <w:r>
        <w:rPr>
          <w:color w:val="000000"/>
        </w:rPr>
        <w:t xml:space="preserve"> </w:t>
      </w:r>
      <w:r>
        <w:rPr>
          <w:rFonts w:ascii="Times New Roman" w:hAnsi="Times New Roman"/>
          <w:color w:val="000000"/>
          <w:sz w:val="22"/>
        </w:rPr>
        <w:t xml:space="preserve">Subject to the terms of this </w:t>
      </w:r>
      <w:r>
        <w:rPr>
          <w:rFonts w:ascii="Times New Roman" w:hAnsi="Times New Roman"/>
          <w:color w:val="000000"/>
          <w:sz w:val="22"/>
          <w:u w:val="single"/>
        </w:rPr>
        <w:t>Article 3</w:t>
      </w:r>
      <w:r>
        <w:rPr>
          <w:rFonts w:ascii="Times New Roman" w:hAnsi="Times New Roman"/>
          <w:color w:val="000000"/>
          <w:sz w:val="22"/>
        </w:rPr>
        <w:t>, the Plan shall be administered by the Board or the Committee, if a Committee is designated by the Board to administer the Plan. The Committee shall consist of not fewer than two persons, unless there are not two members of the Board who meet the qualification requirements set forth herein to administer the Plan, in which case, the Committee may consist of one person. Any member of the Committee may be removed at any time, with or without cause, by resolution of the Board. Any vacancy occurring in the membership of the Committee may be filled by appointment by the Board. At any time there is no Committee to administer the Plan, any references in this Plan to the Committee shall be deemed to refer to the Board.</w:t>
      </w:r>
    </w:p>
    <w:p>
      <w:pPr>
        <w:pStyle w:val="TextBody"/>
        <w:bidi w:val="0"/>
        <w:jc w:val="left"/>
        <w:rPr>
          <w:rFonts w:ascii="Times New Roman" w:hAnsi="Times New Roman"/>
          <w:color w:val="000000"/>
          <w:sz w:val="22"/>
        </w:rPr>
      </w:pPr>
      <w:r>
        <w:rPr>
          <w:rFonts w:ascii="Times New Roman" w:hAnsi="Times New Roman"/>
          <w:color w:val="000000"/>
          <w:sz w:val="22"/>
        </w:rPr>
        <w:t>Membership on the Committee shall be limited to those members of the Board who are “non-employee directors” as defined in Rule 16b-3 promulgated under the Exchange Act. The Committee shall select one of its members to act as its Chairman. A majority of the Committee shall constitute a quorum, and the act of a majority of the members of the Committee present at a meeting at which a quorum is present shall be the act of the Committee.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Designation of Participants and Awards.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Committee or the Board shall determine and designate from time to time the eligible persons to whom Awards will be granted and shall set forth in each related Award Agreement, where applicable, the Award Period, the Date of Grant, and such other terms, provisions, limitations, and performance requirements, as are approved by the Committee, but not inconsistent with the Plan. The </w:t>
      </w:r>
    </w:p>
    <w:p>
      <w:pPr>
        <w:pStyle w:val="TextBody"/>
        <w:bidi w:val="0"/>
        <w:jc w:val="center"/>
        <w:rPr>
          <w:rFonts w:ascii="Times New Roman" w:hAnsi="Times New Roman"/>
          <w:color w:val="000000"/>
          <w:sz w:val="22"/>
        </w:rPr>
      </w:pPr>
      <w:r>
        <w:rPr>
          <w:rFonts w:ascii="Times New Roman" w:hAnsi="Times New Roman"/>
          <w:color w:val="000000"/>
          <w:sz w:val="22"/>
        </w:rPr>
        <w:t>A-11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Committee shall determine whether an Award shall include one type of Incentive or two or more Incentives granted in combination or two or more Incentives granted in tandem (that is, a joint grant where exercise of one Incentive results in cancellation of all or a portion of the other Incentive). Although the members of the Committee shall be eligible to receive Awards, all decisions with respect to any Award, and the terms and conditions thereof, to be granted under the Plan to any member of the Committee shall be made solely and exclusively by the other members of the Committee, or if such member is the only member of the Committee, by the Board.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Notwithstanding </w:t>
      </w:r>
      <w:r>
        <w:rPr>
          <w:rFonts w:ascii="Times New Roman" w:hAnsi="Times New Roman"/>
          <w:color w:val="000000"/>
          <w:sz w:val="22"/>
          <w:u w:val="single"/>
        </w:rPr>
        <w:t>Section 3.2(a)</w:t>
      </w:r>
      <w:r>
        <w:rPr>
          <w:rFonts w:ascii="Times New Roman" w:hAnsi="Times New Roman"/>
          <w:color w:val="000000"/>
          <w:sz w:val="22"/>
        </w:rPr>
        <w:t>, to the extent permitted by Applicable Law, the Board may, in its discretion and by a resolution adopted by the Board, authorize one or more officers of the Company (an “</w:t>
      </w:r>
      <w:r>
        <w:rPr>
          <w:rFonts w:ascii="Times New Roman" w:hAnsi="Times New Roman"/>
          <w:b/>
          <w:i/>
          <w:color w:val="000000"/>
          <w:sz w:val="22"/>
        </w:rPr>
        <w:t>Authorized Officer</w:t>
      </w:r>
      <w:r>
        <w:rPr>
          <w:color w:val="000000"/>
        </w:rPr>
        <w:t>”</w:t>
      </w:r>
      <w:r>
        <w:rPr>
          <w:rFonts w:ascii="Times New Roman" w:hAnsi="Times New Roman"/>
          <w:color w:val="000000"/>
          <w:sz w:val="22"/>
        </w:rPr>
        <w:t xml:space="preserve">) to (i) designate one or more Employees as eligible persons to whom Awards will be granted under the Plan, and (ii) determine the number of shares of Common Stock that will be subject to such Awards;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resolution of the Board granting such authority shall (x) specify the total number of shares of Common Stock that may be made subject to the Awards, (y) set forth the price or prices (or a formula by which such price or prices may be determined) to be paid for the purchase of the Common Stock subject to such Awards, and (z) not authorize an officer to designate such officer as a recipient of any Award.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3.3</w:t>
      </w:r>
    </w:p>
    <w:p>
      <w:pPr>
        <w:pStyle w:val="TextBody"/>
        <w:bidi w:val="0"/>
        <w:spacing w:before="0" w:after="240"/>
        <w:jc w:val="both"/>
        <w:rPr/>
      </w:pPr>
      <w:r>
        <w:rPr>
          <w:rFonts w:ascii="Times New Roman" w:hAnsi="Times New Roman"/>
          <w:b/>
          <w:color w:val="000000"/>
          <w:sz w:val="22"/>
        </w:rPr>
        <w:t>Authority of the Committee.</w:t>
      </w:r>
      <w:r>
        <w:rPr>
          <w:color w:val="000000"/>
        </w:rPr>
        <w:t xml:space="preserve"> </w:t>
      </w:r>
      <w:r>
        <w:rPr>
          <w:rFonts w:ascii="Times New Roman" w:hAnsi="Times New Roman"/>
          <w:color w:val="000000"/>
          <w:sz w:val="22"/>
        </w:rPr>
        <w:t>The Committee, in its discretion, shall (a) interpret the Plan and Award Agreements, (b) prescribe, amend, and rescind any rules and regulations, and sub-plans (including sub-plans for Awards made to Participants who are not residents in the United States) as necessary or appropriate for the administration of the Plan, to obtain favorable tax treatment for the Awards or to ensure compliance with securities law, (c) establish performance goals for an Award and certify the extent of their achievement, and (d) make such other determinations or certifications and take such other action as it deems necessary or advisable in the administration of the Plan. Any interpretation, determination, or other action made or taken by the Committee shall be final, binding, and conclusive on all interested parties. The Committee’s discretion set forth herein shall not be limited by any provision of the Plan, including any provision which by its terms is applicable notwithstanding any other provision of the Plan to the contrary.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Committee may delegate to officers of the Company, pursuant to a written delegation, the authority to perform specified functions under the Plan. Any actions taken by any officers of the Company pursuant to such written delegation of authority shall be deemed to have been taken by the Committee.</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With respect to restrictions in the Plan that are based on the requirements of Rule 16b</w:t>
        <w:noBreakHyphen/>
        <w:t>3 promulgated under the Exchange Act, Section 422 of the Code, the rules of any exchange or inter-dealer quotation system upon which the Company’s securities are listed or quoted, or any other Applicable Law, to the extent that any such restrictions are no longer required by Applicable Law, the Committee shall have the sole discretion and authority to grant Awards that are not subject to such formerly mandated restrictions and/or to waive any such formerly mandated restrictions with respect to outstanding Awards.</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4.</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ELIGIBILITY</w:t>
      </w:r>
    </w:p>
    <w:p>
      <w:pPr>
        <w:pStyle w:val="TextBody"/>
        <w:bidi w:val="0"/>
        <w:spacing w:before="0" w:after="480"/>
        <w:jc w:val="both"/>
        <w:rPr>
          <w:rFonts w:ascii="Times New Roman" w:hAnsi="Times New Roman"/>
          <w:sz w:val="20"/>
        </w:rPr>
      </w:pPr>
      <w:r>
        <w:rPr>
          <w:rFonts w:ascii="Times New Roman" w:hAnsi="Times New Roman"/>
          <w:color w:val="000000"/>
          <w:sz w:val="22"/>
        </w:rPr>
        <w:t>Any Employee (including an Employee who is also a director or an officer), Contractor or Outside Director of the Company whose judgment, initiative, and efforts contributed or may be expected to contribute to the successful performance of the Company is eligible to participate in the Plan; provided that only Employees of a Corporation shall be eligible to receive Incentive Stock Options. The Committee, upon its own action, may grant, but shall not be required to grant, an Award to any Employee, Contractor or Outside Director. Awards may be granted by the Committee at any time and from time to time to new Participants, or to then Participants, or to a greater or lesser number of Participants, and may include or exclude previous Participants, as the Committee shall determine. Except as required by this Plan, Awards need not contain similar provisions. The Committee’s determinations under the Plan (including without limitation determinations of which Employees, Contractors or Outside Directors, if any, are to receive Awards, the form, amount and timing of such Awards, the terms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A-12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provisions of such Awards and the agreements evidencing same) need not be uniform and may be made by it selectively among Participants who receive, or are eligible to receive, Awards under the Plan.</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5.</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SHARES SUBJECT TO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240"/>
        <w:jc w:val="both"/>
        <w:rPr/>
      </w:pPr>
      <w:r>
        <w:rPr>
          <w:rFonts w:ascii="Times New Roman" w:hAnsi="Times New Roman"/>
          <w:b/>
          <w:color w:val="000000"/>
          <w:sz w:val="22"/>
        </w:rPr>
        <w:t>Number Available for Awards.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Subject to adjustment as provided in </w:t>
      </w:r>
      <w:r>
        <w:rPr>
          <w:rFonts w:ascii="Times New Roman" w:hAnsi="Times New Roman"/>
          <w:color w:val="000000"/>
          <w:sz w:val="22"/>
          <w:u w:val="single"/>
        </w:rPr>
        <w:t>Articles 11 and 12</w:t>
      </w:r>
      <w:r>
        <w:rPr>
          <w:rFonts w:ascii="Times New Roman" w:hAnsi="Times New Roman"/>
          <w:color w:val="000000"/>
          <w:sz w:val="22"/>
        </w:rPr>
        <w:t>,</w:t>
      </w:r>
      <w:r>
        <w:rPr>
          <w:color w:val="000000"/>
        </w:rPr>
        <w:t xml:space="preserve"> </w:t>
      </w:r>
      <w:r>
        <w:rPr>
          <w:rFonts w:ascii="Times New Roman" w:hAnsi="Times New Roman"/>
          <w:color w:val="000000"/>
          <w:sz w:val="22"/>
        </w:rPr>
        <w:t>the maximum number of shares of Common Stock that may be delivered pursuant to Awards granted under the Plan is four million (4,000,000) shares, of which one hundred percent (100%)</w:t>
      </w:r>
      <w:r>
        <w:rPr>
          <w:color w:val="000000"/>
        </w:rPr>
        <w:t xml:space="preserve"> </w:t>
      </w:r>
      <w:r>
        <w:rPr>
          <w:rFonts w:ascii="Times New Roman" w:hAnsi="Times New Roman"/>
          <w:color w:val="000000"/>
          <w:sz w:val="22"/>
        </w:rPr>
        <w:t xml:space="preserve">may be delivered pursuant to Incentive Stock Options.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Prior Plan Awards shall remain outstanding following the Effective Date in accordance with their terms. With respect to Prior Plan Awards, if such a Prior Plan Award, on or after the Effective Date, lapses, expires, terminates or is canceled prior to the issuance of shares thereunder or if shares of Common Stock are issued under the Prior Plan to a Participant and thereafter are reacquired by the Company, the shares subject to such Prior Plan Awards and the reacquired shares shall again be available for issuance under this Plan. In addition, the following shares of Common Stock shall not be treated as having been issued under the Prior Plan and shall again be available for issuance under this Plan: (i) shares tendered by a Participant or retained by the Company as full or partial payment to the Company for the purchase price of a Prior Plan Award or to satisfy tax withholding obligations in connection with a Prior Plan Award, (ii) shares covered by a Prior Plan Award that is settled in cash, or (iii) the number of shares subject to a Prior Plan Award that is a stock appreciation right in excess of the number of shares that are delivered to the Participant upon exercise of such Prior Plan Award. Further, the number of shares available for issuance under the Prior Plan shall not be reduced to reflect any dividends or dividend equivalents that are reinvested into additional shares or credited as additional Restricted Stock, Restricted Stock Units or Performance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Shares to be issued may be made available from authorized but unissued Common Stock, Common Stock held by the Company in its treasury, or Common Stock purchased by the Company on the open market or otherwise. During the term of this Plan, the Company will at all times reserve and keep available the number of shares of Common Stock that shall be sufficient to satisfy the requirements of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240"/>
        <w:jc w:val="both"/>
        <w:rPr/>
      </w:pPr>
      <w:r>
        <w:rPr>
          <w:rFonts w:ascii="Times New Roman" w:hAnsi="Times New Roman"/>
          <w:b/>
          <w:color w:val="000000"/>
          <w:sz w:val="22"/>
        </w:rPr>
        <w:t>Reuse of Shares.</w:t>
      </w:r>
      <w:r>
        <w:rPr>
          <w:color w:val="000000"/>
        </w:rPr>
        <w:t xml:space="preserve"> </w:t>
      </w:r>
      <w:r>
        <w:rPr>
          <w:rFonts w:ascii="Times New Roman" w:hAnsi="Times New Roman"/>
          <w:color w:val="000000"/>
          <w:sz w:val="22"/>
        </w:rPr>
        <w:t xml:space="preserve">To the extent that any Award under this Plan shall be forfeited, shall expire or be canceled, in whole or in part, then the number of shares of Common Stock covered by the Award so forfeited, expired or canceled may again be awarded pursuant to the provisions of this Plan. Notwithstanding the foregoing, (i) the number of shares of Common Stock tendered or withheld in payment of any Option Price or SAR Price of an Award or taxes relating to an Award, (ii) shares of Common Stock that were subject to a Stock Option or a SAR but were not issued or delivered as a result of the net settlement or net exercise of such Stock Option or SAR and (iii) shares of Common Stock repurchased on the open market with the proceeds of a Stock Option’s Option Price, will not, in each case, be available for Awards under this Plan. Awards that may be satisfied either by the issuance of shares of Common Stock or by cash or other consideration shall be counted against the maximum number of shares of Common Stock that may be issued under this Plan only during the period that the Award is outstanding or to the extent the Award is ultimately satisfied by the issuance of shares of Common Stock. Awards will not reduce the number of shares of Common Stock that may be issued pursuant to this Plan if the settlement of the Award will not require the issuance of shares of Common Stock, as, for example, a SAR that can be satisfied only by the payment of cash. Notwithstanding any provisions of the Plan to the contrary, shares forfeited back to the Company and shares canceled on account of termination, expiration or lapse of an Award shall again be available for grant of Incentive Stock Options under the Plan, but shall not increase the maximum number of shares described in </w:t>
      </w:r>
      <w:r>
        <w:rPr>
          <w:rFonts w:ascii="Times New Roman" w:hAnsi="Times New Roman"/>
          <w:color w:val="000000"/>
          <w:sz w:val="22"/>
          <w:u w:val="single"/>
        </w:rPr>
        <w:t>Section 5.1</w:t>
      </w:r>
      <w:r>
        <w:rPr>
          <w:color w:val="000000"/>
        </w:rPr>
        <w:t xml:space="preserve"> </w:t>
      </w:r>
      <w:r>
        <w:rPr>
          <w:rFonts w:ascii="Times New Roman" w:hAnsi="Times New Roman"/>
          <w:color w:val="000000"/>
          <w:sz w:val="22"/>
        </w:rPr>
        <w:t>above as the maximum number of shares of Common Stock that may be delivered pursuant to Incentive Stock Options.</w:t>
      </w:r>
    </w:p>
    <w:p>
      <w:pPr>
        <w:pStyle w:val="TextBody"/>
        <w:bidi w:val="0"/>
        <w:jc w:val="center"/>
        <w:rPr>
          <w:rFonts w:ascii="Times New Roman" w:hAnsi="Times New Roman"/>
          <w:color w:val="000000"/>
          <w:sz w:val="22"/>
        </w:rPr>
      </w:pPr>
      <w:r>
        <w:rPr>
          <w:rFonts w:ascii="Times New Roman" w:hAnsi="Times New Roman"/>
          <w:color w:val="000000"/>
          <w:sz w:val="22"/>
        </w:rPr>
        <w:t>A-13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5.3</w:t>
      </w:r>
    </w:p>
    <w:p>
      <w:pPr>
        <w:pStyle w:val="TextBody"/>
        <w:bidi w:val="0"/>
        <w:spacing w:before="0" w:after="240"/>
        <w:jc w:val="both"/>
        <w:rPr/>
      </w:pPr>
      <w:r>
        <w:rPr>
          <w:rFonts w:ascii="Times New Roman" w:hAnsi="Times New Roman"/>
          <w:b/>
          <w:color w:val="000000"/>
          <w:sz w:val="22"/>
        </w:rPr>
        <w:t>Limitation on Outside Director Awards</w:t>
      </w:r>
      <w:r>
        <w:rPr>
          <w:rFonts w:ascii="Times New Roman" w:hAnsi="Times New Roman"/>
          <w:color w:val="000000"/>
          <w:sz w:val="22"/>
        </w:rPr>
        <w:t>. No Outside Director may be granted any Award or Awards denominated in shares that exceed in the aggregate $500,000 in Fair Market Value (such Fair Market Value computed as of the Date of Grant) in any calendar year period that, plus an additional $500,000 in Fair Market Value (determined as of the Date of Grant) for one-time awards to a newly appointed or elected Outside Director.</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6.</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GRANT OF AWARDS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240"/>
        <w:jc w:val="both"/>
        <w:rPr/>
      </w:pPr>
      <w:r>
        <w:rPr>
          <w:rFonts w:ascii="Times New Roman" w:hAnsi="Times New Roman"/>
          <w:b/>
          <w:color w:val="000000"/>
          <w:sz w:val="22"/>
        </w:rPr>
        <w:t>In General</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The grant of an Award shall be authorized by the Committee and shall be evidenced by an Award Agreement setting forth the Incentive or Incentives being granted, the total number of shares of Common Stock subject to the Incentive(s), the Option Price (if applicable), the Award Period, the Date of Grant, and such other terms, provisions, limitations, and performance objectives, as are approved by the Committee, but (i) not inconsistent with the Plan and (ii) to the extent an Award issued under the Plan is subject to Section 409A of the Code, in compliance with the applicable requirements of Section 409A of the Code and the regulations or other guidance issued thereunder. The Company shall execute an Award Agreement with a Participant after the Committee approves the issuance of an Award. Any Award granted pursuant to this Plan must be granted within 10 years of Board Approval Date. The Plan shall be submitted to the Company’s stockholder</w:t>
      </w:r>
      <w:r>
        <w:rPr>
          <w:rFonts w:ascii="Times New Roman" w:hAnsi="Times New Roman"/>
          <w:b/>
          <w:color w:val="000000"/>
          <w:sz w:val="22"/>
        </w:rPr>
        <w:t xml:space="preserve">s </w:t>
      </w:r>
      <w:r>
        <w:rPr>
          <w:rFonts w:ascii="Times New Roman" w:hAnsi="Times New Roman"/>
          <w:color w:val="000000"/>
          <w:sz w:val="22"/>
        </w:rPr>
        <w:t>for approval at the first stockholder meeting after the Board Approval Date; however, the Committee may grant Awards under the Plan prior to the time of stockholder</w:t>
      </w:r>
      <w:r>
        <w:rPr>
          <w:color w:val="000000"/>
        </w:rPr>
        <w:t xml:space="preserve"> </w:t>
      </w:r>
      <w:r>
        <w:rPr>
          <w:rFonts w:ascii="Times New Roman" w:hAnsi="Times New Roman"/>
          <w:color w:val="000000"/>
          <w:sz w:val="22"/>
        </w:rPr>
        <w:t>approval. Any such Award granted prior to such stockholder</w:t>
      </w:r>
      <w:r>
        <w:rPr>
          <w:color w:val="000000"/>
        </w:rPr>
        <w:t xml:space="preserve"> </w:t>
      </w:r>
      <w:r>
        <w:rPr>
          <w:rFonts w:ascii="Times New Roman" w:hAnsi="Times New Roman"/>
          <w:color w:val="000000"/>
          <w:sz w:val="22"/>
        </w:rPr>
        <w:t>approval shall be made subject to the attainment of such stockholder</w:t>
      </w:r>
      <w:r>
        <w:rPr>
          <w:color w:val="000000"/>
        </w:rPr>
        <w:t xml:space="preserve"> </w:t>
      </w:r>
      <w:r>
        <w:rPr>
          <w:rFonts w:ascii="Times New Roman" w:hAnsi="Times New Roman"/>
          <w:color w:val="000000"/>
          <w:sz w:val="22"/>
        </w:rPr>
        <w:t>approval. The grant of an Award to a Participant shall not be deemed either to entitle the Participant to, or to disqualify the Participant from, receipt of any other Award under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Committee establishes a purchase price for an Award, the Participant must accept such Award within a period of 30 days (or such shorter period as the Committee may specify) after the Date of Grant by executing the applicable Award Agreement and paying such purchase price.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Award under this Plan that is settled in whole or in part in cash on a deferred basis may provide for interest equivalents to be credited with respect to such cash payment. Interest equivalents may be compounded and shall be paid upon such terms and conditions as may be specified by the grant.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6.2</w:t>
      </w:r>
    </w:p>
    <w:p>
      <w:pPr>
        <w:pStyle w:val="TextBody"/>
        <w:bidi w:val="0"/>
        <w:spacing w:before="0" w:after="240"/>
        <w:jc w:val="both"/>
        <w:rPr/>
      </w:pPr>
      <w:r>
        <w:rPr>
          <w:rFonts w:ascii="Times New Roman" w:hAnsi="Times New Roman"/>
          <w:b/>
          <w:color w:val="000000"/>
          <w:sz w:val="22"/>
        </w:rPr>
        <w:t>Option Price.</w:t>
      </w:r>
      <w:r>
        <w:rPr>
          <w:color w:val="000000"/>
        </w:rPr>
        <w:t xml:space="preserve"> </w:t>
      </w:r>
      <w:r>
        <w:rPr>
          <w:rFonts w:ascii="Times New Roman" w:hAnsi="Times New Roman"/>
          <w:color w:val="000000"/>
          <w:sz w:val="22"/>
        </w:rPr>
        <w:t xml:space="preserve">The Option Price for any share of Common Stock which may be purchased under a Nonqualified Stock Option for any share of Common Stock must be equal to or greater than the Fair Market Value of the share on the Date of Grant. The Option Price for any share of Common Stock which may be purchased under an Incentive Stock Option must be at least equal to the Fair Market Value of the share on the Date of Grant; if an Incentive Stock Option is granted to an Employee who owns or is deemed to own (by reason of the attribution rules of Section 424(d) of the Code) more than 10% of the combined voting power of all classes of stock of the Company (or any parent or Subsidiary), the Option Price shall be at least 110% of the Fair Market Value of the Common Stock on the Date of Grant.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6.3</w:t>
      </w:r>
    </w:p>
    <w:p>
      <w:pPr>
        <w:pStyle w:val="TextBody"/>
        <w:bidi w:val="0"/>
        <w:spacing w:before="0" w:after="240"/>
        <w:jc w:val="both"/>
        <w:rPr/>
      </w:pPr>
      <w:r>
        <w:rPr>
          <w:rFonts w:ascii="Times New Roman" w:hAnsi="Times New Roman"/>
          <w:b/>
          <w:color w:val="000000"/>
          <w:sz w:val="22"/>
        </w:rPr>
        <w:t>Maximum ISO Grants.</w:t>
      </w:r>
      <w:r>
        <w:rPr>
          <w:color w:val="000000"/>
        </w:rPr>
        <w:t xml:space="preserve"> </w:t>
      </w:r>
      <w:r>
        <w:rPr>
          <w:rFonts w:ascii="Times New Roman" w:hAnsi="Times New Roman"/>
          <w:color w:val="000000"/>
          <w:sz w:val="22"/>
        </w:rPr>
        <w:t>The Committee may not grant Incentive Stock Options under the Plan to any Employee which would permit the aggregate Fair Market Value (determined on the Date of Grant) of the Common Stock with respect to which Incentive Stock Options (under this and any other plan of the Company and its Subsidiaries) are exercisable for the first time by such Employee during any calendar year to exceed $100,000. To the extent any Stock Option granted under this Plan which is designated as an Incentive Stock Option exceeds this limit or otherwise fails to qualify as an Incentive Stock Option, such Stock Option (or any such portion thereof) shall be a Nonqualified Stock Option. In such case, the Committee shall designate which stock will be treated as Incentive Stock Option stock by causing the electronic registration of a share (or, if applicable, the issuance of a separate stock certificate) and identifying such stock as Incentive Stock Option stock on the Company’s stock transfer records.</w:t>
      </w:r>
    </w:p>
    <w:p>
      <w:pPr>
        <w:pStyle w:val="TextBody"/>
        <w:bidi w:val="0"/>
        <w:jc w:val="center"/>
        <w:rPr>
          <w:rFonts w:ascii="Times New Roman" w:hAnsi="Times New Roman"/>
          <w:color w:val="000000"/>
          <w:sz w:val="22"/>
        </w:rPr>
      </w:pPr>
      <w:r>
        <w:rPr>
          <w:rFonts w:ascii="Times New Roman" w:hAnsi="Times New Roman"/>
          <w:color w:val="000000"/>
          <w:sz w:val="22"/>
        </w:rPr>
        <w:t>A-14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6.4</w:t>
      </w:r>
    </w:p>
    <w:p>
      <w:pPr>
        <w:pStyle w:val="TextBody"/>
        <w:bidi w:val="0"/>
        <w:spacing w:before="0" w:after="240"/>
        <w:jc w:val="both"/>
        <w:rPr/>
      </w:pPr>
      <w:r>
        <w:rPr>
          <w:rFonts w:ascii="Times New Roman" w:hAnsi="Times New Roman"/>
          <w:b/>
          <w:color w:val="000000"/>
          <w:sz w:val="22"/>
        </w:rPr>
        <w:t>Restricted Stock.</w:t>
      </w:r>
      <w:r>
        <w:rPr>
          <w:color w:val="000000"/>
        </w:rPr>
        <w:t xml:space="preserve"> </w:t>
      </w:r>
      <w:r>
        <w:rPr>
          <w:rFonts w:ascii="Times New Roman" w:hAnsi="Times New Roman"/>
          <w:color w:val="000000"/>
          <w:sz w:val="22"/>
        </w:rPr>
        <w:t>If Restricted Stock is granted to or received by a Participant under an Award (including a Stock Option), the Committee shall set forth in the related Award Agreement, as applicable: (a) the number of shares of Common Stock awarded, (b) the price, if any, to be paid by the Participant for such Restricted Stock and the method of payment of the price, (c) the time or times within which such Award may be subject to forfeiture, (d) specified Performance Goals of the Company, a Subsidiary, any division thereof or any group of Employees of the Company, or other criteria, which the Committee determines must be met in order to remove any restrictions (including vesting) on such Award, and (e) all other terms, limitations, restrictions, and conditions of the Restricted Stock, which shall be consistent with this Plan, to the extent applicable and, to the extent Restricted Stock granted under the Plan is subject to Section 409A of the Code, in compliance with the applicable requirements of Section 409A of the Code and the regulations or other guidance issued thereunder. The provisions of Restricted Stock need not be the same with respect to each Participant.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b/>
          <w:color w:val="000000"/>
          <w:sz w:val="22"/>
        </w:rPr>
        <w:t>Legend on Shares</w:t>
      </w:r>
      <w:r>
        <w:rPr>
          <w:rFonts w:ascii="Times New Roman" w:hAnsi="Times New Roman"/>
          <w:color w:val="000000"/>
          <w:sz w:val="22"/>
        </w:rPr>
        <w:t xml:space="preserve">. The Company shall electronically register Restricted Stock awarded to a Participant in the Participant’s name, which shall bear an appropriate legend referring to the terms, conditions, and restrictions applicable to such Restricted Stock. No stock certificate or certificates shall be issued with respect to such shares of Common Stock, unless, following the expiration of the Restriction Period (as defined in </w:t>
      </w:r>
      <w:r>
        <w:rPr>
          <w:rFonts w:ascii="Times New Roman" w:hAnsi="Times New Roman"/>
          <w:color w:val="000000"/>
          <w:sz w:val="22"/>
          <w:u w:val="single"/>
        </w:rPr>
        <w:t>Section 6.4(b)(i)</w:t>
      </w:r>
      <w:r>
        <w:rPr>
          <w:rFonts w:ascii="Times New Roman" w:hAnsi="Times New Roman"/>
          <w:color w:val="000000"/>
          <w:sz w:val="22"/>
        </w:rPr>
        <w:t>) without forfeiture in respect of such shares of Common Stock, the Participant requests delivery of the certificate or certificates by submitting a written request to the Committee (or such party designated by the Company) requesting delivery of the certificates. The Company shall deliver the certificates requested by the Participant to the Participant as soon as administratively practicable following the Company’s receipt of such request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b/>
          <w:color w:val="000000"/>
          <w:sz w:val="22"/>
        </w:rPr>
        <w:t>Restrictions and Conditions.</w:t>
      </w:r>
      <w:r>
        <w:rPr>
          <w:color w:val="000000"/>
        </w:rPr>
        <w:t xml:space="preserve"> </w:t>
      </w:r>
      <w:r>
        <w:rPr>
          <w:rFonts w:ascii="Times New Roman" w:hAnsi="Times New Roman"/>
          <w:color w:val="000000"/>
          <w:sz w:val="22"/>
        </w:rPr>
        <w:t>Shares of Restricted Stock shall be subject to the following restrictions and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Subject to the other provisions of this Plan and the terms of the particular Award Agreements, during such period as may be determined by the Committee commencing on the Date of Grant or the date of exercise of an Award (the “</w:t>
      </w:r>
      <w:r>
        <w:rPr>
          <w:rFonts w:ascii="Times New Roman" w:hAnsi="Times New Roman"/>
          <w:b/>
          <w:i/>
          <w:color w:val="000000"/>
          <w:sz w:val="22"/>
        </w:rPr>
        <w:t>Restriction Period</w:t>
      </w:r>
      <w:r>
        <w:rPr>
          <w:color w:val="000000"/>
        </w:rPr>
        <w:t>”</w:t>
      </w:r>
      <w:r>
        <w:rPr>
          <w:rFonts w:ascii="Times New Roman" w:hAnsi="Times New Roman"/>
          <w:color w:val="000000"/>
          <w:sz w:val="22"/>
        </w:rPr>
        <w:t>), the Participant shall not be permitted to sell, transfer, pledge or assign shares of Restricted Stock. Except for these limitations, the Committee may in its sole discretion, remove any or all of the restrictions on such Restricted Stock whenever it may determine that, by reason of changes in Applicable Laws or other changes in circumstances arising after the date of the Award, such action is appropriate.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provided in sub-paragraph (a) above or in the applicable Award Agreement, the Participant shall have, with respect to the Participant’s Restricted Stock, all of the rights of a stockholder of the Company, including the right to vote the shares, and the right to receive any dividends thereon. Shares of Common Stock free of restriction under this Plan shall be electronically registered in the Participant’s name (or, if certificates are issued shall be delivered to the Participant) promptly after, and only after, the Restriction Period shall expire without forfeiture in respect of such shares of Common Stock or after any other restrictions imposed on such shares of Common Stock by the applicable Award Agreement or other agreement have expired. Common Stock forfeited under the provisions of the Plan and the applicable Award Agreement shall be promptly returned to the Company by the forfeiting Participant (including, if applicable, any certificates for such shares). Each Award Agreement shall require that: each Participant, in connection with the issuance of a certificate for Restricted Stock, shall endorse such certificate in blank or execute a stock power in form satisfactory to the Company in blank and deliver such certificate and executed stock power to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color w:val="000000"/>
          <w:sz w:val="22"/>
        </w:rPr>
        <w:t xml:space="preserve">The Restriction Period, subject to </w:t>
      </w:r>
      <w:r>
        <w:rPr>
          <w:rFonts w:ascii="Times New Roman" w:hAnsi="Times New Roman"/>
          <w:color w:val="000000"/>
          <w:sz w:val="22"/>
          <w:u w:val="single"/>
        </w:rPr>
        <w:t>Article 12</w:t>
      </w:r>
      <w:r>
        <w:rPr>
          <w:color w:val="000000"/>
        </w:rPr>
        <w:t xml:space="preserve"> </w:t>
      </w:r>
      <w:r>
        <w:rPr>
          <w:rFonts w:ascii="Times New Roman" w:hAnsi="Times New Roman"/>
          <w:color w:val="000000"/>
          <w:sz w:val="22"/>
        </w:rPr>
        <w:t>of the Plan, unless otherwise established by the Committee in the Award Agreement setting forth the terms of the Restricted Stock, shall expire upon satisfaction of the conditions set forth in the Award Agreement; such conditions may provide for vesting based on length of continuous service or such Performance Goals, as may be determined by the Committee in its sole discretion.</w:t>
      </w:r>
    </w:p>
    <w:p>
      <w:pPr>
        <w:pStyle w:val="TextBody"/>
        <w:bidi w:val="0"/>
        <w:jc w:val="center"/>
        <w:rPr>
          <w:rFonts w:ascii="Times New Roman" w:hAnsi="Times New Roman"/>
          <w:color w:val="000000"/>
          <w:sz w:val="22"/>
        </w:rPr>
      </w:pPr>
      <w:r>
        <w:rPr>
          <w:rFonts w:ascii="Times New Roman" w:hAnsi="Times New Roman"/>
          <w:color w:val="000000"/>
          <w:sz w:val="22"/>
        </w:rPr>
        <w:t>A-15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otherwise provided in the particular Award Agreement, upon Termination of Service for any reason during the Restriction Period, the nonvested shares of Restricted Stock shall be forfeited by the Participant. In the event a Participant has paid any consideration to the Company for such forfeited Restricted Stock, the Committee shall specify in the Award Agreement that either (1) the Company shall be obligated to, or (2) the Company may, in its sole discretion, elect to, pay to the Participant, as soon as practicable after the event causing forfeiture, in cash, an amount equal to the lesser of the total consideration paid by the Participant for such forfeited shares or the Fair Market Value of such forfeited shares as of the date of Termination of Service, as the Committee, in its sole discretion shall select. Upon any forfeiture, all rights of a Participant with respect to the forfeited shares of the Restricted Stock shall cease and terminate, without any further obligation on the part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w:t>
      </w:r>
    </w:p>
    <w:p>
      <w:pPr>
        <w:pStyle w:val="TextBody"/>
        <w:bidi w:val="0"/>
        <w:spacing w:before="0" w:after="240"/>
        <w:jc w:val="both"/>
        <w:rPr/>
      </w:pPr>
      <w:r>
        <w:rPr>
          <w:rFonts w:ascii="Times New Roman" w:hAnsi="Times New Roman"/>
          <w:b/>
          <w:color w:val="000000"/>
          <w:sz w:val="22"/>
        </w:rPr>
        <w:t>SARs.</w:t>
      </w:r>
      <w:r>
        <w:rPr>
          <w:color w:val="000000"/>
        </w:rPr>
        <w:t xml:space="preserve"> </w:t>
      </w:r>
      <w:r>
        <w:rPr>
          <w:rFonts w:ascii="Times New Roman" w:hAnsi="Times New Roman"/>
          <w:color w:val="000000"/>
          <w:sz w:val="22"/>
        </w:rPr>
        <w:t>The Committee may grant SARs to any Participant, either as a separate Award or in connection with a Stock Option. SARs shall be subject to such terms and conditions as the Committee shall impose, provided that such terms and conditions are (a) not inconsistent with the Plan, and (b) to the extent a SAR issued under the Plan is subject to Section 409A of the Code, in compliance with the applicable requirements of Section 409A of the Code and the regulations or other guidance issued thereunder. The grant of the SAR may provide that the holder may be paid for the value of the SAR either in cash or in shares of Common Stock, or a combination thereof. In the event of the exercise of a SAR payable in shares of Common Stock, the holder of the SAR shall receive that number of whole shares of Common Stock having an aggregate Fair Market Value on the date of exercise equal to the value obtained by multiplying (a) the difference between the Fair Market Value of a share of Common Stock on the date of exercise over the SAR Price as set forth in such SAR (or other value specified in the Award Agreement granting the SAR), by (b) the number of shares of Common Stock as to which the SAR is exercised, with a cash settlement to be made for any fractional shares of Common Stock. The SAR Price for any share of Common Stock subject to a SAR may be equal to or greater than the Fair Market Value of the share on the Date of Grant. The Committee, in its sole discretion, may place a ceiling on the amount payable upon exercise of a SAR, but any such limitation shall be specified at the time that the SAR is granted.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6.6</w:t>
      </w:r>
    </w:p>
    <w:p>
      <w:pPr>
        <w:pStyle w:val="TextBody"/>
        <w:bidi w:val="0"/>
        <w:spacing w:before="0" w:after="240"/>
        <w:jc w:val="both"/>
        <w:rPr/>
      </w:pPr>
      <w:r>
        <w:rPr>
          <w:rFonts w:ascii="Times New Roman" w:hAnsi="Times New Roman"/>
          <w:b/>
          <w:color w:val="000000"/>
          <w:sz w:val="22"/>
        </w:rPr>
        <w:t>Restricted Stock Units.</w:t>
      </w:r>
      <w:r>
        <w:rPr>
          <w:color w:val="000000"/>
        </w:rPr>
        <w:t xml:space="preserve"> </w:t>
      </w:r>
      <w:r>
        <w:rPr>
          <w:rFonts w:ascii="Times New Roman" w:hAnsi="Times New Roman"/>
          <w:color w:val="000000"/>
          <w:sz w:val="22"/>
        </w:rPr>
        <w:t xml:space="preserve">Restricted Stock Units may be awarded or sold to any Participant under such terms and conditions as shall be established by the Committee, provided, however, that such terms and conditions are (a) not inconsistent with the Plan, and (b) to the extent a Restricted Stock Unit issued under the Plan is subject to Section 409A of the Code, in compliance with the applicable requirements of Section 409A of the Code and the regulations or other guidance issued thereunder. Restricted Stock Units shall be subject to such restrictions as the Committee determines, including, without limitation, (a) a prohibition against sale, assignment, transfer, pledge, hypothecation or other encumbrance for a specified period; or (b) a requirement that the holder forfeit (or in the case of shares of Common Stock or units sold to the Participant, resell to the Company at cost) such shares or units in the event of Termination of Service during the period of restriction. The value of Restricted Stock Units may be paid in Common Stock, cash, or a combination of both, as determined by the Committee, in its sole discretion, and set forth in the Award Agreement.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6.7</w:t>
      </w:r>
    </w:p>
    <w:p>
      <w:pPr>
        <w:pStyle w:val="TextBody"/>
        <w:bidi w:val="0"/>
        <w:spacing w:before="0" w:after="240"/>
        <w:jc w:val="both"/>
        <w:rPr/>
      </w:pPr>
      <w:r>
        <w:rPr>
          <w:rFonts w:ascii="Times New Roman" w:hAnsi="Times New Roman"/>
          <w:b/>
          <w:color w:val="000000"/>
          <w:sz w:val="22"/>
        </w:rPr>
        <w:t>Performance Awards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The Committee may grant Performance Awards to one or more Participants. The terms and conditions of Performance Awards shall be specified at the time of the grant and may include provisions establishing the performance period, the Performance Goals to be achieved during a performance period, and the maximum or minimum settlement values, provided that such terms and conditions are (i) not inconsistent with the Plan and (ii) to the extent a Performance Award issued under the Plan is subject to Section 409A of the Code, in compliance with the applicable requirements of Section 409A of the Code and the regulations or other guidance issued thereunder. If the Performance Award is to be in shares of Common Stock, the Performance Awards may provide for the issuance of the shares of Common Stock at the time of the grant of the Performance Award or at the time of the certification by the Committee that the Performance Goals for the performance period have been met;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if shares of Common Stock are issued at the time of the grant of the Performance Award and if, at the end of the performance period, the Performance Goals are not certified by the Committee to have been fully satisfied, then, </w:t>
      </w:r>
    </w:p>
    <w:p>
      <w:pPr>
        <w:pStyle w:val="TextBody"/>
        <w:bidi w:val="0"/>
        <w:jc w:val="center"/>
        <w:rPr>
          <w:rFonts w:ascii="Times New Roman" w:hAnsi="Times New Roman"/>
          <w:color w:val="000000"/>
          <w:sz w:val="22"/>
        </w:rPr>
      </w:pPr>
      <w:r>
        <w:rPr>
          <w:rFonts w:ascii="Times New Roman" w:hAnsi="Times New Roman"/>
          <w:color w:val="000000"/>
          <w:sz w:val="22"/>
        </w:rPr>
        <w:t>A-16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 other provisions of this Plan to the contrary, the Common Stock shall be forfeited in accordance with the terms of the grant to the extent the Committee determines that the Performance Goals were not met. The forfeiture of shares of Common Stock issued at the time of the grant of the Performance Award due to failure to achieve the established Performance Goals shall be separate from and in addition to any other restrictions provided for in this Plan that may be applicable to such shares of Common Stock. Each Performance Award granted to one or more Participants shall have its own terms and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Committee determines, in its sole discretion, that the established performance measures or objectives are no longer suitable because of a change in the Company’s business, operations, corporate structure, or for other reasons that the Committee deemed satisfactory, the Committee may modify the performance measures or objectives and/or the performance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Performance Awards may be valued by reference to the Fair Market Value of a share of Common Stock or according to any formula or method deemed appropriate by the Committee, in its sole discretion, including, but not limited to, achievement of Performance Goals or other specific financial, production, sales or cost performance objectives that the Committee believes to be relevant to the Company’s business and/or remaining in the employ of the Company or a Subsidiary for a specified period of time. Performance Awards may be paid in cash, shares of Common Stock, or other consideration, or any combination thereof. If payable in shares of Common Stock, the consideration for the issuance of such shares may be the achievement of the performance objective established at the time of the grant of the Performance Award. Performance Awards may be payable in a single payment or in installments and may be payable at a specified date or dates or upon attaining the performance objective. The extent to which any applicable performance objective has been achieved shall be conclusively determined by the Committee.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6.8</w:t>
      </w:r>
    </w:p>
    <w:p>
      <w:pPr>
        <w:pStyle w:val="TextBody"/>
        <w:bidi w:val="0"/>
        <w:spacing w:before="0" w:after="240"/>
        <w:jc w:val="both"/>
        <w:rPr/>
      </w:pPr>
      <w:r>
        <w:rPr>
          <w:rFonts w:ascii="Times New Roman" w:hAnsi="Times New Roman"/>
          <w:b/>
          <w:color w:val="000000"/>
          <w:sz w:val="22"/>
        </w:rPr>
        <w:t xml:space="preserve">Dividend Equivalent Rights. </w:t>
      </w:r>
      <w:r>
        <w:rPr>
          <w:rFonts w:ascii="Times New Roman" w:hAnsi="Times New Roman"/>
          <w:color w:val="000000"/>
          <w:sz w:val="22"/>
        </w:rPr>
        <w:t>The Committee may grant a Dividend Equivalent Right to any Participant, either as a component of another Award or as a separate Award. The terms and conditions of the Dividend Equivalent Right shall be specified by the grant. Dividend equivalents credited to the holder of a Dividend Equivalent Right may be paid currently or may be deemed to be reinvested in additional shares of Common Stock (which may thereafter accrue additional dividend equivalents). Any such reinvestment shall be at the Fair Market Value at the time thereof. Dividend Equivalent Rights may be settled in cash or shares of Common Stock, or a combination thereof, in a single payment or in installments. A Dividend Equivalent Right granted as a component of another Award may provide that such Dividend Equivalent Right shall be settled upon exercise, settlement, or payment of, or lapse of restrictions on, such other Award, and that such Dividend Equivalent Right granted as a component of another Award may also contain terms and conditions different from such other Award.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6.9</w:t>
      </w:r>
    </w:p>
    <w:p>
      <w:pPr>
        <w:pStyle w:val="TextBody"/>
        <w:bidi w:val="0"/>
        <w:spacing w:before="0" w:after="240"/>
        <w:jc w:val="both"/>
        <w:rPr/>
      </w:pPr>
      <w:r>
        <w:rPr>
          <w:rFonts w:ascii="Times New Roman" w:hAnsi="Times New Roman"/>
          <w:b/>
          <w:color w:val="000000"/>
          <w:sz w:val="22"/>
        </w:rPr>
        <w:t>Other Awards.</w:t>
      </w:r>
      <w:r>
        <w:rPr>
          <w:color w:val="000000"/>
        </w:rPr>
        <w:t xml:space="preserve"> </w:t>
      </w:r>
      <w:r>
        <w:rPr>
          <w:rFonts w:ascii="Times New Roman" w:hAnsi="Times New Roman"/>
          <w:color w:val="000000"/>
          <w:sz w:val="22"/>
        </w:rPr>
        <w:t>The Committee may grant to any Participant other forms of Awards, based upon, payable in, or otherwise related to, in whole or in part, shares of Common Stock, if the Committee determines that such other form of Award is consistent with the purpose and restrictions of this Plan. The terms and conditions of such other form of Award shall be specified by the grant. Such Other Awards may be granted for no cash consideration, for such minimum consideration as may be required by Applicable Law, or for such other consideration as may be specified by the grant.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6.10</w:t>
      </w:r>
    </w:p>
    <w:p>
      <w:pPr>
        <w:pStyle w:val="TextBody"/>
        <w:bidi w:val="0"/>
        <w:spacing w:before="0" w:after="240"/>
        <w:jc w:val="both"/>
        <w:rPr/>
      </w:pPr>
      <w:r>
        <w:rPr>
          <w:rFonts w:ascii="Times New Roman" w:hAnsi="Times New Roman"/>
          <w:b/>
          <w:color w:val="000000"/>
          <w:sz w:val="22"/>
        </w:rPr>
        <w:t xml:space="preserve">Performance Goals. </w:t>
      </w:r>
      <w:r>
        <w:rPr>
          <w:rFonts w:ascii="Times New Roman" w:hAnsi="Times New Roman"/>
          <w:color w:val="000000"/>
          <w:sz w:val="22"/>
        </w:rPr>
        <w:t>Awards (whether relating to cash or shares of Common Stock) under the Plan may be made subject to the attainment of Performance Goals. Any Performance Goal may be used to measure the performance of the Company as a whole or any business unit of the Company and may be measured relative to a peer group or index. Any Performance Goal may include or exclude (a) events that are of an unusual nature or indicate infrequency of occurrence, (b) gains or losses on the disposition of a business, (c) changes in tax or accounting regulations or laws, (d) the effect of a merger or acquisition, as identified in the Company’s quarterly and annual earnings releases, or (e) other similar occurrences. In all other respects, Performance Goals shall be calculated in accordance with the Company’s financial statements, under generally accepted accounting principles, or under a methodology established by the Committee prior to the issuance of an Award which is consistently applied and identified in the audited financial statements, including footnotes, or the Compensation Discussion and Analysis section of the Company’s annual report.</w:t>
      </w:r>
    </w:p>
    <w:p>
      <w:pPr>
        <w:pStyle w:val="TextBody"/>
        <w:bidi w:val="0"/>
        <w:jc w:val="center"/>
        <w:rPr>
          <w:rFonts w:ascii="Times New Roman" w:hAnsi="Times New Roman"/>
          <w:color w:val="000000"/>
          <w:sz w:val="22"/>
        </w:rPr>
      </w:pPr>
      <w:r>
        <w:rPr>
          <w:rFonts w:ascii="Times New Roman" w:hAnsi="Times New Roman"/>
          <w:color w:val="000000"/>
          <w:sz w:val="22"/>
        </w:rPr>
        <w:t>A-17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6.11</w:t>
      </w:r>
    </w:p>
    <w:p>
      <w:pPr>
        <w:pStyle w:val="TextBody"/>
        <w:bidi w:val="0"/>
        <w:spacing w:before="0" w:after="240"/>
        <w:jc w:val="both"/>
        <w:rPr/>
      </w:pPr>
      <w:r>
        <w:rPr>
          <w:rFonts w:ascii="Times New Roman" w:hAnsi="Times New Roman"/>
          <w:b/>
          <w:color w:val="000000"/>
          <w:sz w:val="22"/>
        </w:rPr>
        <w:t>Tandem Awards.</w:t>
      </w:r>
      <w:r>
        <w:rPr>
          <w:color w:val="000000"/>
        </w:rPr>
        <w:t xml:space="preserve"> </w:t>
      </w:r>
      <w:r>
        <w:rPr>
          <w:rFonts w:ascii="Times New Roman" w:hAnsi="Times New Roman"/>
          <w:color w:val="000000"/>
          <w:sz w:val="22"/>
        </w:rPr>
        <w:t>The Committee may grant two or more Incentives in one Award in the form of a “Tandem Award,” so that the right of the Participant to exercise one Incentive shall be canceled if, and to the extent, the other Incentive is exercised. For example, if a Stock Option and a SAR are issued in a Tandem Award, and the Participant exercises the SAR with respect to one hundred (100) shares of Common Stock, the right of the Participant to exercise the related Stock Option shall be canceled to the extent of 100 shares of Common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6.12</w:t>
      </w:r>
    </w:p>
    <w:p>
      <w:pPr>
        <w:pStyle w:val="TextBody"/>
        <w:bidi w:val="0"/>
        <w:spacing w:before="0" w:after="240"/>
        <w:jc w:val="both"/>
        <w:rPr/>
      </w:pPr>
      <w:r>
        <w:rPr>
          <w:rFonts w:ascii="Times New Roman" w:hAnsi="Times New Roman"/>
          <w:b/>
          <w:color w:val="000000"/>
          <w:sz w:val="22"/>
        </w:rPr>
        <w:t>No Repricing of Stock Options or SARs.</w:t>
      </w:r>
      <w:r>
        <w:rPr>
          <w:color w:val="000000"/>
        </w:rPr>
        <w:t xml:space="preserve"> </w:t>
      </w:r>
      <w:r>
        <w:rPr>
          <w:rFonts w:ascii="Times New Roman" w:hAnsi="Times New Roman"/>
          <w:color w:val="000000"/>
          <w:sz w:val="22"/>
        </w:rPr>
        <w:t xml:space="preserve">The Committee may not “reprice” any Stock Option or SAR without stockholder approval. For purposes of this </w:t>
      </w:r>
      <w:r>
        <w:rPr>
          <w:rFonts w:ascii="Times New Roman" w:hAnsi="Times New Roman"/>
          <w:color w:val="000000"/>
          <w:sz w:val="22"/>
          <w:u w:val="single"/>
        </w:rPr>
        <w:t>Section 6.12</w:t>
      </w:r>
      <w:r>
        <w:rPr>
          <w:rFonts w:ascii="Times New Roman" w:hAnsi="Times New Roman"/>
          <w:color w:val="000000"/>
          <w:sz w:val="22"/>
        </w:rPr>
        <w:t xml:space="preserve">, “reprice” means any of the following or any other action that has the same effect: (a) amending a Stock Option or SAR to reduce its exercise price or base price, (b) canceling a Stock Option or SAR at a time when its exercise price or base price exceeds the Fair Market Value of a share of Common Stock in exchange for cash or a Stock Option, SAR, award of Restricted Stock or other equity award, or (c) taking any other action that is treated as a repricing under generally accepted accounting principles, provided that nothing in this </w:t>
      </w:r>
      <w:r>
        <w:rPr>
          <w:rFonts w:ascii="Times New Roman" w:hAnsi="Times New Roman"/>
          <w:color w:val="000000"/>
          <w:sz w:val="22"/>
          <w:u w:val="single"/>
        </w:rPr>
        <w:t>Section 6.12</w:t>
      </w:r>
      <w:r>
        <w:rPr>
          <w:color w:val="000000"/>
        </w:rPr>
        <w:t xml:space="preserve"> </w:t>
      </w:r>
      <w:r>
        <w:rPr>
          <w:rFonts w:ascii="Times New Roman" w:hAnsi="Times New Roman"/>
          <w:color w:val="000000"/>
          <w:sz w:val="22"/>
        </w:rPr>
        <w:t xml:space="preserve">shall prevent the Committee from making adjustments pursuant to </w:t>
      </w:r>
      <w:r>
        <w:rPr>
          <w:rFonts w:ascii="Times New Roman" w:hAnsi="Times New Roman"/>
          <w:color w:val="000000"/>
          <w:sz w:val="22"/>
          <w:u w:val="single"/>
        </w:rPr>
        <w:t>Article 11</w:t>
      </w:r>
      <w:r>
        <w:rPr>
          <w:rFonts w:ascii="Times New Roman" w:hAnsi="Times New Roman"/>
          <w:color w:val="000000"/>
          <w:sz w:val="22"/>
        </w:rPr>
        <w:t xml:space="preserve">, from exchanging or cancelling Incentives pursuant to </w:t>
      </w:r>
      <w:r>
        <w:rPr>
          <w:rFonts w:ascii="Times New Roman" w:hAnsi="Times New Roman"/>
          <w:color w:val="000000"/>
          <w:sz w:val="22"/>
          <w:u w:val="single"/>
        </w:rPr>
        <w:t>Article 12</w:t>
      </w:r>
      <w:r>
        <w:rPr>
          <w:rFonts w:ascii="Times New Roman" w:hAnsi="Times New Roman"/>
          <w:color w:val="000000"/>
          <w:sz w:val="22"/>
        </w:rPr>
        <w:t xml:space="preserve">, or substituting Incentives in accordance with </w:t>
      </w:r>
      <w:r>
        <w:rPr>
          <w:rFonts w:ascii="Times New Roman" w:hAnsi="Times New Roman"/>
          <w:color w:val="000000"/>
          <w:sz w:val="22"/>
          <w:u w:val="single"/>
        </w:rPr>
        <w:t>Article 14</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6.13</w:t>
      </w:r>
    </w:p>
    <w:p>
      <w:pPr>
        <w:pStyle w:val="TextBody"/>
        <w:bidi w:val="0"/>
        <w:spacing w:before="0" w:after="240"/>
        <w:jc w:val="both"/>
        <w:rPr/>
      </w:pPr>
      <w:r>
        <w:rPr>
          <w:rFonts w:ascii="Times New Roman" w:hAnsi="Times New Roman"/>
          <w:b/>
          <w:color w:val="000000"/>
          <w:sz w:val="22"/>
        </w:rPr>
        <w:t xml:space="preserve">Recoupment for Restatements. </w:t>
      </w:r>
      <w:r>
        <w:rPr>
          <w:rFonts w:ascii="Times New Roman" w:hAnsi="Times New Roman"/>
          <w:color w:val="000000"/>
          <w:sz w:val="22"/>
        </w:rPr>
        <w:t>This Plan is subject to any written clawback policies that the Company, with the approval of the Board, may adopt. Any such policy may subject a Participant’s Awards and amounts paid or realized with respect to Awards under the Plan to reduction, cancelation, forfeiture or recoupment if certain specified events or wrongful conduct occur, including an accounting restatement due to the Company’s material noncompliance with financial reporting regulations or other events or wrongful conduct specified in any such clawback policy adopted to conform to the Dodd-Frank Wall Street Reform and Consumer Protection Act of 2010 and rules promulgated thereunder by the Securities and Exchange Commission and that the Company determines should apply to the Plan.</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7.</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AWARD PERIOD; VESTING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240"/>
        <w:jc w:val="both"/>
        <w:rPr/>
      </w:pPr>
      <w:r>
        <w:rPr>
          <w:rFonts w:ascii="Times New Roman" w:hAnsi="Times New Roman"/>
          <w:b/>
          <w:color w:val="000000"/>
          <w:sz w:val="22"/>
        </w:rPr>
        <w:t xml:space="preserve">Award Period. </w:t>
      </w:r>
      <w:r>
        <w:rPr>
          <w:rFonts w:ascii="Times New Roman" w:hAnsi="Times New Roman"/>
          <w:color w:val="000000"/>
          <w:sz w:val="22"/>
        </w:rPr>
        <w:t>Subject to the other provisions of this Plan, the Committee may, in its discretion, provide that an Incentive may not be exercised in whole or in part for any period or periods of time or beyond any date specified in the Award Agreement. Except as provided in the Award Agreement, an Incentive may be exercised in whole or in part at any time during its term. The Award Period for an Incentive shall be reduced or terminated upon Termination of Service. No Incentive granted under the Plan may be exercised at any time after the end of its Award Period. No portion of any Incentive may be exercised after the expiration of 10 years from its Date of Grant. However, if an Employee owns or is deemed to own (by reason of the attribution rules of Section 424(d) of the Code) more than 10% of the combined voting power of all classes of stock of the Company (or any parent or Subsidiary) and an Incentive Stock Option is granted to such Employee, the term of such Incentive Stock Option (to the extent required by the Code at the time of grant) shall be no more than five years from the Date of Grant.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w:t>
      </w:r>
    </w:p>
    <w:p>
      <w:pPr>
        <w:pStyle w:val="TextBody"/>
        <w:bidi w:val="0"/>
        <w:spacing w:before="0" w:after="240"/>
        <w:jc w:val="both"/>
        <w:rPr/>
      </w:pPr>
      <w:r>
        <w:rPr>
          <w:rFonts w:ascii="Times New Roman" w:hAnsi="Times New Roman"/>
          <w:b/>
          <w:color w:val="000000"/>
          <w:sz w:val="22"/>
        </w:rPr>
        <w:t>Vesting.</w:t>
      </w:r>
      <w:r>
        <w:rPr>
          <w:color w:val="000000"/>
        </w:rPr>
        <w:t xml:space="preserve"> </w:t>
      </w:r>
      <w:r>
        <w:rPr>
          <w:rFonts w:ascii="Times New Roman" w:hAnsi="Times New Roman"/>
          <w:color w:val="000000"/>
          <w:sz w:val="22"/>
        </w:rPr>
        <w:t>The Committee, in its sole discretion, may determine that an Incentive will be immediately vested in whole or in part, or that all or any portion may not be vested until a date, or dates, subsequent to its Date of Grant, or until the occurrence of one or more specified events, subject in any case to the terms of the Plan. If the Committee imposes conditions upon vesting, then, subsequent to the Date of Grant, the Committee may, in its sole discretion, accelerate the date on which all or any portion of the Incentive may be vested.</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8.</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EXERCISE OR CONVERSION OF INCENTIVE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w:t>
      </w:r>
    </w:p>
    <w:p>
      <w:pPr>
        <w:pStyle w:val="TextBody"/>
        <w:bidi w:val="0"/>
        <w:spacing w:before="0" w:after="240"/>
        <w:jc w:val="both"/>
        <w:rPr/>
      </w:pPr>
      <w:r>
        <w:rPr>
          <w:rFonts w:ascii="Times New Roman" w:hAnsi="Times New Roman"/>
          <w:b/>
          <w:color w:val="000000"/>
          <w:sz w:val="22"/>
        </w:rPr>
        <w:t>In General</w:t>
      </w:r>
      <w:r>
        <w:rPr>
          <w:rFonts w:ascii="Times New Roman" w:hAnsi="Times New Roman"/>
          <w:color w:val="000000"/>
          <w:sz w:val="22"/>
        </w:rPr>
        <w:t>. A vested Incentive may be exercised or converted, during its Award Period, subject to limitations and restrictions set forth in the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8.2</w:t>
      </w:r>
    </w:p>
    <w:p>
      <w:pPr>
        <w:pStyle w:val="TextBody"/>
        <w:bidi w:val="0"/>
        <w:spacing w:before="0" w:after="240"/>
        <w:jc w:val="both"/>
        <w:rPr/>
      </w:pPr>
      <w:r>
        <w:rPr>
          <w:rFonts w:ascii="Times New Roman" w:hAnsi="Times New Roman"/>
          <w:b/>
          <w:color w:val="000000"/>
          <w:sz w:val="22"/>
        </w:rPr>
        <w:t>Securities Law and Exchange Restrictions.</w:t>
      </w:r>
      <w:r>
        <w:rPr>
          <w:color w:val="000000"/>
        </w:rPr>
        <w:t xml:space="preserve"> </w:t>
      </w:r>
      <w:r>
        <w:rPr>
          <w:rFonts w:ascii="Times New Roman" w:hAnsi="Times New Roman"/>
          <w:color w:val="000000"/>
          <w:sz w:val="22"/>
        </w:rPr>
        <w:t xml:space="preserve">In no event may an Incentive be exercised or shares of Common Stock be issued pursuant to an Award if a necessary listing or quotation of the shares of Common Stock </w:t>
      </w:r>
    </w:p>
    <w:p>
      <w:pPr>
        <w:pStyle w:val="TextBody"/>
        <w:bidi w:val="0"/>
        <w:jc w:val="center"/>
        <w:rPr>
          <w:rFonts w:ascii="Times New Roman" w:hAnsi="Times New Roman"/>
          <w:color w:val="000000"/>
          <w:sz w:val="22"/>
        </w:rPr>
      </w:pPr>
      <w:r>
        <w:rPr>
          <w:rFonts w:ascii="Times New Roman" w:hAnsi="Times New Roman"/>
          <w:color w:val="000000"/>
          <w:sz w:val="22"/>
        </w:rPr>
        <w:t>A-18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 a stock exchange or inter-dealer quotation system or any registration under state or federal securities laws required under the circumstances has not been accomplished.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8.3</w:t>
      </w:r>
    </w:p>
    <w:p>
      <w:pPr>
        <w:pStyle w:val="TextBody"/>
        <w:bidi w:val="0"/>
        <w:spacing w:before="0" w:after="240"/>
        <w:jc w:val="both"/>
        <w:rPr/>
      </w:pPr>
      <w:r>
        <w:rPr>
          <w:rFonts w:ascii="Times New Roman" w:hAnsi="Times New Roman"/>
          <w:b/>
          <w:color w:val="000000"/>
          <w:sz w:val="22"/>
        </w:rPr>
        <w:t>Exercise of Stock Option</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b/>
          <w:color w:val="000000"/>
          <w:sz w:val="22"/>
        </w:rPr>
        <w:t>In General.</w:t>
      </w:r>
      <w:r>
        <w:rPr>
          <w:color w:val="000000"/>
        </w:rPr>
        <w:t xml:space="preserve"> </w:t>
      </w:r>
      <w:r>
        <w:rPr>
          <w:rFonts w:ascii="Times New Roman" w:hAnsi="Times New Roman"/>
          <w:color w:val="000000"/>
          <w:sz w:val="22"/>
        </w:rPr>
        <w:t>If a Stock Option is exercisable prior to the time it is vested, the Common Stock obtained on the exercise of the Stock Option shall be Restricted Stock which is subject to the applicable provisions of the Plan and the Award Agreement. If the Committee imposes conditions upon exercise, then subsequent to the Date of Grant, the Committee may, in its sole discretion, accelerate the date on which all or any portion of the Stock Option may be exercised. No Stock Option may be exercised for a fractional share of Common Stock. The granting of a Stock Option shall impose no obligation upon the Participant to exercise that Stock Option. Each Award Agreement with respect to a Stock Option shall include provisions governing exercise of the Stock Option on or following the Participant’s Termination of Service, which shall be established by the Committee in its sole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b/>
          <w:color w:val="000000"/>
          <w:sz w:val="22"/>
        </w:rPr>
        <w:t>Notice and Payment.</w:t>
      </w:r>
      <w:r>
        <w:rPr>
          <w:color w:val="000000"/>
        </w:rPr>
        <w:t xml:space="preserve"> </w:t>
      </w:r>
      <w:r>
        <w:rPr>
          <w:rFonts w:ascii="Times New Roman" w:hAnsi="Times New Roman"/>
          <w:color w:val="000000"/>
          <w:sz w:val="22"/>
        </w:rPr>
        <w:t>Subject to such administrative regulations as the Committee may from time to time adopt, a Stock Option may be exercised by the delivery of written notice to the Company (in accordance with the notice provisions in the Participant’s Award Agreement) setting forth the number of shares of Common Stock with respect to which the Stock Option is to be exercised (the “</w:t>
      </w:r>
      <w:r>
        <w:rPr>
          <w:rFonts w:ascii="Times New Roman" w:hAnsi="Times New Roman"/>
          <w:b/>
          <w:i/>
          <w:color w:val="000000"/>
          <w:sz w:val="22"/>
        </w:rPr>
        <w:t>Exercise Notice</w:t>
      </w:r>
      <w:r>
        <w:rPr>
          <w:color w:val="000000"/>
        </w:rPr>
        <w:t>”</w:t>
      </w:r>
      <w:r>
        <w:rPr>
          <w:rFonts w:ascii="Times New Roman" w:hAnsi="Times New Roman"/>
          <w:color w:val="000000"/>
          <w:sz w:val="22"/>
        </w:rPr>
        <w:t>) and the Exercise Date with respect to any Stock Option shall be the date that the Participant has delivered both the Exercise Notice and consideration to the Company with a value equal to the total Option Price of the shares to be purchased (plus any employment tax withholding or other tax payment due with respect to such Award), payable as provided in the Award Agreement, which may provide for payment in any one or more of the following ways: (i) cash or check, bank draft, or money order payable to the order of the Company, (ii) Common Stock (including Restricted Stock) owned by the Participant on the Exercise Date, valued at its Fair Market Value on the Exercise Date, (iii) by delivery (including by FAX or electronic transmission) to the Company or its designated agent of an executed irrevocable option exercise form (or, to the extent permitted by the Company, exercise instructions, which may be communicated in writing, telephonically, or electronically) together with irrevocable instructions from the Participant to a broker or dealer, reasonably acceptable to the Company, to sell certain of the shares of Common Stock purchased upon exercise of the Stock Option and promptly deliver to the Company the amount of sale proceeds necessary to pay such purchase price, (iv) by requesting the Company to withhold the number of shares otherwise deliverable upon exercise of the Stock Option by the number of shares of Common Stock having an aggregate Fair Market Value equal to the aggregate Option Price at the time of exercise (</w:t>
      </w:r>
      <w:r>
        <w:rPr>
          <w:rFonts w:ascii="Times New Roman" w:hAnsi="Times New Roman"/>
          <w:i/>
          <w:color w:val="000000"/>
          <w:sz w:val="22"/>
        </w:rPr>
        <w:t xml:space="preserve">i.e., </w:t>
      </w:r>
      <w:r>
        <w:rPr>
          <w:rFonts w:ascii="Times New Roman" w:hAnsi="Times New Roman"/>
          <w:color w:val="000000"/>
          <w:sz w:val="22"/>
        </w:rPr>
        <w:t>a cashless net exercise), and/or (v) in any other form of valid consideration that is acceptable to the Committee in its sole discretion. In the event that shares of Restricted Stock are tendered as consideration for the exercise of a Stock Option, a number of shares of Common Stock issued upon the exercise of the Stock Option equal to the number of shares of Restricted Stock used as consideration therefor shall be subject to the same restrictions and provisions as the Restricted Stock so tendered.</w:t>
      </w:r>
      <w:r>
        <w:rPr>
          <w:color w:val="000000"/>
        </w:rPr>
        <w:t xml:space="preserve"> </w:t>
      </w:r>
      <w:r>
        <w:rPr>
          <w:rFonts w:ascii="Times New Roman" w:hAnsi="Times New Roman"/>
          <w:color w:val="000000"/>
          <w:sz w:val="22"/>
        </w:rPr>
        <w:t xml:space="preserve">If the Participant fails to deliver the consideration described in this </w:t>
      </w:r>
      <w:r>
        <w:rPr>
          <w:rFonts w:ascii="Times New Roman" w:hAnsi="Times New Roman"/>
          <w:color w:val="000000"/>
          <w:sz w:val="22"/>
          <w:u w:val="single"/>
        </w:rPr>
        <w:t>Section 8.3(b)</w:t>
      </w:r>
      <w:r>
        <w:rPr>
          <w:color w:val="000000"/>
        </w:rPr>
        <w:t xml:space="preserve"> </w:t>
      </w:r>
      <w:r>
        <w:rPr>
          <w:rFonts w:ascii="Times New Roman" w:hAnsi="Times New Roman"/>
          <w:color w:val="000000"/>
          <w:sz w:val="22"/>
        </w:rPr>
        <w:t xml:space="preserve">within three business days of the date of the Exercise Notice, then the Exercise Notice shall be null and void and the Company will have no obligation to deliver any shares of Common Stock to the Participant in connection with such Exercise Notice.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2"/>
        </w:rPr>
        <w:t>Issuance of Certificate.</w:t>
      </w:r>
      <w:r>
        <w:rPr>
          <w:color w:val="000000"/>
        </w:rPr>
        <w:t xml:space="preserve"> </w:t>
      </w:r>
      <w:r>
        <w:rPr>
          <w:rFonts w:ascii="Times New Roman" w:hAnsi="Times New Roman"/>
          <w:color w:val="000000"/>
          <w:sz w:val="22"/>
        </w:rPr>
        <w:t xml:space="preserve">Except as otherwise provided in </w:t>
      </w:r>
      <w:r>
        <w:rPr>
          <w:rFonts w:ascii="Times New Roman" w:hAnsi="Times New Roman"/>
          <w:color w:val="000000"/>
          <w:sz w:val="22"/>
          <w:u w:val="single"/>
        </w:rPr>
        <w:t>Section 6.4</w:t>
      </w:r>
      <w:r>
        <w:rPr>
          <w:color w:val="000000"/>
        </w:rPr>
        <w:t xml:space="preserve"> </w:t>
      </w:r>
      <w:r>
        <w:rPr>
          <w:rFonts w:ascii="Times New Roman" w:hAnsi="Times New Roman"/>
          <w:color w:val="000000"/>
          <w:sz w:val="22"/>
        </w:rPr>
        <w:t xml:space="preserve">hereof (with respect to shares of Restricted Stock) or in the applicable Award Agreement, upon payment of all amounts due from the Participant, the Company shall cause the Common Stock then being purchased to be registered in the Participant’s name (or the person exercising the Participant’s Stock Option in the event of the Participant’s death), but shall not issue certificates for the Common Stock unless the Participant or such other person requests delivery of the certificates for the Common Stock, in writing in accordance with the procedures established by the Committee. The Company shall deliver certificates to the Participant (or the person exercising the Participant’s Stock Option in the event of the Participant’s death) as soon as administratively practicable following the Company’s receipt of a written request from the Participant or such other person for delivery of the certificates. Notwithstanding the forgoing, if the Participant has exercised an Incentive Stock Option, the Company may at its option place a transfer restriction on any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Times New Roman" w:hAnsi="Times New Roman"/>
          <w:color w:val="000000"/>
          <w:sz w:val="22"/>
        </w:rPr>
      </w:pPr>
      <w:r>
        <w:rPr>
          <w:rFonts w:ascii="Times New Roman" w:hAnsi="Times New Roman"/>
          <w:color w:val="000000"/>
          <w:sz w:val="22"/>
        </w:rPr>
        <w:t>A-19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electronically registered shares (or if a physical certificate is issued to the Participant, retain physical possession of the certificate evidencing the shares acquired upon exercise) until the expiration of the holding periods described in Section 422(a)(1) of the Code. Any obligation of the Company to deliver shares of Common Stock shall, however, be subject to the condition that, if at any time the Committee shall determine in its discretion that the listing, registration, or qualification of the Stock Option or the Common Stock upon any securities exchange or inter-dealer quotation system or under any state or federal law, or the consent or approval of any governmental regulatory body, is necessary as a condition of, or in connection with, the Stock Option or the issuance or purchase of shares of Common Stock thereunder, the Stock Option may not be exercised in whole or in part unless such listing, registration, qualification, consent, or approval shall have been effected or obtained free of any conditions not reasonably acceptable to the Committee.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b/>
          <w:color w:val="000000"/>
          <w:sz w:val="22"/>
        </w:rPr>
        <w:t>Failure to Pay.</w:t>
      </w:r>
      <w:r>
        <w:rPr>
          <w:color w:val="000000"/>
        </w:rPr>
        <w:t xml:space="preserve"> </w:t>
      </w:r>
      <w:r>
        <w:rPr>
          <w:rFonts w:ascii="Times New Roman" w:hAnsi="Times New Roman"/>
          <w:color w:val="000000"/>
          <w:sz w:val="22"/>
        </w:rPr>
        <w:t>Except as may otherwise be provided in an Award Agreement, if the Participant fails to pay for any of the Common Stock specified in such notice or fails to accept delivery thereof, that portion of the Participant’s Stock Option and right to purchase such Common Stock may be forfeited by the Participant, in the Committee’s sole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8.4</w:t>
      </w:r>
    </w:p>
    <w:p>
      <w:pPr>
        <w:pStyle w:val="TextBody"/>
        <w:bidi w:val="0"/>
        <w:spacing w:before="0" w:after="240"/>
        <w:jc w:val="both"/>
        <w:rPr/>
      </w:pPr>
      <w:r>
        <w:rPr>
          <w:rFonts w:ascii="Times New Roman" w:hAnsi="Times New Roman"/>
          <w:b/>
          <w:color w:val="000000"/>
          <w:sz w:val="22"/>
        </w:rPr>
        <w:t>SARs.</w:t>
      </w:r>
      <w:r>
        <w:rPr>
          <w:color w:val="000000"/>
        </w:rPr>
        <w:t xml:space="preserve"> </w:t>
      </w:r>
      <w:r>
        <w:rPr>
          <w:rFonts w:ascii="Times New Roman" w:hAnsi="Times New Roman"/>
          <w:color w:val="000000"/>
          <w:sz w:val="22"/>
        </w:rPr>
        <w:t xml:space="preserve">Subject to the conditions of this </w:t>
      </w:r>
      <w:r>
        <w:rPr>
          <w:rFonts w:ascii="Times New Roman" w:hAnsi="Times New Roman"/>
          <w:color w:val="000000"/>
          <w:sz w:val="22"/>
          <w:u w:val="single"/>
        </w:rPr>
        <w:t>Section 8.4</w:t>
      </w:r>
      <w:r>
        <w:rPr>
          <w:color w:val="000000"/>
        </w:rPr>
        <w:t xml:space="preserve"> </w:t>
      </w:r>
      <w:r>
        <w:rPr>
          <w:rFonts w:ascii="Times New Roman" w:hAnsi="Times New Roman"/>
          <w:color w:val="000000"/>
          <w:sz w:val="22"/>
        </w:rPr>
        <w:t>and such administrative regulations as the Committee may from time to time adopt, a SAR may be exercised by the delivery (including by FAX) of an Exercise Notice to the Committee setting forth the number of shares of Common Stock with respect to which the SAR is to be exercised and the Exercise Date thereof. Subject to the terms of the Award Agreement and only if permissible under Section 409A of the Code and the regulations or other guidance issued thereunder (or, if not so permissible, at such time as permitted by Section 409A of the Code and the regulations or other guidance issued thereunder), the Participant shall receive from the Company in exchange therefor in the discretion of the Committee, and subject to the terms of the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cash in an amount equal to the excess (if any) of the Fair Market Value (as of the Exercise Date, or if provided in the Award Agreement, conversion, of the SAR) per share of Common Stock over the SAR Price per share specified in such SAR, multiplied by the total number of shares of Common Stock of the SAR being surrendered;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that number of shares of Common Stock having an aggregate Fair Market Value (as of the Exercise Date, or if provided in the Award Agreement, conversion, of the SAR) equal to the amount of cash otherwise payable to the Participant, with a cash settlement to be made for any fractional share interests;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may settle such obligation in part with shares of Common Stock and in part with cash.</w:t>
      </w:r>
    </w:p>
    <w:p>
      <w:pPr>
        <w:pStyle w:val="TextBody"/>
        <w:bidi w:val="0"/>
        <w:jc w:val="left"/>
        <w:rPr>
          <w:rFonts w:ascii="Times New Roman" w:hAnsi="Times New Roman"/>
          <w:color w:val="000000"/>
          <w:sz w:val="22"/>
        </w:rPr>
      </w:pPr>
      <w:r>
        <w:rPr>
          <w:rFonts w:ascii="Times New Roman" w:hAnsi="Times New Roman"/>
          <w:color w:val="000000"/>
          <w:sz w:val="22"/>
        </w:rPr>
        <w:t>The distribution of any cash or Common Stock pursuant to the foregoing sentence shall be made at such time as set forth in the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8.5</w:t>
      </w:r>
    </w:p>
    <w:p>
      <w:pPr>
        <w:pStyle w:val="TextBody"/>
        <w:bidi w:val="0"/>
        <w:spacing w:before="0" w:after="240"/>
        <w:jc w:val="both"/>
        <w:rPr/>
      </w:pPr>
      <w:r>
        <w:rPr>
          <w:rFonts w:ascii="Times New Roman" w:hAnsi="Times New Roman"/>
          <w:b/>
          <w:color w:val="000000"/>
          <w:sz w:val="22"/>
        </w:rPr>
        <w:t>Disqualifying Disposition of Incentive Stock Option.</w:t>
      </w:r>
      <w:r>
        <w:rPr>
          <w:color w:val="000000"/>
        </w:rPr>
        <w:t xml:space="preserve"> </w:t>
      </w:r>
      <w:r>
        <w:rPr>
          <w:rFonts w:ascii="Times New Roman" w:hAnsi="Times New Roman"/>
          <w:color w:val="000000"/>
          <w:sz w:val="22"/>
        </w:rPr>
        <w:t>If shares of Common Stock acquired upon exercise of an Incentive Stock Option are disposed of by a Participant prior to the expiration of either two years from the Date of Grant of such Stock Option or one year from the transfer of shares of Common Stock to the Participant pursuant to the exercise of such Stock Option, or in any other disqualifying disposition within the meaning of Section 422 of the Code, such Participant shall notify the Company in writing of the date and terms of such disposition. A disqualifying disposition by a Participant shall not affect the status of any other Stock Option granted under the Plan as an Incentive Stock Option within the meaning of Section 422 of the Code.</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9.</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AMENDMENT OR DISCONTINUANCE</w:t>
      </w:r>
    </w:p>
    <w:p>
      <w:pPr>
        <w:pStyle w:val="TextBody"/>
        <w:bidi w:val="0"/>
        <w:spacing w:before="0" w:after="480"/>
        <w:jc w:val="both"/>
        <w:rPr>
          <w:rFonts w:ascii="Times New Roman" w:hAnsi="Times New Roman"/>
          <w:sz w:val="20"/>
        </w:rPr>
      </w:pPr>
      <w:r>
        <w:rPr>
          <w:rFonts w:ascii="Times New Roman" w:hAnsi="Times New Roman"/>
          <w:color w:val="000000"/>
          <w:sz w:val="22"/>
        </w:rPr>
        <w:t xml:space="preserve">Subject to the limitations set forth in this </w:t>
      </w:r>
      <w:r>
        <w:rPr>
          <w:rFonts w:ascii="Times New Roman" w:hAnsi="Times New Roman"/>
          <w:color w:val="000000"/>
          <w:sz w:val="22"/>
          <w:u w:val="single"/>
        </w:rPr>
        <w:t>Article 9</w:t>
      </w:r>
      <w:r>
        <w:rPr>
          <w:rFonts w:ascii="Times New Roman" w:hAnsi="Times New Roman"/>
          <w:color w:val="000000"/>
          <w:sz w:val="22"/>
        </w:rPr>
        <w:t>, the Board may at any time and from time to time, without the consent of the Participants, alter, amend, revise, suspend, or discontinue the Plan in whole or in part; provided, however, that no amendment for which stockholder approval is required either (a) by any securities exchange or inter-dealer quotation system on which the Common Stock is listed or traded or (b) in order for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A-20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both"/>
        <w:rPr>
          <w:rFonts w:ascii="Times New Roman" w:hAnsi="Times New Roman"/>
          <w:sz w:val="20"/>
        </w:rPr>
      </w:pPr>
      <w:r>
        <w:rPr>
          <w:rFonts w:ascii="Times New Roman" w:hAnsi="Times New Roman"/>
          <w:color w:val="000000"/>
          <w:sz w:val="22"/>
        </w:rPr>
        <w:t>Plan and Incentives awarded under the Plan to continue to comply with Sections 421 and 422 of the Code, including any successors to such Sections, or other Applicable Law, shall be effective unless such amendment shall be approved by the requisite vote of the stockholder</w:t>
      </w:r>
      <w:r>
        <w:rPr>
          <w:rFonts w:ascii="Times New Roman" w:hAnsi="Times New Roman"/>
          <w:b/>
          <w:color w:val="000000"/>
          <w:sz w:val="22"/>
        </w:rPr>
        <w:t xml:space="preserve">s </w:t>
      </w:r>
      <w:r>
        <w:rPr>
          <w:rFonts w:ascii="Times New Roman" w:hAnsi="Times New Roman"/>
          <w:color w:val="000000"/>
          <w:sz w:val="22"/>
        </w:rPr>
        <w:t xml:space="preserve">of the Company entitled to vote thereon. Any such amendment shall, to the extent deemed necessary or advisable by the Committee, be applicable to any outstanding Incentives theretofore granted under the Plan, notwithstanding any contrary provisions contained in any Award Agreement. In the event of any such amendment to the Plan, the holder of any Incentive outstanding under the Plan shall, upon request of the Committee and as a condition to the exercisability thereof, execute a conforming amendment in the form prescribed by the Committee to any Award Agreement relating thereto. Notwithstanding anything contained in this Plan to the contrary, unless required by law, no action contemplated or permitted by this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shall adversely affect any rights of Participants or obligations of the Company to Participants with respect to any Incentive theretofore granted under the Plan without the consent of the affected Participant. For purposes of clarity, any amendment to an existing Award resulting in a less favorable tax consequence to a Participant under the Award shall not be considered to adversely affect the rights of the Participant.</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10.</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TERM</w:t>
      </w:r>
    </w:p>
    <w:p>
      <w:pPr>
        <w:pStyle w:val="TextBody"/>
        <w:bidi w:val="0"/>
        <w:spacing w:before="0" w:after="480"/>
        <w:jc w:val="left"/>
        <w:rPr>
          <w:rFonts w:ascii="Times New Roman" w:hAnsi="Times New Roman"/>
          <w:sz w:val="20"/>
        </w:rPr>
      </w:pPr>
      <w:r>
        <w:rPr>
          <w:rFonts w:ascii="Times New Roman" w:hAnsi="Times New Roman"/>
          <w:color w:val="000000"/>
          <w:sz w:val="22"/>
        </w:rPr>
        <w:t>The Plan shall be effective as of the Effective Date and unless sooner terminated by action of the Board, the Plan will terminate on the 10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anniversary of the Effective Date, but Incentives granted before that date will continue to be effective in accordance with their terms and conditions.</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11.</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CAPITAL ADJUSTMENTS</w:t>
      </w:r>
    </w:p>
    <w:p>
      <w:pPr>
        <w:pStyle w:val="TextBody"/>
        <w:bidi w:val="0"/>
        <w:jc w:val="both"/>
        <w:rPr>
          <w:rFonts w:ascii="Times New Roman" w:hAnsi="Times New Roman"/>
          <w:sz w:val="20"/>
        </w:rPr>
      </w:pPr>
      <w:r>
        <w:rPr>
          <w:rFonts w:ascii="Times New Roman" w:hAnsi="Times New Roman"/>
          <w:color w:val="000000"/>
          <w:sz w:val="22"/>
        </w:rPr>
        <w:t xml:space="preserve">In the event that any dividend or other distribution (whether in the form of cash, Common Stock, other securities, or other property), recapitalization, stock split, reverse stock split, rights offering, reorganization, merger, consolidation, split-up, spin-off, split-off, combination, subdivision, repurchase, or exchange of Common Stock or other securities of the Company, issuance of warrants or other rights to purchase Common Stock or other securities of the Company, or other similar corporate transaction or event affects the fair value of an Award, then the Committee shall adjust any or all of the following so that the fair value of the Award immediately after the transaction or event is equal to the fair value of the Award immediately prior to the transaction or event (a) the number of shares and type of Common Stock (or the securities or property) which thereafter may be made the subject of Awards, (b) the number of shares and type of Common Stock (or other securities or property) subject to outstanding Awards, (c) the Option Price of each outstanding Award, (d) the amount, if any, the Company pays for forfeited shares of Common Stock in accordance with </w:t>
      </w:r>
      <w:r>
        <w:rPr>
          <w:rFonts w:ascii="Times New Roman" w:hAnsi="Times New Roman"/>
          <w:color w:val="000000"/>
          <w:sz w:val="22"/>
          <w:u w:val="single"/>
        </w:rPr>
        <w:t>Section 6.4</w:t>
      </w:r>
      <w:r>
        <w:rPr>
          <w:rFonts w:ascii="Times New Roman" w:hAnsi="Times New Roman"/>
          <w:color w:val="000000"/>
          <w:sz w:val="22"/>
        </w:rPr>
        <w:t>, and (e) the number of or SAR Price of shares of Common Stock then subject to outstanding SARs previously granted and unexercised under the Plan, to the end that the same proportion of the Company’s issued and outstanding shares of Common Stock in each instance shall remain subject to exercise at the same aggregate SAR Price; provided, however, that the number of shares of Common Stock (or other securities or property) subject to any Award shall always be a whole number. Notwithstanding the foregoing, no such adjustment shall be made or authorized to the extent that such adjustment would cause the Plan or any Stock Option to violate Section 422 of the Code or Section 409A of the Code. Such adjustments shall be made in accordance with the rules of any securities exchange, stock market, or stock quotation system to which the Company is subject.</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The computation of any adjustment under this Article 11 shall be conclusive and shall be binding upon each affected Participant and upon the occurrence of any such adjustment, the Company shall provide notice to each affected Participant of its computation of such adjustment.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12.</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RECAPITALIZATION, MERGER AND CONSOLIDATION</w:t>
      </w:r>
    </w:p>
    <w:p>
      <w:pPr>
        <w:pStyle w:val="TextBody"/>
        <w:bidi w:val="0"/>
        <w:jc w:val="center"/>
        <w:rPr>
          <w:rFonts w:ascii="Times New Roman" w:hAnsi="Times New Roman"/>
          <w:color w:val="000000"/>
          <w:sz w:val="22"/>
        </w:rPr>
      </w:pPr>
      <w:r>
        <w:rPr>
          <w:rFonts w:ascii="Times New Roman" w:hAnsi="Times New Roman"/>
          <w:color w:val="000000"/>
          <w:sz w:val="22"/>
        </w:rPr>
        <w:t>A-21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12.1</w:t>
      </w:r>
    </w:p>
    <w:p>
      <w:pPr>
        <w:pStyle w:val="TextBody"/>
        <w:bidi w:val="0"/>
        <w:spacing w:before="0" w:after="240"/>
        <w:jc w:val="both"/>
        <w:rPr/>
      </w:pPr>
      <w:r>
        <w:rPr>
          <w:rFonts w:ascii="Times New Roman" w:hAnsi="Times New Roman"/>
          <w:b/>
          <w:color w:val="000000"/>
          <w:sz w:val="22"/>
        </w:rPr>
        <w:t>No Effect on Company’s Authority.</w:t>
      </w:r>
      <w:r>
        <w:rPr>
          <w:color w:val="000000"/>
        </w:rPr>
        <w:t xml:space="preserve"> </w:t>
      </w:r>
      <w:r>
        <w:rPr>
          <w:rFonts w:ascii="Times New Roman" w:hAnsi="Times New Roman"/>
          <w:color w:val="000000"/>
          <w:sz w:val="22"/>
        </w:rPr>
        <w:t>The existence of this Plan and Incentives granted hereunder shall not affect in any way the right or power of the Company or its stockholder</w:t>
      </w:r>
      <w:r>
        <w:rPr>
          <w:rFonts w:ascii="Times New Roman" w:hAnsi="Times New Roman"/>
          <w:b/>
          <w:color w:val="000000"/>
          <w:sz w:val="22"/>
        </w:rPr>
        <w:t>s</w:t>
      </w:r>
      <w:r>
        <w:rPr>
          <w:color w:val="000000"/>
        </w:rPr>
        <w:t xml:space="preserve"> </w:t>
      </w:r>
      <w:r>
        <w:rPr>
          <w:rFonts w:ascii="Times New Roman" w:hAnsi="Times New Roman"/>
          <w:color w:val="000000"/>
          <w:sz w:val="22"/>
        </w:rPr>
        <w:t>to make or authorize any or all adjustments, recapitalizations, reorganizations, or other changes in the Company’s capital structure and its business, or any Change in Control, or any merger or consolidation of the Company, or any issuance of bonds, debentures, preferred or preference stocks ranking prior to or otherwise affecting the Common Stock or the rights thereof (or any rights, options, or warrants to purchase same), or the dissolution or liquidation of the Company, or any sale or transfer of all or any part of its assets or business, or any other corporate act or proceeding, whether of a similar character or otherwise.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12.2</w:t>
      </w:r>
    </w:p>
    <w:p>
      <w:pPr>
        <w:pStyle w:val="TextBody"/>
        <w:bidi w:val="0"/>
        <w:spacing w:before="0" w:after="240"/>
        <w:jc w:val="both"/>
        <w:rPr/>
      </w:pPr>
      <w:r>
        <w:rPr>
          <w:rFonts w:ascii="Times New Roman" w:hAnsi="Times New Roman"/>
          <w:b/>
          <w:color w:val="000000"/>
          <w:sz w:val="22"/>
        </w:rPr>
        <w:t>Conversion of Incentives Where Company Survives.</w:t>
      </w:r>
      <w:r>
        <w:rPr>
          <w:color w:val="000000"/>
        </w:rPr>
        <w:t xml:space="preserve"> </w:t>
      </w:r>
      <w:r>
        <w:rPr>
          <w:rFonts w:ascii="Times New Roman" w:hAnsi="Times New Roman"/>
          <w:color w:val="000000"/>
          <w:sz w:val="22"/>
        </w:rPr>
        <w:t>Subject to any required action by the stockholder</w:t>
      </w:r>
      <w:r>
        <w:rPr>
          <w:rFonts w:ascii="Times New Roman" w:hAnsi="Times New Roman"/>
          <w:b/>
          <w:color w:val="000000"/>
          <w:sz w:val="22"/>
        </w:rPr>
        <w:t>s</w:t>
      </w:r>
      <w:r>
        <w:rPr>
          <w:color w:val="000000"/>
        </w:rPr>
        <w:t xml:space="preserve"> </w:t>
      </w:r>
      <w:r>
        <w:rPr>
          <w:rFonts w:ascii="Times New Roman" w:hAnsi="Times New Roman"/>
          <w:color w:val="000000"/>
          <w:sz w:val="22"/>
        </w:rPr>
        <w:t xml:space="preserve">and except as otherwise provided by </w:t>
      </w:r>
      <w:r>
        <w:rPr>
          <w:rFonts w:ascii="Times New Roman" w:hAnsi="Times New Roman"/>
          <w:color w:val="000000"/>
          <w:sz w:val="22"/>
          <w:u w:val="single"/>
        </w:rPr>
        <w:t>Section 12.4</w:t>
      </w:r>
      <w:r>
        <w:rPr>
          <w:color w:val="000000"/>
        </w:rPr>
        <w:t xml:space="preserve"> </w:t>
      </w:r>
      <w:r>
        <w:rPr>
          <w:rFonts w:ascii="Times New Roman" w:hAnsi="Times New Roman"/>
          <w:color w:val="000000"/>
          <w:sz w:val="22"/>
        </w:rPr>
        <w:t>hereof or as may be required to comply with Section 409A of the Code and the regulations or other guidance issued thereunder, if the Company shall be the surviving or resulting corporation in any merger, consolidation or share exchange, any Incentive granted hereunder shall pertain to and apply to the securities or rights (including cash, property, or assets) to which a holder of the number of shares of Common Stock subject to the Incentive would have been entitled.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12.3</w:t>
      </w:r>
    </w:p>
    <w:p>
      <w:pPr>
        <w:pStyle w:val="TextBody"/>
        <w:bidi w:val="0"/>
        <w:spacing w:before="0" w:after="240"/>
        <w:jc w:val="both"/>
        <w:rPr/>
      </w:pPr>
      <w:r>
        <w:rPr>
          <w:rFonts w:ascii="Times New Roman" w:hAnsi="Times New Roman"/>
          <w:b/>
          <w:color w:val="000000"/>
          <w:sz w:val="22"/>
        </w:rPr>
        <w:t xml:space="preserve">Exchange or Cancellation of Incentives Where Company Does Not Survive. </w:t>
      </w:r>
      <w:r>
        <w:rPr>
          <w:rFonts w:ascii="Times New Roman" w:hAnsi="Times New Roman"/>
          <w:color w:val="000000"/>
          <w:sz w:val="22"/>
        </w:rPr>
        <w:t xml:space="preserve">Except as otherwise provided by </w:t>
      </w:r>
      <w:r>
        <w:rPr>
          <w:rFonts w:ascii="Times New Roman" w:hAnsi="Times New Roman"/>
          <w:color w:val="000000"/>
          <w:sz w:val="22"/>
          <w:u w:val="single"/>
        </w:rPr>
        <w:t>Section 12.4</w:t>
      </w:r>
      <w:r>
        <w:rPr>
          <w:color w:val="000000"/>
        </w:rPr>
        <w:t xml:space="preserve"> </w:t>
      </w:r>
      <w:r>
        <w:rPr>
          <w:rFonts w:ascii="Times New Roman" w:hAnsi="Times New Roman"/>
          <w:color w:val="000000"/>
          <w:sz w:val="22"/>
        </w:rPr>
        <w:t>hereof or as may be required to comply with Section 409A of the Code and the regulations or other guidance issued thereunder, in the event of any merger, consolidation or share exchange pursuant to which the Company is not the surviving or resulting corporation, there shall be substituted for each share of Common Stock subject to the unexercised portions of outstanding Incentives, that number of shares of each class of stock or other securities or that amount of cash, property, or assets of the surviving, resulting or consolidated company which were distributed or distributable to the stockholder</w:t>
      </w:r>
      <w:r>
        <w:rPr>
          <w:rFonts w:ascii="Times New Roman" w:hAnsi="Times New Roman"/>
          <w:b/>
          <w:color w:val="000000"/>
          <w:sz w:val="22"/>
        </w:rPr>
        <w:t>s</w:t>
      </w:r>
      <w:r>
        <w:rPr>
          <w:color w:val="000000"/>
        </w:rPr>
        <w:t xml:space="preserve"> </w:t>
      </w:r>
      <w:r>
        <w:rPr>
          <w:rFonts w:ascii="Times New Roman" w:hAnsi="Times New Roman"/>
          <w:color w:val="000000"/>
          <w:sz w:val="22"/>
        </w:rPr>
        <w:t>of the Company in respect to each share of Common Stock held by them, such outstanding Incentives to be thereafter exercisable for such stock, securities, cash, or property in accordance with their terms.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12.4</w:t>
      </w:r>
    </w:p>
    <w:p>
      <w:pPr>
        <w:pStyle w:val="TextBody"/>
        <w:bidi w:val="0"/>
        <w:spacing w:before="0" w:after="240"/>
        <w:jc w:val="both"/>
        <w:rPr/>
      </w:pPr>
      <w:r>
        <w:rPr>
          <w:rFonts w:ascii="Times New Roman" w:hAnsi="Times New Roman"/>
          <w:b/>
          <w:color w:val="000000"/>
          <w:sz w:val="22"/>
        </w:rPr>
        <w:t xml:space="preserve">Cancellation of Incentives. </w:t>
      </w:r>
      <w:r>
        <w:rPr>
          <w:rFonts w:ascii="Times New Roman" w:hAnsi="Times New Roman"/>
          <w:color w:val="000000"/>
          <w:sz w:val="22"/>
        </w:rPr>
        <w:t xml:space="preserve">Notwithstanding the provisions of </w:t>
      </w:r>
      <w:r>
        <w:rPr>
          <w:rFonts w:ascii="Times New Roman" w:hAnsi="Times New Roman"/>
          <w:color w:val="000000"/>
          <w:sz w:val="22"/>
          <w:u w:val="single"/>
        </w:rPr>
        <w:t xml:space="preserve">Sections 12.2 and 12.3 </w:t>
      </w:r>
      <w:r>
        <w:rPr>
          <w:rFonts w:ascii="Times New Roman" w:hAnsi="Times New Roman"/>
          <w:color w:val="000000"/>
          <w:sz w:val="22"/>
        </w:rPr>
        <w:t>hereof, and except as may be required to comply with Section 409A of the Code and the regulations or other guidance issued thereunder, all Incentives granted hereunder may be canceled by the Company, in its sole discretion, as of the effective date of any Change in Control, merger, consolidation or share exchange, or any issuance of bonds, debentures, preferred or preference stocks ranking prior to or otherwise affecting the Common Stock or the rights thereof (or any rights, options, or warrants to purchase same), or of any proposed sale of all or substantially all of the assets of the Company, or of any dissolution or liquidation of the Company, by either: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giving notice to each holder thereof or such holder’s personal representative of its intention to cancel those Incentives for which the issuance of shares of Common Stock involved payment by the Participant for such shares, and permitting the purchase during the 30 day period next preceding such effective date of any or all of the shares of Common Stock subject to such outstanding Incentives, including in the Board’s discretion some or all of the shares as to which such Incentives would not otherwise be vested and exercisable;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in the case of Incentives that are either (i) settled only in shares of Common Stock, or (ii) at the election of the Participant, settled in shares of Common Stock, paying the holder thereof an amount equal to a reasonable estimate of the difference between the net amount per share payable in such transaction or as a result of such transaction, and the price per share of such Incentive to be paid by the Participant (hereinafter the “</w:t>
      </w:r>
      <w:r>
        <w:rPr>
          <w:rFonts w:ascii="Times New Roman" w:hAnsi="Times New Roman"/>
          <w:b/>
          <w:i/>
          <w:color w:val="000000"/>
          <w:sz w:val="22"/>
        </w:rPr>
        <w:t>Spread</w:t>
      </w:r>
      <w:r>
        <w:rPr>
          <w:color w:val="000000"/>
        </w:rPr>
        <w:t>”</w:t>
      </w:r>
      <w:r>
        <w:rPr>
          <w:rFonts w:ascii="Times New Roman" w:hAnsi="Times New Roman"/>
          <w:color w:val="000000"/>
          <w:sz w:val="22"/>
        </w:rPr>
        <w:t xml:space="preserve">), multiplied by the number of shares subject to the Incentive. In cases where the shares constitute, or would after exercise, constitute Restricted Stock, the Company, in its discretion, may include some or all of those shares in the calculation of the amount payable hereunder. In estimating the Spread, appropriate adjustments to give effect to the existence of the Incentives shall be made, such as deeming the Incentives to have been exercised, with the Company receiving the exercise price payable thereunder, and treating the shares receivable upon exercise of the Incentives as being outstanding in determining the net amount per share. In cases where the proposed transaction consists of the acquisition of assets of the Company, the net amount per share shall be calculated on the basis of the net amount receivable with respect to shares of Common Stock upon a distribution and liquidation by the </w:t>
      </w:r>
    </w:p>
    <w:p>
      <w:pPr>
        <w:pStyle w:val="TextBody"/>
        <w:bidi w:val="0"/>
        <w:jc w:val="center"/>
        <w:rPr>
          <w:rFonts w:ascii="Times New Roman" w:hAnsi="Times New Roman"/>
          <w:color w:val="000000"/>
          <w:sz w:val="22"/>
        </w:rPr>
      </w:pPr>
      <w:r>
        <w:rPr>
          <w:rFonts w:ascii="Times New Roman" w:hAnsi="Times New Roman"/>
          <w:color w:val="000000"/>
          <w:sz w:val="22"/>
        </w:rPr>
        <w:t>A-22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Company after giving effect to expenses and charges, including but not limited to taxes, payable by the Company before such liquidation could be completed.</w:t>
      </w:r>
    </w:p>
    <w:p>
      <w:pPr>
        <w:pStyle w:val="TextBody"/>
        <w:bidi w:val="0"/>
        <w:spacing w:before="0" w:after="480"/>
        <w:jc w:val="both"/>
        <w:rPr>
          <w:rFonts w:ascii="Times New Roman" w:hAnsi="Times New Roman"/>
          <w:sz w:val="20"/>
        </w:rPr>
      </w:pPr>
      <w:r>
        <w:rPr>
          <w:rFonts w:ascii="Times New Roman" w:hAnsi="Times New Roman"/>
          <w:color w:val="000000"/>
          <w:sz w:val="22"/>
        </w:rPr>
        <w:t xml:space="preserve">An Award that by its terms would be fully vested or exercisable upon a Change in Control will be considered vested or exercisable for purposes of </w:t>
      </w:r>
      <w:r>
        <w:rPr>
          <w:rFonts w:ascii="Times New Roman" w:hAnsi="Times New Roman"/>
          <w:color w:val="000000"/>
          <w:sz w:val="22"/>
          <w:u w:val="single"/>
        </w:rPr>
        <w:t>Section 12.4(a)</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13.</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LIQUIDATION OR DISSOLUTION</w:t>
      </w:r>
    </w:p>
    <w:p>
      <w:pPr>
        <w:pStyle w:val="TextBody"/>
        <w:bidi w:val="0"/>
        <w:spacing w:before="0" w:after="480"/>
        <w:jc w:val="both"/>
        <w:rPr>
          <w:rFonts w:ascii="Times New Roman" w:hAnsi="Times New Roman"/>
          <w:sz w:val="20"/>
        </w:rPr>
      </w:pPr>
      <w:r>
        <w:rPr>
          <w:rFonts w:ascii="Times New Roman" w:hAnsi="Times New Roman"/>
          <w:color w:val="000000"/>
          <w:sz w:val="22"/>
        </w:rPr>
        <w:t xml:space="preserve">Subject to </w:t>
      </w:r>
      <w:r>
        <w:rPr>
          <w:rFonts w:ascii="Times New Roman" w:hAnsi="Times New Roman"/>
          <w:color w:val="000000"/>
          <w:sz w:val="22"/>
          <w:u w:val="single"/>
        </w:rPr>
        <w:t>Section 12.4</w:t>
      </w:r>
      <w:r>
        <w:rPr>
          <w:rFonts w:ascii="Times New Roman" w:hAnsi="Times New Roman"/>
          <w:color w:val="000000"/>
          <w:sz w:val="20"/>
        </w:rPr>
        <w:t xml:space="preserve"> </w:t>
      </w:r>
      <w:r>
        <w:rPr>
          <w:rFonts w:ascii="Times New Roman" w:hAnsi="Times New Roman"/>
          <w:color w:val="000000"/>
          <w:sz w:val="22"/>
        </w:rPr>
        <w:t xml:space="preserve">hereof, in case the Company shall, at any time while any Incentive under this Plan shall be in force and remain unexpired, (a) sell all or substantially all of its property, or (b) dissolve, liquidate, or wind up its affairs, then each Participant shall be entitled to receive, in lieu of each share of Common Stock of the Company which such Participant would have been entitled to receive under the Incentive, the same kind and amount of any securities or assets as may be issuable, distributable, or payable upon any such sale, dissolution, liquidation, or winding up with respect to each share of Common Stock of the Company. If the Company shall, at any time prior to the expiration of any Incentive, make any partial distribution of its assets, in the nature of a partial liquidation, whether payable in cash or in kind (but excluding the distribution of a cash dividend payable out of earned surplus and designated as such) and an adjustment is determined by the Committee to be appropriate to prevent the dilution of the benefits or potential benefits intended to be made available under the Plan, then the Committee shall, in such manner as it may deem equitable, make such adjustment in accordance with the provisions of </w:t>
      </w:r>
      <w:r>
        <w:rPr>
          <w:rFonts w:ascii="Times New Roman" w:hAnsi="Times New Roman"/>
          <w:color w:val="000000"/>
          <w:sz w:val="22"/>
          <w:u w:val="single"/>
        </w:rPr>
        <w:t>Article 11</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14.</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INCENTIVES IN SUBSTITUTION FOR</w:t>
        <w:br/>
        <w:t>INCENTIVES GRANTED BY OTHER ENTITIES</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Incentives may be granted under the Plan from time to time in substitution for similar instruments held by employees, independent contractors or directors of a corporation, partnership, or limited liability company who become or are about to become Employees, Contractors or Outside Directors of the Company or any Subsidiary as a result of a merger or consolidation of the employing corporation with the Company, the acquisition by the Company of equity of the employing entity, or any other similar transaction pursuant to which the Company becomes the successor employer. The terms and conditions of the substitute Incentives so granted may vary from the terms and conditions set forth in this Plan to such extent as the Committee at the time of grant may deem appropriate to conform, in whole or in part, to the provisions of the incentives in substitution for which they are granted.</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15.</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MISCELLANEOUS PROVISIONS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15.1</w:t>
      </w:r>
    </w:p>
    <w:p>
      <w:pPr>
        <w:pStyle w:val="TextBody"/>
        <w:bidi w:val="0"/>
        <w:spacing w:before="0" w:after="240"/>
        <w:jc w:val="both"/>
        <w:rPr/>
      </w:pPr>
      <w:r>
        <w:rPr>
          <w:rFonts w:ascii="Times New Roman" w:hAnsi="Times New Roman"/>
          <w:b/>
          <w:color w:val="000000"/>
          <w:sz w:val="22"/>
        </w:rPr>
        <w:t>Investment Intent.</w:t>
      </w:r>
      <w:r>
        <w:rPr>
          <w:color w:val="000000"/>
        </w:rPr>
        <w:t xml:space="preserve"> </w:t>
      </w:r>
      <w:r>
        <w:rPr>
          <w:rFonts w:ascii="Times New Roman" w:hAnsi="Times New Roman"/>
          <w:color w:val="000000"/>
          <w:sz w:val="22"/>
        </w:rPr>
        <w:t>The Company may require that there be presented to and filed with it by any Participant under the Plan, such evidence as it may deem necessary to establish that the Incentives granted or the shares of Common Stock to be purchased or transferred are being acquired for investment and not with a view to their distribution.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15.2</w:t>
      </w:r>
    </w:p>
    <w:p>
      <w:pPr>
        <w:pStyle w:val="TextBody"/>
        <w:bidi w:val="0"/>
        <w:spacing w:before="0" w:after="240"/>
        <w:jc w:val="both"/>
        <w:rPr/>
      </w:pPr>
      <w:r>
        <w:rPr>
          <w:rFonts w:ascii="Times New Roman" w:hAnsi="Times New Roman"/>
          <w:b/>
          <w:color w:val="000000"/>
          <w:sz w:val="22"/>
        </w:rPr>
        <w:t>No Right to Continued Employment.</w:t>
      </w:r>
      <w:r>
        <w:rPr>
          <w:color w:val="000000"/>
        </w:rPr>
        <w:t xml:space="preserve"> </w:t>
      </w:r>
      <w:r>
        <w:rPr>
          <w:rFonts w:ascii="Times New Roman" w:hAnsi="Times New Roman"/>
          <w:color w:val="000000"/>
          <w:sz w:val="22"/>
        </w:rPr>
        <w:t>Neither the Plan nor any Incentive granted under the Plan shall confer upon any Participant any right with respect to continuance of employment by the Company or any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15.3</w:t>
      </w:r>
    </w:p>
    <w:p>
      <w:pPr>
        <w:pStyle w:val="TextBody"/>
        <w:bidi w:val="0"/>
        <w:spacing w:before="0" w:after="240"/>
        <w:jc w:val="both"/>
        <w:rPr/>
      </w:pPr>
      <w:r>
        <w:rPr>
          <w:rFonts w:ascii="Times New Roman" w:hAnsi="Times New Roman"/>
          <w:b/>
          <w:color w:val="000000"/>
          <w:sz w:val="22"/>
        </w:rPr>
        <w:t>Indemnification of Board and Committee.</w:t>
      </w:r>
      <w:r>
        <w:rPr>
          <w:color w:val="000000"/>
        </w:rPr>
        <w:t xml:space="preserve"> </w:t>
      </w:r>
      <w:r>
        <w:rPr>
          <w:rFonts w:ascii="Times New Roman" w:hAnsi="Times New Roman"/>
          <w:color w:val="000000"/>
          <w:sz w:val="22"/>
        </w:rPr>
        <w:t xml:space="preserve">No member of the Board or the Committee, nor any officer or Employee of the Company acting on behalf of the Board or the Committee, shall be personally liable for any action, determination, or interpretation taken or made in good faith with respect to the Plan, and all members </w:t>
      </w:r>
    </w:p>
    <w:p>
      <w:pPr>
        <w:pStyle w:val="TextBody"/>
        <w:bidi w:val="0"/>
        <w:jc w:val="center"/>
        <w:rPr>
          <w:rFonts w:ascii="Times New Roman" w:hAnsi="Times New Roman"/>
          <w:color w:val="000000"/>
          <w:sz w:val="22"/>
        </w:rPr>
      </w:pPr>
      <w:r>
        <w:rPr>
          <w:rFonts w:ascii="Times New Roman" w:hAnsi="Times New Roman"/>
          <w:color w:val="000000"/>
          <w:sz w:val="22"/>
        </w:rPr>
        <w:t>A-23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of the Board and the Committee, each officer of the Company, and each Employee of the Company acting on behalf of the Board or the Committee shall, to the extent permitted by law, be fully indemnified and protected by the Company in respect of any such action, determination, or interpretation to the fullest extent provided by law. Except to the extent required by any unwaiveable requirement under Applicable Law, no member of the Board or the Committee (and no Subsidiary of the Company) shall have any duties or liabilities, including without limitation any fiduciary duties, to any Participant (or any Person claiming by and through any Participant) as a result of this Plan, any Award Agreement or any Claim arising hereunder and, to the fullest extent permitted under Applicable Law, each Participant (as consideration for receiving and accepting an Award Agreement) irrevocably waives and releases any right or opportunity such Participant might have to assert (or participate or cooperate in) any Claim against any member of the Board or the Committee and any Subsidiary of the Company arising out of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15.4</w:t>
      </w:r>
    </w:p>
    <w:p>
      <w:pPr>
        <w:pStyle w:val="TextBody"/>
        <w:bidi w:val="0"/>
        <w:spacing w:before="0" w:after="240"/>
        <w:jc w:val="both"/>
        <w:rPr/>
      </w:pPr>
      <w:r>
        <w:rPr>
          <w:rFonts w:ascii="Times New Roman" w:hAnsi="Times New Roman"/>
          <w:b/>
          <w:color w:val="000000"/>
          <w:sz w:val="22"/>
        </w:rPr>
        <w:t>Effect of the Plan.</w:t>
      </w:r>
      <w:r>
        <w:rPr>
          <w:color w:val="000000"/>
        </w:rPr>
        <w:t xml:space="preserve"> </w:t>
      </w:r>
      <w:r>
        <w:rPr>
          <w:rFonts w:ascii="Times New Roman" w:hAnsi="Times New Roman"/>
          <w:color w:val="000000"/>
          <w:sz w:val="22"/>
        </w:rPr>
        <w:t>Neither the adoption of this Plan nor any action of the Board or the Committee shall be deemed to give any person any right to be granted an Award or any other rights except as may be evidenced by an Award Agreement, or any amendment thereto, duly authorized by the Committee and executed on behalf of the Company, and then only to the extent and upon the terms and conditions expressly set forth therein.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15.5</w:t>
      </w:r>
    </w:p>
    <w:p>
      <w:pPr>
        <w:pStyle w:val="TextBody"/>
        <w:bidi w:val="0"/>
        <w:spacing w:before="0" w:after="240"/>
        <w:jc w:val="both"/>
        <w:rPr/>
      </w:pPr>
      <w:r>
        <w:rPr>
          <w:rFonts w:ascii="Times New Roman" w:hAnsi="Times New Roman"/>
          <w:b/>
          <w:color w:val="000000"/>
          <w:sz w:val="22"/>
        </w:rPr>
        <w:t>Compliance with Other Laws and Regulations.</w:t>
      </w:r>
      <w:r>
        <w:rPr>
          <w:color w:val="000000"/>
        </w:rPr>
        <w:t xml:space="preserve"> </w:t>
      </w:r>
      <w:r>
        <w:rPr>
          <w:rFonts w:ascii="Times New Roman" w:hAnsi="Times New Roman"/>
          <w:color w:val="000000"/>
          <w:sz w:val="22"/>
        </w:rPr>
        <w:t>Notwithstanding anything contained herein to the contrary, the Company shall not be required to sell or issue shares of Common Stock under any Incentive if the issuance thereof would constitute a violation by the Participant or the Company of any provisions of any law or regulation of any governmental authority or any national securities exchange or inter-dealer quotation system or other forum in which shares of Common Stock are quoted or traded (including without limitation Section 16 of the Exchange Act); and, as a condition of any sale or issuance of shares of Common Stock under an Incentive, the Committee may require such agreements or undertakings, if any, as the Committee may deem necessary or advisable to assure compliance with any such law or regulation. The Plan, the grant and exercise of Incentives hereunder, and the obligation of the Company to sell and deliver shares of Common Stock, shall be subject to all applicable federal and state laws, rules and regulations and to such approvals by any government or regulatory agency as may be required.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15.6</w:t>
      </w:r>
    </w:p>
    <w:p>
      <w:pPr>
        <w:pStyle w:val="TextBody"/>
        <w:bidi w:val="0"/>
        <w:spacing w:before="0" w:after="240"/>
        <w:jc w:val="both"/>
        <w:rPr/>
      </w:pPr>
      <w:r>
        <w:rPr>
          <w:rFonts w:ascii="Times New Roman" w:hAnsi="Times New Roman"/>
          <w:b/>
          <w:color w:val="000000"/>
          <w:sz w:val="22"/>
        </w:rPr>
        <w:t>Foreign Participation.</w:t>
      </w:r>
      <w:r>
        <w:rPr>
          <w:color w:val="000000"/>
        </w:rPr>
        <w:t xml:space="preserve"> </w:t>
      </w:r>
      <w:r>
        <w:rPr>
          <w:rFonts w:ascii="Times New Roman" w:hAnsi="Times New Roman"/>
          <w:color w:val="000000"/>
          <w:sz w:val="22"/>
        </w:rPr>
        <w:t>To assure the viability of Awards granted to Participants employed in foreign countries, the Committee may provide for such special terms as it may consider necessary or appropriate to accommodate differences in local law, tax policy or custom. Moreover, the Committee may approve such supplements to, or amendments, restatements or alternative versions of, this Plan as it determines is necessary or appropriate for such purposes. Any such amendment, restatement or alternative versions that the Committee approves for purposes of using this Plan in a foreign country will not affect the terms of this Plan for any other country.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15.7</w:t>
      </w:r>
    </w:p>
    <w:p>
      <w:pPr>
        <w:pStyle w:val="TextBody"/>
        <w:bidi w:val="0"/>
        <w:spacing w:before="0" w:after="240"/>
        <w:jc w:val="both"/>
        <w:rPr/>
      </w:pPr>
      <w:r>
        <w:rPr>
          <w:rFonts w:ascii="Times New Roman" w:hAnsi="Times New Roman"/>
          <w:b/>
          <w:color w:val="000000"/>
          <w:sz w:val="22"/>
        </w:rPr>
        <w:t>Tax Requirements.</w:t>
      </w:r>
      <w:r>
        <w:rPr>
          <w:color w:val="000000"/>
        </w:rPr>
        <w:t xml:space="preserve"> </w:t>
      </w:r>
      <w:r>
        <w:rPr>
          <w:rFonts w:ascii="Times New Roman" w:hAnsi="Times New Roman"/>
          <w:color w:val="000000"/>
          <w:sz w:val="22"/>
        </w:rPr>
        <w:t xml:space="preserve">The Company or, if applicable, any Subsidiary (for purposes of this </w:t>
      </w:r>
      <w:r>
        <w:rPr>
          <w:rFonts w:ascii="Times New Roman" w:hAnsi="Times New Roman"/>
          <w:color w:val="000000"/>
          <w:sz w:val="22"/>
          <w:u w:val="single"/>
        </w:rPr>
        <w:t>Section 15.7</w:t>
      </w:r>
      <w:r>
        <w:rPr>
          <w:rFonts w:ascii="Times New Roman" w:hAnsi="Times New Roman"/>
          <w:color w:val="000000"/>
          <w:sz w:val="22"/>
        </w:rPr>
        <w:t>, the term “</w:t>
      </w:r>
      <w:r>
        <w:rPr>
          <w:rFonts w:ascii="Times New Roman" w:hAnsi="Times New Roman"/>
          <w:b/>
          <w:i/>
          <w:color w:val="000000"/>
          <w:sz w:val="22"/>
        </w:rPr>
        <w:t>Company</w:t>
      </w:r>
      <w:r>
        <w:rPr>
          <w:color w:val="000000"/>
        </w:rPr>
        <w:t xml:space="preserve">” </w:t>
      </w:r>
      <w:r>
        <w:rPr>
          <w:rFonts w:ascii="Times New Roman" w:hAnsi="Times New Roman"/>
          <w:color w:val="000000"/>
          <w:sz w:val="22"/>
        </w:rPr>
        <w:t xml:space="preserve">shall be deemed to include any applicable Subsidiary), shall have the right to deduct from all amounts paid in cash or other form in connection with the Plan, any federal, state, local, or other taxes required by law to be withheld in connection with an Award granted under this Plan. The Company may, in its sole discretion, also require the Participant receiving shares of Common Stock issued under the Plan to pay the Company the amount of any taxes that the Company is required to withhold in connection with the Participant’s income arising with respect to the Award. Such payments shall be required to be made when requested by the Company and may be required to be made prior to the registration of shares or delivery of any certificate representing shares of Common Stock. Such payment may be made by (a) the delivery of cash to the Company in an amount that equals or exceeds (to avoid the issuance of fractional shares under (c) below) the required tax withholding obligations of the Company; (b) if the Company, in its sole discretion, so consents in writing, the actual delivery by the exercising Participant to the Company of shares of Common Stock, which shares so delivered have an aggregate Fair Market Value that equals or exceeds (to avoid the issuance of fractional shares under (c) below) the required tax withholding payment; (c) if the Company, in its sole discretion, so consents in writing, the Company’s withholding of a number of shares to be delivered upon the vesting or exercise of the Award, which shares so withheld have an aggregate Fair Market Value that equals (but does not exceed) the required tax withholding payment; or (d) any combination of (a), (b), or (c). The Company may, in its sole discretion, withhold any such taxes from any other cash remuneration otherwise paid by the Company to the Participant. The Committee may in the Award Agreement </w:t>
      </w:r>
    </w:p>
    <w:p>
      <w:pPr>
        <w:pStyle w:val="TextBody"/>
        <w:bidi w:val="0"/>
        <w:jc w:val="center"/>
        <w:rPr>
          <w:rFonts w:ascii="Times New Roman" w:hAnsi="Times New Roman"/>
          <w:color w:val="000000"/>
          <w:sz w:val="22"/>
        </w:rPr>
      </w:pPr>
      <w:r>
        <w:rPr>
          <w:rFonts w:ascii="Times New Roman" w:hAnsi="Times New Roman"/>
          <w:color w:val="000000"/>
          <w:sz w:val="22"/>
        </w:rPr>
        <w:t>A-24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impose any additional tax, social insurance, or fringe benefit requirements or provisions that the Committee deems necessary or desirable.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15.8</w:t>
      </w:r>
    </w:p>
    <w:p>
      <w:pPr>
        <w:pStyle w:val="TextBody"/>
        <w:bidi w:val="0"/>
        <w:spacing w:before="0" w:after="240"/>
        <w:jc w:val="both"/>
        <w:rPr/>
      </w:pPr>
      <w:r>
        <w:rPr>
          <w:rFonts w:ascii="Times New Roman" w:hAnsi="Times New Roman"/>
          <w:b/>
          <w:color w:val="000000"/>
          <w:sz w:val="22"/>
        </w:rPr>
        <w:t>Assignability.</w:t>
      </w:r>
      <w:r>
        <w:rPr>
          <w:color w:val="000000"/>
        </w:rPr>
        <w:t xml:space="preserve"> </w:t>
      </w:r>
      <w:r>
        <w:rPr>
          <w:rFonts w:ascii="Times New Roman" w:hAnsi="Times New Roman"/>
          <w:color w:val="000000"/>
          <w:sz w:val="22"/>
        </w:rPr>
        <w:t xml:space="preserve">Incentive Stock Options may not be transferred, assigned, pledged, hypothecated or otherwise conveyed or encumbered other than by will or the laws of descent and distribution and may be exercised during the lifetime of the Participant only by the Participant or the Participant’s legally authorized representative, and each Award Agreement in respect of an Incentive Stock Option shall so provide. The designation by a Participant of a beneficiary will not constitute a transfer of the Stock Option. The Committee may waive or modify any limitation contained in the preceding sentences of this </w:t>
      </w:r>
      <w:r>
        <w:rPr>
          <w:rFonts w:ascii="Times New Roman" w:hAnsi="Times New Roman"/>
          <w:color w:val="000000"/>
          <w:sz w:val="22"/>
          <w:u w:val="single"/>
        </w:rPr>
        <w:t>Section 15.8</w:t>
      </w:r>
      <w:r>
        <w:rPr>
          <w:color w:val="000000"/>
        </w:rPr>
        <w:t xml:space="preserve"> </w:t>
      </w:r>
      <w:r>
        <w:rPr>
          <w:rFonts w:ascii="Times New Roman" w:hAnsi="Times New Roman"/>
          <w:color w:val="000000"/>
          <w:sz w:val="22"/>
        </w:rPr>
        <w:t>that is not required for compliance with Section 422 of the Code.</w:t>
      </w:r>
    </w:p>
    <w:p>
      <w:pPr>
        <w:pStyle w:val="TextBody"/>
        <w:bidi w:val="0"/>
        <w:jc w:val="both"/>
        <w:rPr>
          <w:rFonts w:ascii="Times New Roman" w:hAnsi="Times New Roman"/>
          <w:sz w:val="20"/>
        </w:rPr>
      </w:pPr>
      <w:r>
        <w:rPr>
          <w:rFonts w:ascii="Times New Roman" w:hAnsi="Times New Roman"/>
          <w:color w:val="000000"/>
          <w:sz w:val="22"/>
        </w:rPr>
        <w:t>Except as otherwise provided herein, Awards may not be transferred, assigned, pledged, hypothecated or otherwise conveyed or encumbered other than by will or the laws of descent and distribution. Notwithstanding the foregoing, the Committee may, in its discretion, authorize all or a portion of an Award to be granted to a Participant on terms which permit transfer by such Participant to (a) the spouse (or former spouse), children or grandchildren of the Participant (“</w:t>
      </w:r>
      <w:r>
        <w:rPr>
          <w:rFonts w:ascii="Times New Roman" w:hAnsi="Times New Roman"/>
          <w:b/>
          <w:i/>
          <w:color w:val="000000"/>
          <w:sz w:val="22"/>
        </w:rPr>
        <w:t>Immediate Family Members</w:t>
      </w:r>
      <w:r>
        <w:rPr>
          <w:rFonts w:ascii="Times New Roman" w:hAnsi="Times New Roman"/>
          <w:color w:val="000000"/>
          <w:sz w:val="20"/>
        </w:rPr>
        <w:t>”</w:t>
      </w:r>
      <w:r>
        <w:rPr>
          <w:rFonts w:ascii="Times New Roman" w:hAnsi="Times New Roman"/>
          <w:color w:val="000000"/>
          <w:sz w:val="22"/>
        </w:rPr>
        <w:t xml:space="preserve">), (b) a trust or trusts for the exclusive benefit of such Immediate Family Members, (c) a partnership in which the only partners are (1) such Immediate Family Members and/or (2) entities which are controlled by the Participant and/or Immediate Family Members, (d) an entity exempt from federal income tax pursuant to Section 501(c)(3) of the Code or any successor provision, or (e) a split interest trust or pooled income fund described in Section 2522(c)(2) of the Code or any successor provision, </w:t>
      </w:r>
      <w:r>
        <w:rPr>
          <w:rFonts w:ascii="Times New Roman" w:hAnsi="Times New Roman"/>
          <w:color w:val="000000"/>
          <w:sz w:val="22"/>
          <w:u w:val="single"/>
        </w:rPr>
        <w:t>provided that</w:t>
      </w:r>
      <w:r>
        <w:rPr>
          <w:rFonts w:ascii="Times New Roman" w:hAnsi="Times New Roman"/>
          <w:color w:val="000000"/>
          <w:sz w:val="20"/>
        </w:rPr>
        <w:t xml:space="preserve"> </w:t>
      </w:r>
      <w:r>
        <w:rPr>
          <w:rFonts w:ascii="Times New Roman" w:hAnsi="Times New Roman"/>
          <w:color w:val="000000"/>
          <w:sz w:val="22"/>
        </w:rPr>
        <w:t>(x) there shall be no consideration for any such transfer, (y) the Award Agreement pursuant to which such Award is granted must be approved by the Committee and must expressly provide for transferability in a manner consistent with this Section, and (z) subsequent transfers of transferred Award shall be prohibited except those by will or the laws of descent and distribution.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Following any transfer, any such Award shall continue to be subject to the same terms and conditions as were applicable immediately prior to transfer, provided that for purposes of </w:t>
      </w:r>
      <w:r>
        <w:rPr>
          <w:rFonts w:ascii="Times New Roman" w:hAnsi="Times New Roman"/>
          <w:color w:val="000000"/>
          <w:sz w:val="22"/>
          <w:u w:val="single"/>
        </w:rPr>
        <w:t>Articles 8, 9, 11, 13 and 15</w:t>
      </w:r>
      <w:r>
        <w:rPr>
          <w:rFonts w:ascii="Times New Roman" w:hAnsi="Times New Roman"/>
          <w:color w:val="000000"/>
          <w:sz w:val="20"/>
        </w:rPr>
        <w:t xml:space="preserve"> </w:t>
      </w:r>
      <w:r>
        <w:rPr>
          <w:rFonts w:ascii="Times New Roman" w:hAnsi="Times New Roman"/>
          <w:color w:val="000000"/>
          <w:sz w:val="22"/>
        </w:rPr>
        <w:t>hereof the term “</w:t>
      </w:r>
      <w:r>
        <w:rPr>
          <w:rFonts w:ascii="Times New Roman" w:hAnsi="Times New Roman"/>
          <w:b/>
          <w:i/>
          <w:color w:val="000000"/>
          <w:sz w:val="22"/>
        </w:rPr>
        <w:t>Participant</w:t>
      </w:r>
      <w:r>
        <w:rPr>
          <w:rFonts w:ascii="Times New Roman" w:hAnsi="Times New Roman"/>
          <w:color w:val="000000"/>
          <w:sz w:val="20"/>
        </w:rPr>
        <w:t xml:space="preserve">” </w:t>
      </w:r>
      <w:r>
        <w:rPr>
          <w:rFonts w:ascii="Times New Roman" w:hAnsi="Times New Roman"/>
          <w:color w:val="000000"/>
          <w:sz w:val="22"/>
        </w:rPr>
        <w:t xml:space="preserve">shall be deemed to include the transferee. The events of Termination of Service shall continue to be applied with respect to the original Participant, following which the Award shall be transferable, exercisable or convertible by the transferee only to the extent and for the periods specified in the Award Agreement. The Committee and the Company shall have no obligation to inform any transferee of an Award of any expiration, termination, lapse or acceleration of such Award. The Company shall have no obligation to register with any federal or state securities commission or agency any Common Stock issuable or issued under an Award that has been transferred by a Participant under this </w:t>
      </w:r>
      <w:r>
        <w:rPr>
          <w:rFonts w:ascii="Times New Roman" w:hAnsi="Times New Roman"/>
          <w:color w:val="000000"/>
          <w:sz w:val="22"/>
          <w:u w:val="single"/>
        </w:rPr>
        <w:t>Section 15.8</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15.9</w:t>
      </w:r>
    </w:p>
    <w:p>
      <w:pPr>
        <w:pStyle w:val="TextBody"/>
        <w:bidi w:val="0"/>
        <w:spacing w:before="0" w:after="240"/>
        <w:jc w:val="both"/>
        <w:rPr/>
      </w:pPr>
      <w:r>
        <w:rPr>
          <w:rFonts w:ascii="Times New Roman" w:hAnsi="Times New Roman"/>
          <w:b/>
          <w:color w:val="000000"/>
          <w:sz w:val="22"/>
        </w:rPr>
        <w:t>Use of Proceeds.</w:t>
      </w:r>
      <w:r>
        <w:rPr>
          <w:color w:val="000000"/>
        </w:rPr>
        <w:t xml:space="preserve"> </w:t>
      </w:r>
      <w:r>
        <w:rPr>
          <w:rFonts w:ascii="Times New Roman" w:hAnsi="Times New Roman"/>
          <w:color w:val="000000"/>
          <w:sz w:val="22"/>
        </w:rPr>
        <w:t>Proceeds from the sale of shares of Common Stock pursuant to Incentives granted under this Plan shall constitute general funds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15.10</w:t>
      </w:r>
    </w:p>
    <w:p>
      <w:pPr>
        <w:pStyle w:val="TextBody"/>
        <w:bidi w:val="0"/>
        <w:spacing w:before="0" w:after="240"/>
        <w:jc w:val="both"/>
        <w:rPr/>
      </w:pPr>
      <w:r>
        <w:rPr>
          <w:rFonts w:ascii="Times New Roman" w:hAnsi="Times New Roman"/>
          <w:b/>
          <w:color w:val="000000"/>
          <w:sz w:val="22"/>
        </w:rPr>
        <w:t>Legend.</w:t>
      </w:r>
      <w:r>
        <w:rPr>
          <w:color w:val="000000"/>
        </w:rPr>
        <w:t xml:space="preserve"> </w:t>
      </w:r>
      <w:r>
        <w:rPr>
          <w:rFonts w:ascii="Times New Roman" w:hAnsi="Times New Roman"/>
          <w:color w:val="000000"/>
          <w:sz w:val="22"/>
        </w:rPr>
        <w:t xml:space="preserve">The shares of Common Stock or other securities of the Company delivered pursuant to an Award shall be subject to such stop transfer orders and other restrictions as the Committee may deem advisable under the Plan or the rules, regulations, and other requirements of the Securities and Exchange Commission, any stock exchange upon which such Common Stock or other securities are then listed, and any applicable federal, state or other laws, and the Committee may cause a legend or legends to be inscribed on any such certificates to make appropriate reference to such restrictions.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15.11</w:t>
      </w:r>
    </w:p>
    <w:p>
      <w:pPr>
        <w:pStyle w:val="TextBody"/>
        <w:bidi w:val="0"/>
        <w:spacing w:before="0" w:after="240"/>
        <w:jc w:val="both"/>
        <w:rPr/>
      </w:pPr>
      <w:r>
        <w:rPr>
          <w:rFonts w:ascii="Times New Roman" w:hAnsi="Times New Roman"/>
          <w:b/>
          <w:color w:val="000000"/>
          <w:sz w:val="22"/>
        </w:rPr>
        <w:t>Governing Law.</w:t>
      </w:r>
      <w:r>
        <w:rPr>
          <w:color w:val="000000"/>
        </w:rPr>
        <w:t xml:space="preserve"> </w:t>
      </w:r>
      <w:r>
        <w:rPr>
          <w:rFonts w:ascii="Times New Roman" w:hAnsi="Times New Roman"/>
          <w:color w:val="000000"/>
          <w:sz w:val="22"/>
        </w:rPr>
        <w:t xml:space="preserve">The Plan shall be governed by, construed, and enforced in accordance with the laws of the State of Delaware (excluding any conflict of laws, rule or principle of Delaware law that might refer the governance, construction, or interpretation of this Plan to the laws of another state). A Participant’s sole remedy for any Claim shall be against the Company, and no Participant shall have any claim or right of any nature against any Subsidiary of the Company or any stockholder or existing or former director, officer or Employee of the Company or any Subsidiary of the Company. The individuals and entities described above in this </w:t>
      </w:r>
      <w:r>
        <w:rPr>
          <w:rFonts w:ascii="Times New Roman" w:hAnsi="Times New Roman"/>
          <w:color w:val="000000"/>
          <w:sz w:val="22"/>
          <w:u w:val="single"/>
        </w:rPr>
        <w:t>Section 15.11</w:t>
      </w:r>
      <w:r>
        <w:rPr>
          <w:color w:val="000000"/>
        </w:rPr>
        <w:t xml:space="preserve"> </w:t>
      </w:r>
      <w:r>
        <w:rPr>
          <w:rFonts w:ascii="Times New Roman" w:hAnsi="Times New Roman"/>
          <w:color w:val="000000"/>
          <w:sz w:val="22"/>
        </w:rPr>
        <w:t xml:space="preserve">(other than the Company) shall be third-party beneficiaries of this Plan for purposes of enforcing the terms of this </w:t>
      </w:r>
      <w:r>
        <w:rPr>
          <w:rFonts w:ascii="Times New Roman" w:hAnsi="Times New Roman"/>
          <w:color w:val="000000"/>
          <w:sz w:val="22"/>
          <w:u w:val="single"/>
        </w:rPr>
        <w:t>Section 15.11</w:t>
      </w:r>
      <w:r>
        <w:rPr>
          <w:rFonts w:ascii="Times New Roman" w:hAnsi="Times New Roman"/>
          <w:color w:val="000000"/>
          <w:sz w:val="22"/>
        </w:rPr>
        <w:t>.</w:t>
      </w:r>
    </w:p>
    <w:p>
      <w:pPr>
        <w:pStyle w:val="TextBody"/>
        <w:bidi w:val="0"/>
        <w:spacing w:before="0" w:after="720"/>
        <w:jc w:val="left"/>
        <w:rPr>
          <w:rFonts w:ascii="Times New Roman" w:hAnsi="Times New Roman"/>
          <w:sz w:val="20"/>
        </w:rPr>
      </w:pPr>
      <w:r>
        <w:rPr>
          <w:rFonts w:ascii="Times New Roman" w:hAnsi="Times New Roman"/>
          <w:color w:val="000000"/>
          <w:sz w:val="22"/>
        </w:rPr>
        <w:t>A copy of this Plan shall be kept on file in the principal office of the Company in Dallas, Texas</w:t>
      </w:r>
      <w:r>
        <w:rPr>
          <w:rFonts w:ascii="Times New Roman" w:hAnsi="Times New Roman"/>
          <w:b/>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A-25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color w:val="000000"/>
          <w:sz w:val="22"/>
        </w:rPr>
      </w:pP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A-26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IN WITNESS WHEREOF, the Company has caused this instrument to be executed as of May 15, 2025, by its Chief Executive Officer pursuant to prior action taken by the Board.</w:t>
      </w:r>
    </w:p>
    <w:p>
      <w:pPr>
        <w:pStyle w:val="TextBody"/>
        <w:bidi w:val="0"/>
        <w:spacing w:before="0" w:after="720"/>
        <w:jc w:val="left"/>
        <w:rPr>
          <w:rFonts w:ascii="Times New Roman" w:hAnsi="Times New Roman"/>
          <w:sz w:val="20"/>
        </w:rPr>
      </w:pPr>
      <w:r>
        <w:rPr>
          <w:rFonts w:ascii="Times New Roman" w:hAnsi="Times New Roman"/>
          <w:b/>
          <w:caps/>
          <w:color w:val="000000"/>
          <w:sz w:val="22"/>
        </w:rPr>
        <w:t>LSB INDUSTRIES, INC.</w:t>
      </w:r>
      <w:r>
        <w:rPr>
          <w:rFonts w:ascii="Times New Roman" w:hAnsi="Times New Roman"/>
          <w:caps/>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 xml:space="preserve">By: </w:t>
      </w:r>
    </w:p>
    <w:p>
      <w:pPr>
        <w:pStyle w:val="TextBody"/>
        <w:bidi w:val="0"/>
        <w:jc w:val="left"/>
        <w:rPr>
          <w:rFonts w:ascii="Times New Roman" w:hAnsi="Times New Roman"/>
          <w:color w:val="000000"/>
          <w:sz w:val="22"/>
        </w:rPr>
      </w:pPr>
      <w:r>
        <w:rPr>
          <w:rFonts w:ascii="Times New Roman" w:hAnsi="Times New Roman"/>
          <w:color w:val="000000"/>
          <w:sz w:val="22"/>
        </w:rPr>
        <w:t xml:space="preserve">Name: </w:t>
      </w:r>
    </w:p>
    <w:p>
      <w:pPr>
        <w:pStyle w:val="TextBody"/>
        <w:bidi w:val="0"/>
        <w:jc w:val="left"/>
        <w:rPr>
          <w:rFonts w:ascii="Times New Roman" w:hAnsi="Times New Roman"/>
          <w:color w:val="000000"/>
          <w:sz w:val="22"/>
        </w:rPr>
      </w:pPr>
      <w:r>
        <w:rPr>
          <w:rFonts w:ascii="Times New Roman" w:hAnsi="Times New Roman"/>
          <w:color w:val="000000"/>
          <w:sz w:val="22"/>
        </w:rPr>
        <w:t>Title: Chief Executive Officer</w:t>
      </w:r>
    </w:p>
    <w:p>
      <w:pPr>
        <w:pStyle w:val="TextBody"/>
        <w:bidi w:val="0"/>
        <w:jc w:val="center"/>
        <w:rPr>
          <w:rFonts w:ascii="Times New Roman" w:hAnsi="Times New Roman"/>
          <w:color w:val="000000"/>
          <w:sz w:val="22"/>
        </w:rPr>
      </w:pPr>
      <w:r>
        <w:rPr>
          <w:rFonts w:ascii="Times New Roman" w:hAnsi="Times New Roman"/>
          <w:color w:val="000000"/>
          <w:sz w:val="22"/>
        </w:rPr>
        <w:t>A-27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4" w:name="lxu-ex10_3.htm"/>
      <w:bookmarkStart w:id="25" w:name="kslxuex10_3"/>
      <w:bookmarkEnd w:id="24"/>
      <w:bookmarkEnd w:id="25"/>
      <w:r>
        <w:rPr>
          <w:rFonts w:ascii="Times New Roman" w:hAnsi="Times New Roman"/>
          <w:color w:val="000000"/>
          <w:sz w:val="20"/>
        </w:rPr>
        <w:t>Exhibit 10.3</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RSU AWARD AGREEMENT</w:t>
      </w:r>
    </w:p>
    <w:p>
      <w:pPr>
        <w:pStyle w:val="TextBody"/>
        <w:bidi w:val="0"/>
        <w:jc w:val="center"/>
        <w:rPr>
          <w:rFonts w:ascii="Times New Roman" w:hAnsi="Times New Roman"/>
          <w:b/>
          <w:color w:val="000000"/>
          <w:sz w:val="22"/>
        </w:rPr>
      </w:pPr>
      <w:r>
        <w:rPr>
          <w:rFonts w:ascii="Times New Roman" w:hAnsi="Times New Roman"/>
          <w:b/>
          <w:color w:val="000000"/>
          <w:sz w:val="22"/>
        </w:rPr>
        <w:t>LSB INDUSTRIES, INC.</w:t>
      </w:r>
    </w:p>
    <w:p>
      <w:pPr>
        <w:pStyle w:val="TextBody"/>
        <w:bidi w:val="0"/>
        <w:jc w:val="center"/>
        <w:rPr>
          <w:rFonts w:ascii="Times New Roman" w:hAnsi="Times New Roman"/>
          <w:b/>
          <w:color w:val="000000"/>
          <w:sz w:val="22"/>
        </w:rPr>
      </w:pPr>
      <w:r>
        <w:rPr>
          <w:rFonts w:ascii="Times New Roman" w:hAnsi="Times New Roman"/>
          <w:b/>
          <w:color w:val="000000"/>
          <w:sz w:val="22"/>
        </w:rPr>
        <w:t>2025 LONG TERM INCENTIVE PLAN</w:t>
      </w:r>
    </w:p>
    <w:p>
      <w:pPr>
        <w:pStyle w:val="TextBody"/>
        <w:bidi w:val="0"/>
        <w:spacing w:before="0" w:after="24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LSB Industries, Inc.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grants to the Participant named below (“</w:t>
      </w:r>
      <w:r>
        <w:rPr>
          <w:rFonts w:ascii="Times New Roman" w:hAnsi="Times New Roman"/>
          <w:color w:val="000000"/>
          <w:sz w:val="22"/>
          <w:u w:val="single"/>
        </w:rPr>
        <w:t>you</w:t>
      </w:r>
      <w:r>
        <w:rPr>
          <w:rFonts w:ascii="Times New Roman" w:hAnsi="Times New Roman"/>
          <w:color w:val="000000"/>
          <w:sz w:val="20"/>
        </w:rPr>
        <w:t>”</w:t>
      </w:r>
      <w:r>
        <w:rPr>
          <w:rFonts w:ascii="Times New Roman" w:hAnsi="Times New Roman"/>
          <w:color w:val="000000"/>
          <w:sz w:val="22"/>
        </w:rPr>
        <w:t>) the number of Restricted Stock Units (“</w:t>
      </w:r>
      <w:r>
        <w:rPr>
          <w:rFonts w:ascii="Times New Roman" w:hAnsi="Times New Roman"/>
          <w:color w:val="000000"/>
          <w:sz w:val="22"/>
          <w:u w:val="single"/>
        </w:rPr>
        <w:t>RSUs</w:t>
      </w:r>
      <w:r>
        <w:rPr>
          <w:rFonts w:ascii="Times New Roman" w:hAnsi="Times New Roman"/>
          <w:color w:val="000000"/>
          <w:sz w:val="20"/>
        </w:rPr>
        <w:t>”</w:t>
      </w:r>
      <w:r>
        <w:rPr>
          <w:rFonts w:ascii="Times New Roman" w:hAnsi="Times New Roman"/>
          <w:color w:val="000000"/>
          <w:sz w:val="22"/>
        </w:rPr>
        <w:t>) set forth below (the “</w:t>
      </w:r>
      <w:r>
        <w:rPr>
          <w:rFonts w:ascii="Times New Roman" w:hAnsi="Times New Roman"/>
          <w:color w:val="000000"/>
          <w:sz w:val="22"/>
          <w:u w:val="single"/>
        </w:rPr>
        <w:t>Award</w:t>
      </w:r>
      <w:r>
        <w:rPr>
          <w:rFonts w:ascii="Times New Roman" w:hAnsi="Times New Roman"/>
          <w:color w:val="000000"/>
          <w:sz w:val="20"/>
        </w:rPr>
        <w:t>”</w:t>
      </w:r>
      <w:r>
        <w:rPr>
          <w:rFonts w:ascii="Times New Roman" w:hAnsi="Times New Roman"/>
          <w:color w:val="000000"/>
          <w:sz w:val="22"/>
        </w:rPr>
        <w:t>), under this RSU Award Agreement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w:t>
      </w:r>
    </w:p>
    <w:tbl>
      <w:tblPr>
        <w:tblW w:w="10205" w:type="dxa"/>
        <w:jc w:val="left"/>
        <w:tblInd w:w="0" w:type="dxa"/>
        <w:tblLayout w:type="fixed"/>
        <w:tblCellMar>
          <w:top w:w="28" w:type="dxa"/>
          <w:left w:w="28" w:type="dxa"/>
          <w:bottom w:w="28" w:type="dxa"/>
          <w:right w:w="28" w:type="dxa"/>
        </w:tblCellMar>
      </w:tblPr>
      <w:tblGrid>
        <w:gridCol w:w="2178"/>
        <w:gridCol w:w="8027"/>
      </w:tblGrid>
      <w:tr>
        <w:trPr/>
        <w:tc>
          <w:tcPr>
            <w:tcW w:w="2178" w:type="dxa"/>
            <w:tcBorders/>
            <w:vAlign w:val="center"/>
          </w:tcPr>
          <w:p>
            <w:pPr>
              <w:pStyle w:val="TableContents"/>
              <w:bidi w:val="0"/>
              <w:spacing w:before="0" w:after="283"/>
              <w:jc w:val="left"/>
              <w:rPr>
                <w:sz w:val="4"/>
                <w:szCs w:val="4"/>
              </w:rPr>
            </w:pPr>
            <w:r>
              <w:rPr>
                <w:sz w:val="4"/>
                <w:szCs w:val="4"/>
              </w:rPr>
            </w:r>
          </w:p>
        </w:tc>
        <w:tc>
          <w:tcPr>
            <w:tcW w:w="8027" w:type="dxa"/>
            <w:tcBorders/>
            <w:vAlign w:val="center"/>
          </w:tcPr>
          <w:p>
            <w:pPr>
              <w:pStyle w:val="TableContents"/>
              <w:bidi w:val="0"/>
              <w:spacing w:before="0" w:after="283"/>
              <w:jc w:val="left"/>
              <w:rPr>
                <w:sz w:val="4"/>
                <w:szCs w:val="4"/>
              </w:rPr>
            </w:pPr>
            <w:r>
              <w:rPr>
                <w:sz w:val="4"/>
                <w:szCs w:val="4"/>
              </w:rPr>
            </w:r>
          </w:p>
        </w:tc>
      </w:tr>
      <w:tr>
        <w:trPr/>
        <w:tc>
          <w:tcPr>
            <w:tcW w:w="217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Participant:</w:t>
            </w:r>
          </w:p>
        </w:tc>
        <w:tc>
          <w:tcPr>
            <w:tcW w:w="802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[Name]</w:t>
            </w:r>
          </w:p>
        </w:tc>
      </w:tr>
      <w:tr>
        <w:trPr/>
        <w:tc>
          <w:tcPr>
            <w:tcW w:w="217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Grant Date:</w:t>
            </w:r>
          </w:p>
        </w:tc>
        <w:tc>
          <w:tcPr>
            <w:tcW w:w="80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[Date]</w:t>
            </w:r>
          </w:p>
        </w:tc>
      </w:tr>
      <w:tr>
        <w:trPr/>
        <w:tc>
          <w:tcPr>
            <w:tcW w:w="217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Total Number of RSUs:</w:t>
            </w:r>
          </w:p>
        </w:tc>
        <w:tc>
          <w:tcPr>
            <w:tcW w:w="80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[Number]</w:t>
            </w:r>
          </w:p>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TRSUs – [Number]</w:t>
            </w:r>
          </w:p>
          <w:p>
            <w:pPr>
              <w:pStyle w:val="TableContents"/>
              <w:bidi w:val="0"/>
              <w:spacing w:before="0" w:after="240"/>
              <w:jc w:val="left"/>
              <w:rPr>
                <w:rFonts w:ascii="Times New Roman" w:hAnsi="Times New Roman"/>
                <w:sz w:val="22"/>
              </w:rPr>
            </w:pPr>
            <w:r>
              <w:rPr>
                <w:rFonts w:ascii="Times New Roman" w:hAnsi="Times New Roman"/>
                <w:color w:val="000000"/>
                <w:sz w:val="22"/>
              </w:rPr>
              <w:t>PRSUs – [Number] (at Target) (the “</w:t>
            </w:r>
            <w:r>
              <w:rPr>
                <w:rFonts w:ascii="Times New Roman" w:hAnsi="Times New Roman"/>
                <w:color w:val="000000"/>
                <w:sz w:val="22"/>
                <w:u w:val="single"/>
              </w:rPr>
              <w:t>Target PRSUs</w:t>
            </w:r>
            <w:r>
              <w:rPr>
                <w:rFonts w:ascii="Times New Roman" w:hAnsi="Times New Roman"/>
                <w:color w:val="000000"/>
                <w:sz w:val="22"/>
              </w:rPr>
              <w:t>”)</w:t>
            </w:r>
          </w:p>
        </w:tc>
      </w:tr>
      <w:tr>
        <w:trPr/>
        <w:tc>
          <w:tcPr>
            <w:tcW w:w="217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Definition of RSU:</w:t>
            </w:r>
          </w:p>
        </w:tc>
        <w:tc>
          <w:tcPr>
            <w:tcW w:w="80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both"/>
              <w:rPr>
                <w:rFonts w:ascii="Times New Roman" w:hAnsi="Times New Roman"/>
                <w:sz w:val="22"/>
              </w:rPr>
            </w:pPr>
            <w:r>
              <w:rPr>
                <w:rFonts w:ascii="Times New Roman" w:hAnsi="Times New Roman"/>
                <w:color w:val="000000"/>
                <w:sz w:val="22"/>
              </w:rPr>
              <w:t>Each RSU entitles you to earn and receive 1 share of Stock (a “</w:t>
            </w:r>
            <w:r>
              <w:rPr>
                <w:rFonts w:ascii="Times New Roman" w:hAnsi="Times New Roman"/>
                <w:color w:val="000000"/>
                <w:sz w:val="22"/>
                <w:u w:val="single"/>
              </w:rPr>
              <w:t>Share</w:t>
            </w:r>
            <w:r>
              <w:rPr>
                <w:rFonts w:ascii="Times New Roman" w:hAnsi="Times New Roman"/>
                <w:color w:val="000000"/>
                <w:sz w:val="22"/>
              </w:rPr>
              <w:t>”)—or a cash amount equal to the Fair Market Value of 1 Share—in the future, in each case subject to the terms of this Agreement. As used in this Agreement, “</w:t>
            </w:r>
            <w:r>
              <w:rPr>
                <w:rFonts w:ascii="Times New Roman" w:hAnsi="Times New Roman"/>
                <w:color w:val="000000"/>
                <w:sz w:val="22"/>
                <w:u w:val="single"/>
              </w:rPr>
              <w:t>RSUs</w:t>
            </w:r>
            <w:r>
              <w:rPr>
                <w:rFonts w:ascii="Times New Roman" w:hAnsi="Times New Roman"/>
                <w:color w:val="000000"/>
                <w:sz w:val="22"/>
              </w:rPr>
              <w:t>” means your TRSUs and your PRSUs</w:t>
            </w:r>
          </w:p>
        </w:tc>
      </w:tr>
      <w:tr>
        <w:trPr/>
        <w:tc>
          <w:tcPr>
            <w:tcW w:w="217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Definition of TRSU:</w:t>
            </w:r>
          </w:p>
          <w:p>
            <w:pPr>
              <w:pStyle w:val="TableContents"/>
              <w:bidi w:val="0"/>
              <w:spacing w:before="0" w:after="240"/>
              <w:jc w:val="left"/>
              <w:rPr>
                <w:rFonts w:ascii="Times New Roman" w:hAnsi="Times New Roman"/>
                <w:b/>
                <w:color w:val="000000"/>
                <w:sz w:val="20"/>
              </w:rPr>
            </w:pPr>
            <w:r>
              <w:rPr>
                <w:rFonts w:ascii="Times New Roman" w:hAnsi="Times New Roman"/>
                <w:b/>
                <w:color w:val="000000"/>
                <w:sz w:val="20"/>
              </w:rPr>
              <w:t>(Time-Based Vesting RSU)</w:t>
            </w:r>
          </w:p>
        </w:tc>
        <w:tc>
          <w:tcPr>
            <w:tcW w:w="80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An RSU that becomes earned and payable based on your continued service with the Company and its Subsidiaries</w:t>
            </w:r>
          </w:p>
        </w:tc>
      </w:tr>
      <w:tr>
        <w:trPr/>
        <w:tc>
          <w:tcPr>
            <w:tcW w:w="217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Definition of PRSU:</w:t>
            </w:r>
          </w:p>
          <w:p>
            <w:pPr>
              <w:pStyle w:val="TableContents"/>
              <w:bidi w:val="0"/>
              <w:spacing w:before="0" w:after="240"/>
              <w:jc w:val="left"/>
              <w:rPr>
                <w:rFonts w:ascii="Times New Roman" w:hAnsi="Times New Roman"/>
                <w:b/>
                <w:color w:val="000000"/>
                <w:sz w:val="20"/>
              </w:rPr>
            </w:pPr>
            <w:r>
              <w:rPr>
                <w:rFonts w:ascii="Times New Roman" w:hAnsi="Times New Roman"/>
                <w:b/>
                <w:color w:val="000000"/>
                <w:sz w:val="20"/>
              </w:rPr>
              <w:t>(Performance-Based Vesting RSU)</w:t>
            </w:r>
          </w:p>
        </w:tc>
        <w:tc>
          <w:tcPr>
            <w:tcW w:w="80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An RSU that becomes earned and payable based on a combination of your continued service with the Company and its Subsidiaries and the achievement of specified performance goals</w:t>
            </w:r>
          </w:p>
        </w:tc>
      </w:tr>
      <w:tr>
        <w:trPr/>
        <w:tc>
          <w:tcPr>
            <w:tcW w:w="217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Performance Period:</w:t>
            </w:r>
          </w:p>
        </w:tc>
        <w:tc>
          <w:tcPr>
            <w:tcW w:w="80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Three years starting at the Grant Date, Performance is measured at December 31 for each year of the three year Performance Period</w:t>
            </w:r>
          </w:p>
        </w:tc>
      </w:tr>
      <w:tr>
        <w:trPr/>
        <w:tc>
          <w:tcPr>
            <w:tcW w:w="217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Plan:</w:t>
            </w:r>
          </w:p>
        </w:tc>
        <w:tc>
          <w:tcPr>
            <w:tcW w:w="80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both"/>
              <w:rPr>
                <w:rFonts w:ascii="Times New Roman" w:hAnsi="Times New Roman"/>
                <w:sz w:val="22"/>
              </w:rPr>
            </w:pPr>
            <w:r>
              <w:rPr>
                <w:rFonts w:ascii="Times New Roman" w:hAnsi="Times New Roman"/>
                <w:color w:val="000000"/>
                <w:sz w:val="22"/>
              </w:rPr>
              <w:t xml:space="preserve">LSB Industries, Inc. 2025 Long Term Incentive, attached hereto as </w:t>
            </w:r>
            <w:r>
              <w:rPr>
                <w:rFonts w:ascii="Times New Roman" w:hAnsi="Times New Roman"/>
                <w:b/>
                <w:color w:val="000000"/>
                <w:sz w:val="22"/>
                <w:u w:val="single"/>
              </w:rPr>
              <w:t>Exhibit B</w:t>
            </w:r>
          </w:p>
        </w:tc>
      </w:tr>
      <w:tr>
        <w:trPr/>
        <w:tc>
          <w:tcPr>
            <w:tcW w:w="217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Defined Terms:</w:t>
            </w:r>
          </w:p>
        </w:tc>
        <w:tc>
          <w:tcPr>
            <w:tcW w:w="80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As set forth in the Plan, unless otherwise defined in this Agreement</w:t>
            </w:r>
          </w:p>
        </w:tc>
      </w:tr>
      <w:tr>
        <w:trPr/>
        <w:tc>
          <w:tcPr>
            <w:tcW w:w="217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Earning and Payment Terms:</w:t>
            </w:r>
          </w:p>
        </w:tc>
        <w:tc>
          <w:tcPr>
            <w:tcW w:w="80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sz w:val="22"/>
              </w:rPr>
            </w:pPr>
            <w:r>
              <w:rPr>
                <w:rFonts w:ascii="Times New Roman" w:hAnsi="Times New Roman"/>
                <w:color w:val="000000"/>
                <w:sz w:val="22"/>
              </w:rPr>
              <w:t xml:space="preserve">See </w:t>
            </w:r>
            <w:r>
              <w:rPr>
                <w:rFonts w:ascii="Times New Roman" w:hAnsi="Times New Roman"/>
                <w:b/>
                <w:color w:val="000000"/>
                <w:sz w:val="22"/>
                <w:u w:val="single"/>
              </w:rPr>
              <w:t>Exhibit A</w:t>
            </w:r>
            <w:r>
              <w:rPr>
                <w:rFonts w:ascii="Times New Roman" w:hAnsi="Times New Roman"/>
                <w:color w:val="000000"/>
                <w:sz w:val="22"/>
              </w:rPr>
              <w:t> attached hereto.</w:t>
            </w:r>
          </w:p>
        </w:tc>
      </w:tr>
    </w:tbl>
    <w:p>
      <w:pPr>
        <w:pStyle w:val="TextBody"/>
        <w:bidi w:val="0"/>
        <w:spacing w:before="48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80" w:after="240"/>
        <w:jc w:val="center"/>
        <w:rPr>
          <w:rFonts w:ascii="Times New Roman" w:hAnsi="Times New Roman"/>
          <w:b/>
          <w:color w:val="000000"/>
          <w:sz w:val="22"/>
        </w:rPr>
      </w:pPr>
      <w:r>
        <w:rPr>
          <w:rFonts w:ascii="Times New Roman" w:hAnsi="Times New Roman"/>
          <w:b/>
          <w:color w:val="000000"/>
          <w:sz w:val="22"/>
        </w:rPr>
        <w:t>RSU TERMS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Grant of RSUs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The Award is subject to the terms of the Plan. The terms of the Plan are incorporated into this Agreement by this reference.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You must accept the terms of this Agreement within 10 business days after the Agreement is presented to you for by returning a signed copy of this Agreement to the Company in accordance with such procedures as the Company may establish. The Committee may unilaterally cancel and forfeit all or a portion of the Award if you do not timely accept the terms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Restrictions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You will have no rights or privileges of a Stockholder as to any Shares underlying the RSUs before settlement under </w:t>
      </w:r>
      <w:r>
        <w:rPr>
          <w:rFonts w:ascii="Times New Roman" w:hAnsi="Times New Roman"/>
          <w:color w:val="000000"/>
          <w:sz w:val="22"/>
          <w:u w:val="single"/>
        </w:rPr>
        <w:t>Section 6</w:t>
      </w:r>
      <w:r>
        <w:rPr>
          <w:rFonts w:ascii="Times New Roman" w:hAnsi="Times New Roman"/>
          <w:color w:val="000000"/>
          <w:sz w:val="20"/>
        </w:rPr>
        <w:t xml:space="preserve"> </w:t>
      </w:r>
      <w:r>
        <w:rPr>
          <w:rFonts w:ascii="Times New Roman" w:hAnsi="Times New Roman"/>
          <w:color w:val="000000"/>
          <w:sz w:val="22"/>
        </w:rPr>
        <w:t>below (“</w:t>
      </w:r>
      <w:r>
        <w:rPr>
          <w:rFonts w:ascii="Times New Roman" w:hAnsi="Times New Roman"/>
          <w:color w:val="000000"/>
          <w:sz w:val="22"/>
          <w:u w:val="single"/>
        </w:rPr>
        <w:t>Settlement</w:t>
      </w:r>
      <w:r>
        <w:rPr>
          <w:rFonts w:ascii="Times New Roman" w:hAnsi="Times New Roman"/>
          <w:color w:val="000000"/>
          <w:sz w:val="20"/>
        </w:rPr>
        <w:t>”</w:t>
      </w:r>
      <w:r>
        <w:rPr>
          <w:rFonts w:ascii="Times New Roman" w:hAnsi="Times New Roman"/>
          <w:color w:val="000000"/>
          <w:sz w:val="22"/>
        </w:rPr>
        <w:t>), including no right to vote or receive dividends or other distributions; in addition, the following terms will apply: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 you will not be entitled to delivery of any Share certificates for the RSUs until Settlement (if at all), and upon the satisfaction of all other terms;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you may not sell, transfer (other than by will or the laws of descent and distribution), assign, pledge, or otherwise encumber or dispose of the RSUs or any rights under the RSUs before Settlement;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you will forfeit all of the RSUs and all of your rights under the RSUs will terminate in their entirety on the terms set forth in </w:t>
      </w:r>
      <w:r>
        <w:rPr>
          <w:rFonts w:ascii="Times New Roman" w:hAnsi="Times New Roman"/>
          <w:color w:val="000000"/>
          <w:sz w:val="22"/>
          <w:u w:val="single"/>
        </w:rPr>
        <w:t>Section 5</w:t>
      </w:r>
      <w:r>
        <w:rPr>
          <w:rFonts w:ascii="Times New Roman" w:hAnsi="Times New Roman"/>
          <w:color w:val="000000"/>
          <w:sz w:val="20"/>
        </w:rPr>
        <w:t xml:space="preserve"> </w:t>
      </w:r>
      <w:r>
        <w:rPr>
          <w:rFonts w:ascii="Times New Roman" w:hAnsi="Times New Roman"/>
          <w:color w:val="000000"/>
          <w:sz w:val="22"/>
        </w:rPr>
        <w:t xml:space="preserve">below and </w:t>
      </w:r>
      <w:r>
        <w:rPr>
          <w:rFonts w:ascii="Times New Roman" w:hAnsi="Times New Roman"/>
          <w:color w:val="000000"/>
          <w:sz w:val="22"/>
          <w:u w:val="single"/>
        </w:rPr>
        <w:t>Section 11(j)</w:t>
      </w:r>
      <w:r>
        <w:rPr>
          <w:rFonts w:ascii="Times New Roman" w:hAnsi="Times New Roman"/>
          <w:color w:val="000000"/>
          <w:sz w:val="20"/>
        </w:rPr>
        <w:t xml:space="preserve"> </w:t>
      </w:r>
      <w:r>
        <w:rPr>
          <w:rFonts w:ascii="Times New Roman" w:hAnsi="Times New Roman"/>
          <w:color w:val="000000"/>
          <w:sz w:val="22"/>
        </w:rPr>
        <w:t>below;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(iv) no Share underlying an RSU will be considered earned until the end of the Restricted Period applicable to the RSU.</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Any attempt to dispose of the RSUs, any interest in the RSUs, or any Shares in respect of the RSUs in a manner contrary to the terms of this Agreement will be void and of no effect.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Restricted Period</w:t>
      </w:r>
      <w:r>
        <w:rPr>
          <w:rFonts w:ascii="Times New Roman" w:hAnsi="Times New Roman"/>
          <w:color w:val="000000"/>
          <w:sz w:val="22"/>
        </w:rPr>
        <w:t>. The “</w:t>
      </w:r>
      <w:r>
        <w:rPr>
          <w:rFonts w:ascii="Times New Roman" w:hAnsi="Times New Roman"/>
          <w:color w:val="000000"/>
          <w:sz w:val="22"/>
          <w:u w:val="single"/>
        </w:rPr>
        <w:t>Restricted Period</w:t>
      </w:r>
      <w:r>
        <w:rPr>
          <w:rFonts w:ascii="Times New Roman" w:hAnsi="Times New Roman"/>
          <w:color w:val="000000"/>
          <w:sz w:val="20"/>
        </w:rPr>
        <w:t xml:space="preserve">” </w:t>
      </w:r>
      <w:r>
        <w:rPr>
          <w:rFonts w:ascii="Times New Roman" w:hAnsi="Times New Roman"/>
          <w:color w:val="000000"/>
          <w:sz w:val="22"/>
        </w:rPr>
        <w:t xml:space="preserve">is the period beginning on the Grant Date and ending on the date the RSUs, or such applicable portion of the RSUs, are deemed earned and payable under the terms set forth in </w:t>
      </w:r>
      <w:r>
        <w:rPr>
          <w:rFonts w:ascii="Times New Roman" w:hAnsi="Times New Roman"/>
          <w:b/>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attached hereto.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Dividend Equivalents</w:t>
      </w:r>
      <w:r>
        <w:rPr>
          <w:rFonts w:ascii="Times New Roman" w:hAnsi="Times New Roman"/>
          <w:color w:val="000000"/>
          <w:sz w:val="22"/>
        </w:rPr>
        <w:t>. Each RSU will be credited with any cash and stock dividends paid by the Company in respect of 1 Share (“</w:t>
      </w:r>
      <w:r>
        <w:rPr>
          <w:rFonts w:ascii="Times New Roman" w:hAnsi="Times New Roman"/>
          <w:color w:val="000000"/>
          <w:sz w:val="22"/>
          <w:u w:val="single"/>
        </w:rPr>
        <w:t>Dividend Equivalents</w:t>
      </w:r>
      <w:r>
        <w:rPr>
          <w:rFonts w:ascii="Times New Roman" w:hAnsi="Times New Roman"/>
          <w:color w:val="000000"/>
          <w:sz w:val="20"/>
        </w:rPr>
        <w:t>”</w:t>
      </w:r>
      <w:r>
        <w:rPr>
          <w:rFonts w:ascii="Times New Roman" w:hAnsi="Times New Roman"/>
          <w:color w:val="000000"/>
          <w:sz w:val="22"/>
        </w:rPr>
        <w:t>). Dividend Equivalents will be accrued by the Company and credited to you and will not bear interest. Dividend Equivalents credited to you and attributable to any particular RSU will be distributed to you in cash (or, if determined by the Committee, in Shares having a Fair Market Value equal to the amount of such Dividend Equivalents) upon Settlement of the RSU to which the Dividend Equivalent is attributable and, if the RSU is forfeited, you will have no right to such Dividend Equivalent.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Forfeiture</w:t>
      </w:r>
      <w:r>
        <w:rPr>
          <w:rFonts w:ascii="Times New Roman" w:hAnsi="Times New Roman"/>
          <w:color w:val="000000"/>
          <w:sz w:val="22"/>
        </w:rPr>
        <w:t xml:space="preserve">. If, during the Restricted Period, (a) you incur a Separation from Service (for the avoidance of doubt, which does not otherwise result in the immediate or continued earning and payment of the RSUs), (b) you materially breach this Agreement, or (c) you fail to meet the tax withholding obligations described in </w:t>
      </w:r>
      <w:r>
        <w:rPr>
          <w:rFonts w:ascii="Times New Roman" w:hAnsi="Times New Roman"/>
          <w:color w:val="000000"/>
          <w:sz w:val="22"/>
          <w:u w:val="single"/>
        </w:rPr>
        <w:t>Section 7</w:t>
      </w:r>
      <w:r>
        <w:rPr>
          <w:rFonts w:ascii="Times New Roman" w:hAnsi="Times New Roman"/>
          <w:color w:val="000000"/>
          <w:sz w:val="20"/>
        </w:rPr>
        <w:t xml:space="preserve"> </w:t>
      </w:r>
      <w:r>
        <w:rPr>
          <w:rFonts w:ascii="Times New Roman" w:hAnsi="Times New Roman"/>
          <w:color w:val="000000"/>
          <w:sz w:val="22"/>
        </w:rPr>
        <w:t>below, you will immediately and automatically forfeit all of your rights in respect of the RSUs.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Settlement of RSUs</w:t>
      </w:r>
      <w:r>
        <w:rPr>
          <w:rFonts w:ascii="Times New Roman" w:hAnsi="Times New Roman"/>
          <w:color w:val="000000"/>
          <w:sz w:val="22"/>
        </w:rPr>
        <w:t>. Settlement of RSUs under this Agreement will be subject to the following: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 xml:space="preserve">Page </w:t>
      </w:r>
      <w:r>
        <w:rPr>
          <w:rFonts w:ascii="Times New Roman" w:hAnsi="Times New Roman"/>
          <w:b/>
          <w:color w:val="000000"/>
          <w:sz w:val="22"/>
        </w:rPr>
        <w:t>2</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b/>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Company will deliver to you 1 Share—or a cash amount equal to the Fair Market Value of 1 Share—for each RSU that has become earned and payable as soon as administratively practicable after the end of the applicable Restricted Period, subject to the following: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PRSUs will be settled in Shares;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TRSUs will be settled in Shares.</w:t>
      </w:r>
    </w:p>
    <w:p>
      <w:pPr>
        <w:pStyle w:val="TextBody"/>
        <w:bidi w:val="0"/>
        <w:spacing w:before="0" w:after="240"/>
        <w:jc w:val="both"/>
        <w:rPr>
          <w:rFonts w:ascii="Times New Roman" w:hAnsi="Times New Roman"/>
          <w:sz w:val="20"/>
        </w:rPr>
      </w:pPr>
      <w:r>
        <w:rPr>
          <w:rFonts w:ascii="Times New Roman" w:hAnsi="Times New Roman"/>
          <w:color w:val="000000"/>
          <w:sz w:val="22"/>
        </w:rPr>
        <w:t>(b) Any issuance of Shares under the Award may be effected on a non-certificated basis, to the extent not prohibited by Applicable Law.</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2"/>
        </w:rPr>
        <w:t>(c) If a certificate for Shares is delivered to you under the Award, the certificate may bear the following or a similar legend as determined by the Company: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ownership and transferability of this certificate and the shares of stock represented hereby are subject to the terms (including forfeiture) of the LSB Industries, Inc. 2025 Long Term Incentive Plan and an RSU award agreement entered into between the registered owner and LSB Industries, Inc. Copies of such plan and agreement are on file in the executive offices of LSB Industries, Inc.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addition, any stock certificates for Shares will be subject to any stop-transfer orders and other restrictions as the Company may deem advisable under applicable law, and the Company may cause a legend or legends to be placed on any certificates to make appropriate reference to these restrictions.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 </w:t>
      </w:r>
      <w:r>
        <w:rPr>
          <w:rFonts w:ascii="Times New Roman" w:hAnsi="Times New Roman"/>
          <w:color w:val="000000"/>
          <w:sz w:val="22"/>
          <w:u w:val="single"/>
        </w:rPr>
        <w:t>Taxes</w:t>
      </w:r>
      <w:r>
        <w:rPr>
          <w:rFonts w:ascii="Times New Roman" w:hAnsi="Times New Roman"/>
          <w:color w:val="000000"/>
          <w:sz w:val="22"/>
        </w:rPr>
        <w:t>. Regardless of any action the Company may take that is related to any or all income tax, payroll tax, or other tax-related withholding under the Plan (“</w:t>
      </w:r>
      <w:r>
        <w:rPr>
          <w:rFonts w:ascii="Times New Roman" w:hAnsi="Times New Roman"/>
          <w:color w:val="000000"/>
          <w:sz w:val="22"/>
          <w:u w:val="single"/>
        </w:rPr>
        <w:t>Tax-Related Items</w:t>
      </w:r>
      <w:r>
        <w:rPr>
          <w:rFonts w:ascii="Times New Roman" w:hAnsi="Times New Roman"/>
          <w:color w:val="000000"/>
          <w:sz w:val="20"/>
        </w:rPr>
        <w:t>”</w:t>
      </w:r>
      <w:r>
        <w:rPr>
          <w:rFonts w:ascii="Times New Roman" w:hAnsi="Times New Roman"/>
          <w:color w:val="000000"/>
          <w:sz w:val="22"/>
        </w:rPr>
        <w:t xml:space="preserve">), the ultimate liability for all Tax-Related Items owed by you is and will remain your responsibility. The Company (a) makes no representations or undertakings regarding the treatment of any Tax-Related Items and (b) does not commit to structure the terms of the Award to reduce or eliminate your liability for Tax-Related Items. You will be required to meet any applicable tax withholding obligation in accordance with the tax withholding terms of </w:t>
      </w:r>
      <w:r>
        <w:rPr>
          <w:rFonts w:ascii="Times New Roman" w:hAnsi="Times New Roman"/>
          <w:color w:val="000000"/>
          <w:sz w:val="22"/>
          <w:u w:val="single"/>
        </w:rPr>
        <w:t>Section 7 of the Plan</w:t>
      </w:r>
      <w:r>
        <w:rPr>
          <w:rFonts w:ascii="Times New Roman" w:hAnsi="Times New Roman"/>
          <w:color w:val="000000"/>
          <w:sz w:val="20"/>
        </w:rPr>
        <w:t xml:space="preserve"> </w:t>
      </w:r>
      <w:r>
        <w:rPr>
          <w:rFonts w:ascii="Times New Roman" w:hAnsi="Times New Roman"/>
          <w:color w:val="000000"/>
          <w:sz w:val="22"/>
        </w:rPr>
        <w:t xml:space="preserve">(and any successor terms). The RSUs are intended to be exempt from Section 409A, and this Agreement will be administered and interpreted consistently with that intent and with the terms of </w:t>
      </w:r>
      <w:r>
        <w:rPr>
          <w:rFonts w:ascii="Times New Roman" w:hAnsi="Times New Roman"/>
          <w:color w:val="000000"/>
          <w:sz w:val="22"/>
          <w:u w:val="single"/>
        </w:rPr>
        <w:t>Section 19 of the Plan</w:t>
      </w:r>
      <w:r>
        <w:rPr>
          <w:rFonts w:ascii="Times New Roman" w:hAnsi="Times New Roman"/>
          <w:color w:val="000000"/>
          <w:sz w:val="20"/>
        </w:rPr>
        <w:t xml:space="preserve"> </w:t>
      </w:r>
      <w:r>
        <w:rPr>
          <w:rFonts w:ascii="Times New Roman" w:hAnsi="Times New Roman"/>
          <w:color w:val="000000"/>
          <w:sz w:val="22"/>
        </w:rPr>
        <w:t>(and any successor terms).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Adjustment</w:t>
      </w:r>
      <w:r>
        <w:rPr>
          <w:rFonts w:ascii="Times New Roman" w:hAnsi="Times New Roman"/>
          <w:color w:val="000000"/>
          <w:sz w:val="22"/>
        </w:rPr>
        <w:t xml:space="preserve">. Upon any event described in </w:t>
      </w:r>
      <w:r>
        <w:rPr>
          <w:rFonts w:ascii="Times New Roman" w:hAnsi="Times New Roman"/>
          <w:color w:val="000000"/>
          <w:sz w:val="22"/>
          <w:u w:val="single"/>
        </w:rPr>
        <w:t>Section 8 of the Plan</w:t>
      </w:r>
      <w:r>
        <w:rPr>
          <w:rFonts w:ascii="Times New Roman" w:hAnsi="Times New Roman"/>
          <w:color w:val="000000"/>
          <w:sz w:val="20"/>
        </w:rPr>
        <w:t xml:space="preserve"> </w:t>
      </w:r>
      <w:r>
        <w:rPr>
          <w:rFonts w:ascii="Times New Roman" w:hAnsi="Times New Roman"/>
          <w:color w:val="000000"/>
          <w:sz w:val="22"/>
        </w:rPr>
        <w:t>(and any successor terms) occurring after the Grant Date, the adjustment terms of that section will apply to the Award.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Bound by Plan and Committee Decisions</w:t>
      </w:r>
      <w:r>
        <w:rPr>
          <w:rFonts w:ascii="Times New Roman" w:hAnsi="Times New Roman"/>
          <w:color w:val="000000"/>
          <w:sz w:val="22"/>
        </w:rPr>
        <w:t>. By accepting the Award, you acknowledge that you have received a copy of the Plan and have had an opportunity to review the Plan, and you agree to be bound by all of the terms of the Plan. If there is any conflict between this Agreement and the Plan, the Plan will control. The authority to manage and control the operation and administration of this Agreement and the Plan is vested in the Committee. The Committee has all powers under this Agreement that it has under the Plan. Any interpretation of this Agreement or the Plan by the Committee and any decision made by the Committee related to the Agreement or the Plan will be final and binding on all Persons.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10. </w:t>
      </w:r>
      <w:r>
        <w:rPr>
          <w:rFonts w:ascii="Times New Roman" w:hAnsi="Times New Roman"/>
          <w:color w:val="000000"/>
          <w:sz w:val="22"/>
          <w:u w:val="single"/>
        </w:rPr>
        <w:t>Regulatory and Other Limitations</w:t>
      </w:r>
      <w:r>
        <w:rPr>
          <w:rFonts w:ascii="Times New Roman" w:hAnsi="Times New Roman"/>
          <w:color w:val="000000"/>
          <w:sz w:val="22"/>
        </w:rPr>
        <w:t>. Notwithstanding anything else in this Agreement, the Committee may impose conditions, restrictions, and limitations on the issuance of Shares under the Award unless and until the Committee determines that the issuance complies with (a) all registration requirements under the Securities Act, (b) all listing requirements of any securities exchange or similar entity on which the Shares are listed, (c) all Company policies and administrative rules, and (d) all applicable laws.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Miscellaneous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Notices</w:t>
      </w:r>
      <w:r>
        <w:rPr>
          <w:rFonts w:ascii="Times New Roman" w:hAnsi="Times New Roman"/>
          <w:color w:val="000000"/>
          <w:sz w:val="22"/>
        </w:rPr>
        <w:t>. Any notice that may be required or permitted under this Agreement must be in writing and may be delivered personally, by intraoffice mail, or by electronic mail or via a postal service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 xml:space="preserve">Page </w:t>
      </w:r>
      <w:r>
        <w:rPr>
          <w:rFonts w:ascii="Times New Roman" w:hAnsi="Times New Roman"/>
          <w:b/>
          <w:color w:val="000000"/>
          <w:sz w:val="22"/>
        </w:rPr>
        <w:t>3</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b/>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(postage prepaid) to the electronic mail or postal address and directed to the person as the receiving party may designate in writing from time to time.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Waiver</w:t>
      </w:r>
      <w:r>
        <w:rPr>
          <w:rFonts w:ascii="Times New Roman" w:hAnsi="Times New Roman"/>
          <w:color w:val="000000"/>
          <w:sz w:val="22"/>
        </w:rPr>
        <w:t>. The waiver by any party to this Agreement of a breach of any term of the Agreement will not operate or be construed as a waiver of any other or subsequent breach.</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Entire Agreement</w:t>
      </w:r>
      <w:r>
        <w:rPr>
          <w:rFonts w:ascii="Times New Roman" w:hAnsi="Times New Roman"/>
          <w:color w:val="000000"/>
          <w:sz w:val="22"/>
        </w:rPr>
        <w:t>. This Agreement and the Plan constitute the entire agreement between you and the Company related to the Award. Any prior agreements, commitments, or negotiations related the Award are superseded.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Binding Effect; Successors</w:t>
      </w:r>
      <w:r>
        <w:rPr>
          <w:rFonts w:ascii="Times New Roman" w:hAnsi="Times New Roman"/>
          <w:color w:val="000000"/>
          <w:sz w:val="22"/>
        </w:rPr>
        <w:t>. The obligations and rights of the Company under this Agreement will be binding upon and inure to the benefit of the Company and any successor corporation or organization resulting from the merger, consolidation, sale, or other reorganization of the Company, or upon any successor corporation or organization succeeding to substantially all of the assets and business of the Company. Your obligations and rights under this Agreement will be binding upon and inure to your benefit and the benefit of your beneficiaries, executors, administrators, heirs, and successors.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Governing Law; Jurisdiction</w:t>
      </w:r>
      <w:r>
        <w:rPr>
          <w:rFonts w:ascii="Times New Roman" w:hAnsi="Times New Roman"/>
          <w:color w:val="000000"/>
          <w:sz w:val="22"/>
        </w:rPr>
        <w:t xml:space="preserve">. You acknowledge and expressly agree to the governing law and jurisdiction terms of </w:t>
      </w:r>
      <w:r>
        <w:rPr>
          <w:rFonts w:ascii="Times New Roman" w:hAnsi="Times New Roman"/>
          <w:color w:val="000000"/>
          <w:sz w:val="22"/>
          <w:u w:val="single"/>
        </w:rPr>
        <w:t>Section 9(c) of the Plan</w:t>
      </w:r>
      <w:r>
        <w:rPr>
          <w:rFonts w:ascii="Times New Roman" w:hAnsi="Times New Roman"/>
          <w:color w:val="000000"/>
          <w:sz w:val="20"/>
        </w:rPr>
        <w:t xml:space="preserve"> </w:t>
      </w:r>
      <w:r>
        <w:rPr>
          <w:rFonts w:ascii="Times New Roman" w:hAnsi="Times New Roman"/>
          <w:color w:val="000000"/>
          <w:sz w:val="22"/>
        </w:rPr>
        <w:t>(and any successor terms).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Amendment</w:t>
      </w:r>
      <w:r>
        <w:rPr>
          <w:rFonts w:ascii="Times New Roman" w:hAnsi="Times New Roman"/>
          <w:color w:val="000000"/>
          <w:sz w:val="22"/>
        </w:rPr>
        <w:t>. This Agreement may be amended at any time by the Committee, except that no amendment may, without your consent, materially and adversely affect your rights under the Award.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Severability</w:t>
      </w:r>
      <w:r>
        <w:rPr>
          <w:rFonts w:ascii="Times New Roman" w:hAnsi="Times New Roman"/>
          <w:color w:val="000000"/>
          <w:sz w:val="22"/>
        </w:rPr>
        <w:t>. The invalidity or unenforceability of any term of the Plan or this Agreement will not affect the validity or enforceability of any other term of the Plan or this Agreement, and each other term of the Plan and this Agreement will be severable and enforceable to the extent permitted by applicable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No Rights to Service; No Impact on Other Benefits</w:t>
      </w:r>
      <w:r>
        <w:rPr>
          <w:rFonts w:ascii="Times New Roman" w:hAnsi="Times New Roman"/>
          <w:color w:val="000000"/>
          <w:sz w:val="22"/>
        </w:rPr>
        <w:t>. Nothing in this Agreement will be construed as giving you any right to be retained in any position with the Company or its Affiliates. Nothing in this Agreement will interfere with or restrict the rights of the Company or its Affiliates—which are expressly reserved—to remove, terminate, or discharge you at any time for any reason whatsoever or for no reason, subject to the Company’s certificate of incorporation, bylaws, and other similar governing documents and applicable law. The value of the RSUs is not part of your normal or expected compensation for purposes of calculating any severance, retirement, welfare, insurance, or similar employee benefit. The grant of the RSUs does not create any right to receive any future awards.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Further Assurances</w:t>
      </w:r>
      <w:r>
        <w:rPr>
          <w:rFonts w:ascii="Times New Roman" w:hAnsi="Times New Roman"/>
          <w:color w:val="000000"/>
          <w:sz w:val="22"/>
        </w:rPr>
        <w:t>. You must, upon request of the Company, do all acts and execute, deliver, and perform all additional documents, instruments, and agreements that may be reasonably required by the Company to implement this Agreement.</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jc w:val="center"/>
        <w:rPr>
          <w:rFonts w:ascii="Times New Roman" w:hAnsi="Times New Roman"/>
          <w:sz w:val="20"/>
        </w:rPr>
      </w:pPr>
      <w:r>
        <w:rPr>
          <w:rFonts w:ascii="Times New Roman" w:hAnsi="Times New Roman"/>
          <w:color w:val="000000"/>
          <w:sz w:val="22"/>
        </w:rPr>
        <w:t xml:space="preserve">Page </w:t>
      </w:r>
      <w:r>
        <w:rPr>
          <w:rFonts w:ascii="Times New Roman" w:hAnsi="Times New Roman"/>
          <w:b/>
          <w:color w:val="000000"/>
          <w:sz w:val="22"/>
        </w:rPr>
        <w:t>4</w:t>
      </w:r>
      <w:r>
        <w:rPr>
          <w:rFonts w:ascii="Times New Roman" w:hAnsi="Times New Roman"/>
          <w:color w:val="000000"/>
          <w:sz w:val="20"/>
        </w:rPr>
        <w:t xml:space="preserve"> </w:t>
      </w:r>
      <w:r>
        <w:rPr>
          <w:rFonts w:ascii="Times New Roman" w:hAnsi="Times New Roman"/>
          <w:color w:val="000000"/>
          <w:sz w:val="22"/>
        </w:rPr>
        <w:t xml:space="preserve">of </w:t>
      </w:r>
      <w:r>
        <w:rPr>
          <w:rFonts w:ascii="Times New Roman" w:hAnsi="Times New Roman"/>
          <w:b/>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Clawback</w:t>
      </w:r>
      <w:r>
        <w:rPr>
          <w:rFonts w:ascii="Times New Roman" w:hAnsi="Times New Roman"/>
          <w:color w:val="000000"/>
          <w:sz w:val="22"/>
        </w:rPr>
        <w:t xml:space="preserve">. You acknowledge and consent to </w:t>
      </w:r>
      <w:r>
        <w:rPr>
          <w:rFonts w:ascii="Times New Roman" w:hAnsi="Times New Roman"/>
          <w:color w:val="000000"/>
          <w:sz w:val="22"/>
          <w:u w:val="single"/>
        </w:rPr>
        <w:t>Section 9(l) of the Plan</w:t>
      </w:r>
      <w:r>
        <w:rPr>
          <w:rFonts w:ascii="Times New Roman" w:hAnsi="Times New Roman"/>
          <w:color w:val="000000"/>
          <w:sz w:val="20"/>
        </w:rPr>
        <w:t xml:space="preserve"> </w:t>
      </w:r>
      <w:r>
        <w:rPr>
          <w:rFonts w:ascii="Times New Roman" w:hAnsi="Times New Roman"/>
          <w:color w:val="000000"/>
          <w:sz w:val="22"/>
        </w:rPr>
        <w:t>regarding clawbacks, and to the Company’s application, implementation, and enforcement of any applicable Company clawback or similar policy that may apply to you, whether adopted before or after the Grant Date, and any term of applicable law relating to clawback, cancellation, recoupment, rescission, payback, or reduction of compensation, and the Company may take such actions as may be necessary to effectuate any such policy or applicable law, without further consideration or 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Electronic Delivery and Acceptance</w:t>
      </w:r>
      <w:r>
        <w:rPr>
          <w:rFonts w:ascii="Times New Roman" w:hAnsi="Times New Roman"/>
          <w:color w:val="000000"/>
          <w:sz w:val="22"/>
        </w:rPr>
        <w:t>. The Company may deliver any documents related to current or future participation in the Plan by electronic means. You consent to receive those documents by electronic delivery and to participate in the Plan through any on-line or electronic system established and maintained by the Company or a third party designated by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12. </w:t>
      </w:r>
      <w:r>
        <w:rPr>
          <w:rFonts w:ascii="Times New Roman" w:hAnsi="Times New Roman"/>
          <w:color w:val="000000"/>
          <w:sz w:val="22"/>
          <w:u w:val="single"/>
        </w:rPr>
        <w:t>Your Representations</w:t>
      </w:r>
      <w:r>
        <w:rPr>
          <w:rFonts w:ascii="Times New Roman" w:hAnsi="Times New Roman"/>
          <w:color w:val="000000"/>
          <w:sz w:val="22"/>
        </w:rPr>
        <w:t>. You represent to the Company that you have read and fully understand this Agreement and the Plan and that your decision to participate in the Plan is completely voluntary. You also acknowledge that you are relying solely on your own advisors regarding the tax consequences of the Award.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EXECUTED effective as of the Grant Date.</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LSB INDUSTRIES, INC., a Delaware corporation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Michael J. Foster</w:t>
      </w:r>
    </w:p>
    <w:p>
      <w:pPr>
        <w:pStyle w:val="TextBody"/>
        <w:bidi w:val="0"/>
        <w:jc w:val="left"/>
        <w:rPr>
          <w:rFonts w:ascii="Times New Roman" w:hAnsi="Times New Roman"/>
          <w:color w:val="000000"/>
          <w:sz w:val="24"/>
        </w:rPr>
      </w:pPr>
      <w:r>
        <w:rPr>
          <w:rFonts w:ascii="Times New Roman" w:hAnsi="Times New Roman"/>
          <w:color w:val="000000"/>
          <w:sz w:val="24"/>
        </w:rPr>
        <w:t>Title: Executive Vice President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PARTICIPANT</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[Name]</w:t>
      </w:r>
    </w:p>
    <w:p>
      <w:pPr>
        <w:pStyle w:val="TextBody"/>
        <w:bidi w:val="0"/>
        <w:jc w:val="center"/>
        <w:rPr>
          <w:rFonts w:ascii="Times New Roman" w:hAnsi="Times New Roman"/>
          <w:i/>
          <w:color w:val="000000"/>
          <w:sz w:val="22"/>
        </w:rPr>
      </w:pPr>
      <w:r>
        <w:rPr>
          <w:rFonts w:ascii="Times New Roman" w:hAnsi="Times New Roman"/>
          <w:i/>
          <w:color w:val="000000"/>
          <w:sz w:val="22"/>
        </w:rPr>
        <w:t>Signature Page to</w:t>
      </w:r>
    </w:p>
    <w:p>
      <w:pPr>
        <w:pStyle w:val="TextBody"/>
        <w:bidi w:val="0"/>
        <w:jc w:val="center"/>
        <w:rPr>
          <w:rFonts w:ascii="Times New Roman" w:hAnsi="Times New Roman"/>
          <w:i/>
          <w:color w:val="000000"/>
          <w:sz w:val="22"/>
        </w:rPr>
      </w:pPr>
      <w:r>
        <w:rPr>
          <w:rFonts w:ascii="Times New Roman" w:hAnsi="Times New Roman"/>
          <w:i/>
          <w:color w:val="000000"/>
          <w:sz w:val="22"/>
        </w:rPr>
        <w:t>RSU Award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0" w:after="480"/>
        <w:jc w:val="center"/>
        <w:rPr>
          <w:rFonts w:ascii="Times New Roman" w:hAnsi="Times New Roman"/>
          <w:b/>
          <w:color w:val="000000"/>
          <w:sz w:val="22"/>
        </w:rPr>
      </w:pPr>
      <w:r>
        <w:rPr>
          <w:rFonts w:ascii="Times New Roman" w:hAnsi="Times New Roman"/>
          <w:b/>
          <w:color w:val="000000"/>
          <w:sz w:val="22"/>
        </w:rPr>
        <w:t>TIME-BASED VESTING RSUs (TRSUs)</w:t>
      </w:r>
    </w:p>
    <w:tbl>
      <w:tblPr>
        <w:tblW w:w="10205" w:type="dxa"/>
        <w:jc w:val="left"/>
        <w:tblInd w:w="0" w:type="dxa"/>
        <w:tblLayout w:type="fixed"/>
        <w:tblCellMar>
          <w:top w:w="28" w:type="dxa"/>
          <w:left w:w="28" w:type="dxa"/>
          <w:bottom w:w="28" w:type="dxa"/>
          <w:right w:w="28" w:type="dxa"/>
        </w:tblCellMar>
      </w:tblPr>
      <w:tblGrid>
        <w:gridCol w:w="1356"/>
        <w:gridCol w:w="8849"/>
      </w:tblGrid>
      <w:tr>
        <w:trPr/>
        <w:tc>
          <w:tcPr>
            <w:tcW w:w="1356" w:type="dxa"/>
            <w:tcBorders/>
            <w:vAlign w:val="center"/>
          </w:tcPr>
          <w:p>
            <w:pPr>
              <w:pStyle w:val="TableContents"/>
              <w:bidi w:val="0"/>
              <w:spacing w:before="0" w:after="283"/>
              <w:jc w:val="left"/>
              <w:rPr>
                <w:sz w:val="4"/>
                <w:szCs w:val="4"/>
              </w:rPr>
            </w:pPr>
            <w:r>
              <w:rPr>
                <w:sz w:val="4"/>
                <w:szCs w:val="4"/>
              </w:rPr>
            </w:r>
          </w:p>
        </w:tc>
        <w:tc>
          <w:tcPr>
            <w:tcW w:w="8849" w:type="dxa"/>
            <w:tcBorders/>
            <w:vAlign w:val="center"/>
          </w:tcPr>
          <w:p>
            <w:pPr>
              <w:pStyle w:val="TableContents"/>
              <w:bidi w:val="0"/>
              <w:spacing w:before="0" w:after="283"/>
              <w:jc w:val="left"/>
              <w:rPr>
                <w:sz w:val="4"/>
                <w:szCs w:val="4"/>
              </w:rPr>
            </w:pPr>
            <w:r>
              <w:rPr>
                <w:sz w:val="4"/>
                <w:szCs w:val="4"/>
              </w:rPr>
            </w:r>
          </w:p>
        </w:tc>
      </w:tr>
      <w:tr>
        <w:trPr/>
        <w:tc>
          <w:tcPr>
            <w:tcW w:w="135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Earning and Payment of TRSUs:</w:t>
            </w:r>
          </w:p>
        </w:tc>
        <w:tc>
          <w:tcPr>
            <w:tcW w:w="884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both"/>
              <w:rPr>
                <w:rFonts w:ascii="Times New Roman" w:hAnsi="Times New Roman"/>
                <w:sz w:val="22"/>
              </w:rPr>
            </w:pPr>
            <w:r>
              <w:rPr>
                <w:rFonts w:ascii="Times New Roman" w:hAnsi="Times New Roman"/>
                <w:color w:val="000000"/>
                <w:sz w:val="22"/>
              </w:rPr>
              <w:t xml:space="preserve">Subject to </w:t>
            </w:r>
            <w:r>
              <w:rPr>
                <w:rFonts w:ascii="Times New Roman" w:hAnsi="Times New Roman"/>
                <w:b/>
                <w:color w:val="000000"/>
                <w:sz w:val="22"/>
              </w:rPr>
              <w:t>Accelerated Payment Events for TRSUs</w:t>
            </w:r>
            <w:r>
              <w:rPr>
                <w:rFonts w:ascii="Times New Roman" w:hAnsi="Times New Roman"/>
                <w:color w:val="000000"/>
                <w:sz w:val="22"/>
              </w:rPr>
              <w:t xml:space="preserve"> below, the TRSUs will become earned and payable as follows, as long as you do not have a Separation from Service before the applicable date: </w:t>
            </w:r>
          </w:p>
          <w:p>
            <w:pPr>
              <w:pStyle w:val="TableContents"/>
              <w:bidi w:val="0"/>
              <w:spacing w:before="0" w:after="240"/>
              <w:jc w:val="both"/>
              <w:rPr/>
            </w:pPr>
            <w:r>
              <w:rPr/>
              <w:drawing>
                <wp:inline distT="0" distB="0" distL="0" distR="0">
                  <wp:extent cx="470535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4705350" cy="1028700"/>
                          </a:xfrm>
                          <a:prstGeom prst="rect">
                            <a:avLst/>
                          </a:prstGeom>
                        </pic:spPr>
                      </pic:pic>
                    </a:graphicData>
                  </a:graphic>
                </wp:inline>
              </w:drawing>
            </w:r>
          </w:p>
          <w:p>
            <w:pPr>
              <w:pStyle w:val="TableContents"/>
              <w:bidi w:val="0"/>
              <w:spacing w:before="0" w:after="240"/>
              <w:jc w:val="both"/>
              <w:rPr>
                <w:rFonts w:ascii="Times New Roman" w:hAnsi="Times New Roman"/>
                <w:i/>
                <w:color w:val="000000"/>
                <w:sz w:val="20"/>
              </w:rPr>
            </w:pPr>
            <w:r>
              <w:rPr>
                <w:rFonts w:ascii="Times New Roman" w:hAnsi="Times New Roman"/>
                <w:i/>
                <w:color w:val="000000"/>
                <w:sz w:val="20"/>
              </w:rPr>
              <w:t>*Any resultant fractional TRSUs will not become earned or payable and will instead be subject to the next earning and payment date.</w:t>
            </w:r>
          </w:p>
        </w:tc>
      </w:tr>
      <w:tr>
        <w:trPr/>
        <w:tc>
          <w:tcPr>
            <w:tcW w:w="135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Accelerated Payment Events for TRSUs:</w:t>
            </w:r>
          </w:p>
        </w:tc>
        <w:tc>
          <w:tcPr>
            <w:tcW w:w="88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As long as (i) you do not incur a Separation from Service until immediately before the occurrence of any of the events listed below and (ii) you hold TRSUs at such time:</w:t>
            </w:r>
          </w:p>
          <w:p>
            <w:pPr>
              <w:pStyle w:val="TableContents"/>
              <w:bidi w:val="0"/>
              <w:spacing w:before="0" w:after="240"/>
              <w:jc w:val="both"/>
              <w:rPr>
                <w:rFonts w:ascii="Times New Roman" w:hAnsi="Times New Roman"/>
                <w:sz w:val="22"/>
              </w:rPr>
            </w:pPr>
            <w:r>
              <w:rPr>
                <w:rFonts w:ascii="Times New Roman" w:hAnsi="Times New Roman"/>
                <w:color w:val="000000"/>
                <w:sz w:val="22"/>
              </w:rPr>
              <w:t>(a) in connection with a Change of Control (“</w:t>
            </w:r>
            <w:r>
              <w:rPr>
                <w:rFonts w:ascii="Times New Roman" w:hAnsi="Times New Roman"/>
                <w:color w:val="000000"/>
                <w:sz w:val="22"/>
                <w:u w:val="single"/>
              </w:rPr>
              <w:t>CoC</w:t>
            </w:r>
            <w:r>
              <w:rPr>
                <w:rFonts w:ascii="Times New Roman" w:hAnsi="Times New Roman"/>
                <w:color w:val="000000"/>
                <w:sz w:val="22"/>
              </w:rPr>
              <w:t xml:space="preserve">”), the TRSUs may be assumed or substituted pursuant to </w:t>
            </w:r>
            <w:r>
              <w:rPr>
                <w:rFonts w:ascii="Times New Roman" w:hAnsi="Times New Roman"/>
                <w:color w:val="000000"/>
                <w:sz w:val="22"/>
                <w:u w:val="single"/>
              </w:rPr>
              <w:t>Section 8(f)(v)(x) of the Plan</w:t>
            </w:r>
            <w:r>
              <w:rPr>
                <w:rFonts w:ascii="Times New Roman" w:hAnsi="Times New Roman"/>
                <w:color w:val="000000"/>
                <w:sz w:val="22"/>
              </w:rPr>
              <w:t xml:space="preserve"> for a Replacement Award (as defined below), in which case the TRSUs will continue to vest in accordance with </w:t>
            </w:r>
            <w:r>
              <w:rPr>
                <w:rFonts w:ascii="Times New Roman" w:hAnsi="Times New Roman"/>
                <w:b/>
                <w:color w:val="000000"/>
                <w:sz w:val="22"/>
              </w:rPr>
              <w:t>Earning and Payment of TRSUs</w:t>
            </w:r>
            <w:r>
              <w:rPr>
                <w:rFonts w:ascii="Times New Roman" w:hAnsi="Times New Roman"/>
                <w:color w:val="000000"/>
                <w:sz w:val="22"/>
              </w:rPr>
              <w:t xml:space="preserve"> above, subject to the terms of this </w:t>
            </w:r>
            <w:r>
              <w:rPr>
                <w:rFonts w:ascii="Times New Roman" w:hAnsi="Times New Roman"/>
                <w:b/>
                <w:color w:val="000000"/>
                <w:sz w:val="22"/>
              </w:rPr>
              <w:t>Accelerated Payment Events for TRSUs</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that if a Replacement Award is issued and after the CoC the securities underlying the Replacement Award cease to be publicly traded on an established securities market, the Replacement Award will vest in full immediately before such securities cease to be publicly traded on an established securities market;</w:t>
            </w:r>
          </w:p>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(b) if any outstanding TRSUs are not assumed or substituted in connection with a CoC for a Replacement Award, all such TRSUs will vest in full upon the CoC;</w:t>
            </w:r>
          </w:p>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(c) all outstanding TRSUs will vest in full if you have a Qualifying Separation from Service (as defined below) either (i) within 90 days before the date a definitive agreement is executed that results in a CoC within 180 days after the date the definitive agreement is executed or (ii) on or within 180 days after the date a definitive agreement is executed that results in a CoC within 180 days after the date the definitive agreement is executed;</w:t>
            </w:r>
          </w:p>
          <w:p>
            <w:pPr>
              <w:pStyle w:val="TableContents"/>
              <w:bidi w:val="0"/>
              <w:spacing w:before="0" w:after="240"/>
              <w:jc w:val="both"/>
              <w:rPr>
                <w:rFonts w:ascii="Times New Roman" w:hAnsi="Times New Roman"/>
                <w:sz w:val="22"/>
              </w:rPr>
            </w:pPr>
            <w:r>
              <w:rPr>
                <w:rFonts w:ascii="Times New Roman" w:hAnsi="Times New Roman"/>
                <w:color w:val="000000"/>
                <w:sz w:val="22"/>
              </w:rPr>
              <w:t xml:space="preserve">(d) all outstanding TRSUs (other than under any Replacement Award) that are scheduled to vest under </w:t>
            </w:r>
            <w:r>
              <w:rPr>
                <w:rFonts w:ascii="Times New Roman" w:hAnsi="Times New Roman"/>
                <w:b/>
                <w:color w:val="000000"/>
                <w:sz w:val="22"/>
              </w:rPr>
              <w:t>Earning and Payment of TRSUs</w:t>
            </w:r>
            <w:r>
              <w:rPr>
                <w:rFonts w:ascii="Times New Roman" w:hAnsi="Times New Roman"/>
                <w:color w:val="000000"/>
                <w:sz w:val="22"/>
              </w:rPr>
              <w:t> above during the 18-month period after your Separation from Service will vest in full if you have a Qualifying Separation from Service before a CoC, and all remaining TRSUs will remain outstanding and eligible to vest pursuant to (c) immediately above, and if no definitive agreement is entered into within 90 days after such Separation from Service as provided in (c), then all such TRSUs (other than under any Replacement Award) will be immediately forfeited;</w:t>
            </w:r>
          </w:p>
        </w:tc>
      </w:tr>
    </w:tbl>
    <w:p>
      <w:pPr>
        <w:pStyle w:val="TextBody"/>
        <w:bidi w:val="0"/>
        <w:jc w:val="center"/>
        <w:rPr>
          <w:rFonts w:ascii="Times New Roman" w:hAnsi="Times New Roman"/>
          <w:color w:val="000000"/>
          <w:sz w:val="22"/>
        </w:rPr>
      </w:pPr>
      <w:r>
        <w:rPr>
          <w:rFonts w:ascii="Times New Roman" w:hAnsi="Times New Roman"/>
          <w:color w:val="000000"/>
          <w:sz w:val="22"/>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7"/>
        <w:gridCol w:w="9698"/>
      </w:tblGrid>
      <w:tr>
        <w:trPr/>
        <w:tc>
          <w:tcPr>
            <w:tcW w:w="507" w:type="dxa"/>
            <w:tcBorders/>
            <w:vAlign w:val="center"/>
          </w:tcPr>
          <w:p>
            <w:pPr>
              <w:pStyle w:val="TableContents"/>
              <w:bidi w:val="0"/>
              <w:spacing w:before="0" w:after="283"/>
              <w:jc w:val="left"/>
              <w:rPr>
                <w:sz w:val="4"/>
                <w:szCs w:val="4"/>
              </w:rPr>
            </w:pPr>
            <w:r>
              <w:rPr>
                <w:sz w:val="4"/>
                <w:szCs w:val="4"/>
              </w:rPr>
            </w:r>
          </w:p>
        </w:tc>
        <w:tc>
          <w:tcPr>
            <w:tcW w:w="9698" w:type="dxa"/>
            <w:tcBorders/>
            <w:vAlign w:val="center"/>
          </w:tcPr>
          <w:p>
            <w:pPr>
              <w:pStyle w:val="TableContents"/>
              <w:bidi w:val="0"/>
              <w:spacing w:before="0" w:after="283"/>
              <w:jc w:val="left"/>
              <w:rPr>
                <w:sz w:val="4"/>
                <w:szCs w:val="4"/>
              </w:rPr>
            </w:pPr>
            <w:r>
              <w:rPr>
                <w:sz w:val="4"/>
                <w:szCs w:val="4"/>
              </w:rPr>
            </w:r>
          </w:p>
        </w:tc>
      </w:tr>
      <w:tr>
        <w:trPr/>
        <w:tc>
          <w:tcPr>
            <w:tcW w:w="50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ind w:left="0" w:right="0" w:firstLine="346"/>
              <w:jc w:val="left"/>
              <w:rPr/>
            </w:pPr>
            <w:r>
              <w:rPr/>
              <w:t> </w:t>
            </w:r>
          </w:p>
        </w:tc>
        <w:tc>
          <w:tcPr>
            <w:tcW w:w="969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ind w:left="0" w:right="0" w:firstLine="346"/>
              <w:jc w:val="both"/>
              <w:rPr>
                <w:rFonts w:ascii="Times New Roman" w:hAnsi="Times New Roman"/>
                <w:color w:val="000000"/>
                <w:sz w:val="22"/>
              </w:rPr>
            </w:pPr>
            <w:r>
              <w:rPr>
                <w:rFonts w:ascii="Times New Roman" w:hAnsi="Times New Roman"/>
                <w:color w:val="000000"/>
                <w:sz w:val="22"/>
              </w:rPr>
              <w:t>(e) a pro-rata portion of the TRSUs and each Replacement Award, as applicable, will vest upon your Separation from Service due to your Disability or death, calculated by multiplying the number of TRSUs or shares underlying any Replacement Award scheduled to vest on the anniversary of the Grant Date immediately after your Separation from Service by a fraction, the numerator of which is the number of days that have elapsed from the last anniversary of the Grant Date (or if the Separation from Service occurs before the 1st anniversary of the Grant Date, then the number of days that have elapsed from the Grant Date) through your Separation from Service, and the denominator of which will be 365; and</w:t>
            </w:r>
          </w:p>
          <w:p>
            <w:pPr>
              <w:pStyle w:val="TableContents"/>
              <w:bidi w:val="0"/>
              <w:spacing w:before="0" w:after="240"/>
              <w:ind w:left="0" w:right="0" w:firstLine="346"/>
              <w:jc w:val="both"/>
              <w:rPr>
                <w:rFonts w:ascii="Times New Roman" w:hAnsi="Times New Roman"/>
                <w:color w:val="000000"/>
                <w:sz w:val="22"/>
              </w:rPr>
            </w:pPr>
            <w:r>
              <w:rPr>
                <w:rFonts w:ascii="Times New Roman" w:hAnsi="Times New Roman"/>
                <w:color w:val="000000"/>
                <w:sz w:val="22"/>
              </w:rPr>
              <w:t>(f) all Replacement Awards will vest in full upon your Qualifying Separation from Service.</w:t>
            </w:r>
          </w:p>
          <w:p>
            <w:pPr>
              <w:pStyle w:val="TableContents"/>
              <w:bidi w:val="0"/>
              <w:spacing w:before="0" w:after="240"/>
              <w:ind w:left="0" w:right="0" w:firstLine="346"/>
              <w:jc w:val="both"/>
              <w:rPr/>
            </w:pPr>
            <w:r>
              <w:rPr>
                <w:color w:val="000000"/>
              </w:rPr>
              <w:t>“</w:t>
            </w:r>
            <w:r>
              <w:rPr>
                <w:rFonts w:ascii="Times New Roman" w:hAnsi="Times New Roman"/>
                <w:color w:val="000000"/>
                <w:sz w:val="22"/>
                <w:u w:val="single"/>
              </w:rPr>
              <w:t>Replacement Award</w:t>
            </w:r>
            <w:r>
              <w:rPr>
                <w:rFonts w:ascii="Times New Roman" w:hAnsi="Times New Roman"/>
                <w:color w:val="000000"/>
                <w:sz w:val="22"/>
              </w:rPr>
              <w:t>” means an award of restricted stock units in respect of common stock that is publicly traded on an established securities market with substantially equivalent terms as the replaced RSUs, including vesting terms and dividend equivalent rights, issued by the surviving or successor company or a parent or subsidiary of such company.</w:t>
            </w:r>
          </w:p>
          <w:p>
            <w:pPr>
              <w:pStyle w:val="TableContents"/>
              <w:bidi w:val="0"/>
              <w:spacing w:before="0" w:after="240"/>
              <w:ind w:left="0" w:right="0" w:firstLine="346"/>
              <w:jc w:val="both"/>
              <w:rPr/>
            </w:pPr>
            <w:r>
              <w:rPr>
                <w:color w:val="000000"/>
              </w:rPr>
              <w:t>“</w:t>
            </w:r>
            <w:r>
              <w:rPr>
                <w:rFonts w:ascii="Times New Roman" w:hAnsi="Times New Roman"/>
                <w:color w:val="000000"/>
                <w:sz w:val="22"/>
                <w:u w:val="single"/>
              </w:rPr>
              <w:t>Qualifying Separation from Service</w:t>
            </w:r>
            <w:r>
              <w:rPr>
                <w:rFonts w:ascii="Times New Roman" w:hAnsi="Times New Roman"/>
                <w:color w:val="000000"/>
                <w:sz w:val="22"/>
              </w:rPr>
              <w:t>” means a Separation from Service (i) by the Company without Cause (including a notice of non-renewal of your Employment Agreement by the Company) or (ii) by you for Good Reason.</w:t>
            </w:r>
          </w:p>
        </w:tc>
      </w:tr>
    </w:tbl>
    <w:p>
      <w:pPr>
        <w:pStyle w:val="TextBody"/>
        <w:bidi w:val="0"/>
        <w:spacing w:before="480" w:after="48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jc w:val="center"/>
        <w:rPr>
          <w:rFonts w:ascii="Times New Roman" w:hAnsi="Times New Roman"/>
          <w:b/>
          <w:color w:val="000000"/>
          <w:sz w:val="22"/>
        </w:rPr>
      </w:pPr>
      <w:r>
        <w:rPr>
          <w:rFonts w:ascii="Times New Roman" w:hAnsi="Times New Roman"/>
          <w:b/>
          <w:color w:val="000000"/>
          <w:sz w:val="22"/>
        </w:rPr>
        <w:t>PERFORMANCE-BASED VESTING RSUs (PRSUs)</w:t>
      </w:r>
    </w:p>
    <w:tbl>
      <w:tblPr>
        <w:tblW w:w="10205" w:type="dxa"/>
        <w:jc w:val="left"/>
        <w:tblInd w:w="0" w:type="dxa"/>
        <w:tblLayout w:type="fixed"/>
        <w:tblCellMar>
          <w:top w:w="28" w:type="dxa"/>
          <w:left w:w="28" w:type="dxa"/>
          <w:bottom w:w="28" w:type="dxa"/>
          <w:right w:w="28" w:type="dxa"/>
        </w:tblCellMar>
      </w:tblPr>
      <w:tblGrid>
        <w:gridCol w:w="1313"/>
        <w:gridCol w:w="8892"/>
      </w:tblGrid>
      <w:tr>
        <w:trPr/>
        <w:tc>
          <w:tcPr>
            <w:tcW w:w="1313" w:type="dxa"/>
            <w:tcBorders/>
            <w:vAlign w:val="center"/>
          </w:tcPr>
          <w:p>
            <w:pPr>
              <w:pStyle w:val="TableContents"/>
              <w:bidi w:val="0"/>
              <w:spacing w:before="0" w:after="283"/>
              <w:jc w:val="left"/>
              <w:rPr>
                <w:sz w:val="4"/>
                <w:szCs w:val="4"/>
              </w:rPr>
            </w:pPr>
            <w:r>
              <w:rPr>
                <w:sz w:val="4"/>
                <w:szCs w:val="4"/>
              </w:rPr>
            </w:r>
          </w:p>
        </w:tc>
        <w:tc>
          <w:tcPr>
            <w:tcW w:w="8892" w:type="dxa"/>
            <w:tcBorders/>
            <w:vAlign w:val="center"/>
          </w:tcPr>
          <w:p>
            <w:pPr>
              <w:pStyle w:val="TableContents"/>
              <w:bidi w:val="0"/>
              <w:spacing w:before="0" w:after="283"/>
              <w:jc w:val="left"/>
              <w:rPr>
                <w:sz w:val="4"/>
                <w:szCs w:val="4"/>
              </w:rPr>
            </w:pPr>
            <w:r>
              <w:rPr>
                <w:sz w:val="4"/>
                <w:szCs w:val="4"/>
              </w:rPr>
            </w:r>
          </w:p>
        </w:tc>
      </w:tr>
      <w:tr>
        <w:trPr/>
        <w:tc>
          <w:tcPr>
            <w:tcW w:w="131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Earning and Payment of PRSUs:</w:t>
            </w:r>
          </w:p>
        </w:tc>
        <w:tc>
          <w:tcPr>
            <w:tcW w:w="889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Structure:</w:t>
            </w:r>
          </w:p>
          <w:p>
            <w:pPr>
              <w:pStyle w:val="TableContents"/>
              <w:bidi w:val="0"/>
              <w:spacing w:before="0" w:after="240"/>
              <w:jc w:val="both"/>
              <w:rPr>
                <w:color w:val="000000"/>
              </w:rPr>
            </w:pPr>
            <w:r>
              <w:rPr>
                <w:color w:val="000000"/>
              </w:rPr>
              <w:t>•</w:t>
            </w:r>
          </w:p>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Performance-based (“PSU”) – vested at the end of three years. If the three year anniversary of the Grant Date falls on a weekend or a holiday, then the PRSUs will become earned and payable on the next following business day.</w:t>
            </w:r>
          </w:p>
          <w:p>
            <w:pPr>
              <w:pStyle w:val="TableContents"/>
              <w:bidi w:val="0"/>
              <w:jc w:val="left"/>
              <w:rPr>
                <w:rFonts w:ascii="Times New Roman" w:hAnsi="Times New Roman"/>
                <w:b/>
                <w:color w:val="000000"/>
                <w:sz w:val="22"/>
              </w:rPr>
            </w:pPr>
            <w:r>
              <w:rPr>
                <w:rFonts w:ascii="Times New Roman" w:hAnsi="Times New Roman"/>
                <w:b/>
                <w:color w:val="000000"/>
                <w:sz w:val="22"/>
              </w:rPr>
              <w:t>Performance Metrics for PSU portion:</w:t>
            </w:r>
          </w:p>
          <w:p>
            <w:pPr>
              <w:pStyle w:val="TableContents"/>
              <w:bidi w:val="0"/>
              <w:spacing w:before="0" w:after="240"/>
              <w:jc w:val="both"/>
              <w:rPr>
                <w:color w:val="000000"/>
              </w:rPr>
            </w:pPr>
            <w:r>
              <w:rPr>
                <w:color w:val="000000"/>
              </w:rPr>
              <w:t>•</w:t>
            </w:r>
          </w:p>
          <w:p>
            <w:pPr>
              <w:pStyle w:val="TableContents"/>
              <w:bidi w:val="0"/>
              <w:spacing w:before="0" w:after="240"/>
              <w:jc w:val="both"/>
              <w:rPr/>
            </w:pPr>
            <w:r>
              <w:rPr>
                <w:rFonts w:ascii="Times New Roman" w:hAnsi="Times New Roman"/>
                <w:color w:val="000000"/>
                <w:sz w:val="22"/>
              </w:rPr>
              <w:t>100% Total Shareholder Return (“TSR”) measured annually with award % earned and banked annually and measured at the end of the three-year period and adjusted upward if appropriate Vesting of the performance shares of restricted unit awards granted as part of the Participant’s compensation is based on the market price performance of the Common Stock or total stock return “(TSR”) at the completion of the time-vesting period. The percentage of performance shares of restricted unit awards that vest is dependent on Common Stock appreciation as compared to a peer group</w:t>
            </w:r>
            <w:r>
              <w:rPr>
                <w:rFonts w:ascii="Times New Roman" w:hAnsi="Times New Roman"/>
                <w:color w:val="000000"/>
                <w:sz w:val="15"/>
              </w:rPr>
              <w:t>1</w:t>
            </w:r>
            <w:r>
              <w:rPr>
                <w:rFonts w:ascii="Times New Roman" w:hAnsi="Times New Roman"/>
                <w:color w:val="000000"/>
                <w:sz w:val="22"/>
              </w:rPr>
              <w:t>, as set forth in each unit restriction agreement. If the Company’s stock appreciation as compared to the peer group is between the prescribed threshold and maximum percentages, the restricted unit will partially vest on a pro rata basis. Furthermore, with respect to restricted unit awards granted herein, the vested shares outlined below shall be capped at target if the company TSR for the three-year period is negative.</w:t>
            </w:r>
          </w:p>
          <w:p>
            <w:pPr>
              <w:pStyle w:val="TableContents"/>
              <w:bidi w:val="0"/>
              <w:jc w:val="left"/>
              <w:rPr/>
            </w:pPr>
            <w:r>
              <w:rPr/>
              <w:drawing>
                <wp:inline distT="0" distB="0" distL="0" distR="0">
                  <wp:extent cx="5124450" cy="1247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5124450" cy="1247775"/>
                          </a:xfrm>
                          <a:prstGeom prst="rect">
                            <a:avLst/>
                          </a:prstGeom>
                        </pic:spPr>
                      </pic:pic>
                    </a:graphicData>
                  </a:graphic>
                </wp:inline>
              </w:drawing>
            </w:r>
          </w:p>
          <w:p>
            <w:pPr>
              <w:pStyle w:val="TableContents"/>
              <w:bidi w:val="0"/>
              <w:jc w:val="both"/>
              <w:rPr/>
            </w:pPr>
            <w:r>
              <w:rPr/>
              <w:t> </w:t>
            </w:r>
          </w:p>
          <w:p>
            <w:pPr>
              <w:pStyle w:val="TableContents"/>
              <w:bidi w:val="0"/>
              <w:jc w:val="both"/>
              <w:rPr>
                <w:rFonts w:ascii="Times New Roman" w:hAnsi="Times New Roman"/>
                <w:i/>
                <w:color w:val="000000"/>
                <w:sz w:val="18"/>
              </w:rPr>
            </w:pPr>
            <w:r>
              <w:rPr>
                <w:rFonts w:ascii="Times New Roman" w:hAnsi="Times New Roman"/>
                <w:i/>
                <w:color w:val="000000"/>
                <w:sz w:val="18"/>
              </w:rPr>
              <w:t>(1) For TSR performance metric the LSB peer group includes AdvanSix, American Vanguard, The Andersons, CF, Chemtrade Logistics, Compass Minerals, CVR, Ecovyst, ICL Group, Intrepid Potash, Methanex, Mosaic, Nutrien, OCI, and Yara.</w:t>
            </w:r>
          </w:p>
          <w:p>
            <w:pPr>
              <w:pStyle w:val="TableContents"/>
              <w:bidi w:val="0"/>
              <w:spacing w:before="0" w:after="283"/>
              <w:jc w:val="both"/>
              <w:rPr/>
            </w:pPr>
            <w:r>
              <w:rPr/>
              <w:t> </w:t>
            </w:r>
          </w:p>
        </w:tc>
      </w:tr>
      <w:tr>
        <w:trPr/>
        <w:tc>
          <w:tcPr>
            <w:tcW w:w="1313"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Accelerated Payment Events for PRSUs:</w:t>
            </w:r>
          </w:p>
        </w:tc>
        <w:tc>
          <w:tcPr>
            <w:tcW w:w="889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As long as (i) you do not incur a Separation from Service until immediately before the occurrence of any of the events listed below and (ii) you hold PRSUs at such time:</w:t>
            </w:r>
          </w:p>
          <w:p>
            <w:pPr>
              <w:pStyle w:val="TableContents"/>
              <w:bidi w:val="0"/>
              <w:spacing w:before="0" w:after="240"/>
              <w:jc w:val="both"/>
              <w:rPr>
                <w:rFonts w:ascii="Times New Roman" w:hAnsi="Times New Roman"/>
                <w:sz w:val="22"/>
              </w:rPr>
            </w:pPr>
            <w:r>
              <w:rPr>
                <w:rFonts w:ascii="Times New Roman" w:hAnsi="Times New Roman"/>
                <w:color w:val="000000"/>
                <w:sz w:val="22"/>
              </w:rPr>
              <w:t>(a) if a CoC occurs before the end of the Performance Period, then the portion of the Target PRSUs that is earned under this Agreement will be determined by the Committee immediately before the CoC and will equal the greater of (x) the number of Target PRSUs and (y) the portion of the Target PRSUs that is earned under this Agreement based on actual performance, as determined by the Committee before the CoC by (1) shortening the Performance Period to end on the date of the CoC, (2) adjusting the applicable performance goals set forth immediately above as appropriate based on the shortened Performance Period, and (3) determining the level of achievement of such goals based on such shortened Performance Period ((x) or (y), as applicable, the “</w:t>
            </w:r>
            <w:r>
              <w:rPr>
                <w:rFonts w:ascii="Times New Roman" w:hAnsi="Times New Roman"/>
                <w:color w:val="000000"/>
                <w:sz w:val="22"/>
                <w:u w:val="single"/>
              </w:rPr>
              <w:t>CoC PRSUs</w:t>
            </w:r>
            <w:r>
              <w:rPr>
                <w:rFonts w:ascii="Times New Roman" w:hAnsi="Times New Roman"/>
                <w:color w:val="000000"/>
                <w:sz w:val="22"/>
              </w:rPr>
              <w:t>”);</w:t>
            </w:r>
          </w:p>
          <w:p>
            <w:pPr>
              <w:pStyle w:val="TableContents"/>
              <w:bidi w:val="0"/>
              <w:spacing w:before="0" w:after="283"/>
              <w:jc w:val="both"/>
              <w:rPr>
                <w:rFonts w:ascii="Times New Roman" w:hAnsi="Times New Roman"/>
                <w:sz w:val="22"/>
              </w:rPr>
            </w:pPr>
            <w:r>
              <w:rPr>
                <w:rFonts w:ascii="Times New Roman" w:hAnsi="Times New Roman"/>
                <w:color w:val="000000"/>
                <w:sz w:val="22"/>
              </w:rPr>
              <w:t xml:space="preserve">(b) in connection with a CoC, the CoC PRSUs may be assumed or substituted pursuant to </w:t>
            </w:r>
            <w:r>
              <w:rPr>
                <w:rFonts w:ascii="Times New Roman" w:hAnsi="Times New Roman"/>
                <w:color w:val="000000"/>
                <w:sz w:val="22"/>
                <w:u w:val="single"/>
              </w:rPr>
              <w:t>Section 8(f)(v)(x) of the Plan</w:t>
            </w:r>
            <w:r>
              <w:rPr>
                <w:rFonts w:ascii="Times New Roman" w:hAnsi="Times New Roman"/>
                <w:color w:val="000000"/>
                <w:sz w:val="22"/>
              </w:rPr>
              <w:t xml:space="preserve"> for a Replacement Award, </w:t>
            </w:r>
            <w:r>
              <w:rPr>
                <w:rFonts w:ascii="Times New Roman" w:hAnsi="Times New Roman"/>
                <w:color w:val="000000"/>
                <w:sz w:val="22"/>
                <w:u w:val="single"/>
              </w:rPr>
              <w:t>provided</w:t>
            </w:r>
            <w:r>
              <w:rPr>
                <w:rFonts w:ascii="Times New Roman" w:hAnsi="Times New Roman"/>
                <w:color w:val="000000"/>
                <w:sz w:val="22"/>
              </w:rPr>
              <w:t xml:space="preserve"> that any Replacement Award will vest solely based on your continued service with the Company and its Subsidiaries through the last day of the original Performance Period;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w:t>
            </w:r>
          </w:p>
        </w:tc>
      </w:tr>
    </w:tbl>
    <w:p>
      <w:pPr>
        <w:pStyle w:val="TextBody"/>
        <w:bidi w:val="0"/>
        <w:jc w:val="center"/>
        <w:rPr>
          <w:rFonts w:ascii="Times New Roman" w:hAnsi="Times New Roman"/>
          <w:color w:val="000000"/>
          <w:sz w:val="22"/>
        </w:rPr>
      </w:pPr>
      <w:r>
        <w:rPr>
          <w:rFonts w:ascii="Times New Roman" w:hAnsi="Times New Roman"/>
          <w:color w:val="000000"/>
          <w:sz w:val="22"/>
        </w:rPr>
        <w:t>A-3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7"/>
        <w:gridCol w:w="9698"/>
      </w:tblGrid>
      <w:tr>
        <w:trPr/>
        <w:tc>
          <w:tcPr>
            <w:tcW w:w="507" w:type="dxa"/>
            <w:tcBorders/>
            <w:vAlign w:val="center"/>
          </w:tcPr>
          <w:p>
            <w:pPr>
              <w:pStyle w:val="TableContents"/>
              <w:bidi w:val="0"/>
              <w:spacing w:before="0" w:after="283"/>
              <w:jc w:val="left"/>
              <w:rPr>
                <w:sz w:val="4"/>
                <w:szCs w:val="4"/>
              </w:rPr>
            </w:pPr>
            <w:r>
              <w:rPr>
                <w:sz w:val="4"/>
                <w:szCs w:val="4"/>
              </w:rPr>
            </w:r>
          </w:p>
        </w:tc>
        <w:tc>
          <w:tcPr>
            <w:tcW w:w="9698" w:type="dxa"/>
            <w:tcBorders/>
            <w:vAlign w:val="center"/>
          </w:tcPr>
          <w:p>
            <w:pPr>
              <w:pStyle w:val="TableContents"/>
              <w:bidi w:val="0"/>
              <w:spacing w:before="0" w:after="283"/>
              <w:jc w:val="left"/>
              <w:rPr>
                <w:sz w:val="4"/>
                <w:szCs w:val="4"/>
              </w:rPr>
            </w:pPr>
            <w:r>
              <w:rPr>
                <w:sz w:val="4"/>
                <w:szCs w:val="4"/>
              </w:rPr>
            </w:r>
          </w:p>
        </w:tc>
      </w:tr>
      <w:tr>
        <w:trPr/>
        <w:tc>
          <w:tcPr>
            <w:tcW w:w="50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ind w:left="0" w:right="0" w:firstLine="346"/>
              <w:jc w:val="left"/>
              <w:rPr/>
            </w:pPr>
            <w:r>
              <w:rPr/>
              <w:t> </w:t>
            </w:r>
          </w:p>
        </w:tc>
        <w:tc>
          <w:tcPr>
            <w:tcW w:w="969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ind w:left="0" w:right="0" w:firstLine="346"/>
              <w:jc w:val="both"/>
              <w:rPr>
                <w:rFonts w:ascii="Times New Roman" w:hAnsi="Times New Roman"/>
                <w:color w:val="000000"/>
                <w:sz w:val="22"/>
              </w:rPr>
            </w:pPr>
            <w:r>
              <w:rPr>
                <w:rFonts w:ascii="Times New Roman" w:hAnsi="Times New Roman"/>
                <w:color w:val="000000"/>
                <w:sz w:val="22"/>
              </w:rPr>
              <w:t>that if a Replacement Award is issued and after the CoC the equity securities underlying the Replacement Award cease to be publicly traded on an established securities market, the Replacement Award will vest in full immediately prior to such equity securities ceasing to be publicly traded on an established securities market;</w:t>
            </w:r>
          </w:p>
          <w:p>
            <w:pPr>
              <w:pStyle w:val="TableContents"/>
              <w:bidi w:val="0"/>
              <w:spacing w:before="0" w:after="240"/>
              <w:ind w:left="0" w:right="0" w:firstLine="346"/>
              <w:jc w:val="both"/>
              <w:rPr>
                <w:rFonts w:ascii="Times New Roman" w:hAnsi="Times New Roman"/>
                <w:color w:val="000000"/>
                <w:sz w:val="22"/>
              </w:rPr>
            </w:pPr>
            <w:r>
              <w:rPr>
                <w:rFonts w:ascii="Times New Roman" w:hAnsi="Times New Roman"/>
                <w:color w:val="000000"/>
                <w:sz w:val="22"/>
              </w:rPr>
              <w:t>(c) if the CoC PRSUs are not assumed or substituted in connection with a CoC with a Replacement Award, the CoC PRSUs will vest in full upon a CoC such that you may participate as a Stockholder in such CoC or, if determined by the Committee, the value of such CoC PRSUs may be paid to you in cash;</w:t>
            </w:r>
          </w:p>
          <w:p>
            <w:pPr>
              <w:pStyle w:val="TableContents"/>
              <w:bidi w:val="0"/>
              <w:spacing w:before="0" w:after="240"/>
              <w:ind w:left="0" w:right="0" w:firstLine="346"/>
              <w:jc w:val="both"/>
              <w:rPr>
                <w:rFonts w:ascii="Times New Roman" w:hAnsi="Times New Roman"/>
                <w:color w:val="000000"/>
                <w:sz w:val="22"/>
              </w:rPr>
            </w:pPr>
            <w:r>
              <w:rPr>
                <w:rFonts w:ascii="Times New Roman" w:hAnsi="Times New Roman"/>
                <w:color w:val="000000"/>
                <w:sz w:val="22"/>
              </w:rPr>
              <w:t>(d) all Replacement Awards will vest in full upon your Qualifying Separation from Service;</w:t>
            </w:r>
          </w:p>
          <w:p>
            <w:pPr>
              <w:pStyle w:val="TableContents"/>
              <w:bidi w:val="0"/>
              <w:spacing w:before="0" w:after="240"/>
              <w:ind w:left="0" w:right="0" w:firstLine="346"/>
              <w:jc w:val="both"/>
              <w:rPr>
                <w:rFonts w:ascii="Times New Roman" w:hAnsi="Times New Roman"/>
                <w:color w:val="000000"/>
                <w:sz w:val="22"/>
              </w:rPr>
            </w:pPr>
            <w:r>
              <w:rPr>
                <w:rFonts w:ascii="Times New Roman" w:hAnsi="Times New Roman"/>
                <w:color w:val="000000"/>
                <w:sz w:val="22"/>
              </w:rPr>
              <w:t>(e) the CoC PRSUs will vest in full if you have a Qualifying Separation from Service either (i) within 90 days before the date a definitive agreement is executed that results in a CoC within 180 days after the date such definitive agreement is executed or (ii) on or within 180 days after the date a definitive agreement is executed that results in a CoC within 180 days after the date such definitive agreement is executed, and the value of such CoC PRSUs may be paid to you in cash;</w:t>
            </w:r>
          </w:p>
          <w:p>
            <w:pPr>
              <w:pStyle w:val="TableContents"/>
              <w:bidi w:val="0"/>
              <w:spacing w:before="0" w:after="240"/>
              <w:ind w:left="0" w:right="0" w:firstLine="346"/>
              <w:jc w:val="both"/>
              <w:rPr>
                <w:rFonts w:ascii="Times New Roman" w:hAnsi="Times New Roman"/>
                <w:sz w:val="22"/>
              </w:rPr>
            </w:pPr>
            <w:r>
              <w:rPr>
                <w:rFonts w:ascii="Times New Roman" w:hAnsi="Times New Roman"/>
                <w:color w:val="000000"/>
                <w:sz w:val="22"/>
              </w:rPr>
              <w:t xml:space="preserve">(f) if you incur a Separation from Service due to your Disability or death before a CoC, at the end of the Performance Period (or the date of the consummation of a CoC, if earlier, where there is no Replacement Award), you will vest in a pro-rata portion of the Target PRSUs based on actual performance, as determined by the Committee at the end of the Performance Period (or the date of the consummation of a CoC, if earlier) based on the level of achievement of the applicable performance measures for the Performance Period, as adjusted pursuant to clause (a) of this </w:t>
            </w:r>
            <w:r>
              <w:rPr>
                <w:rFonts w:ascii="Times New Roman" w:hAnsi="Times New Roman"/>
                <w:b/>
                <w:color w:val="000000"/>
                <w:sz w:val="22"/>
              </w:rPr>
              <w:t>Accelerated Payment Events for PRSUs</w:t>
            </w:r>
            <w:r>
              <w:rPr>
                <w:rFonts w:ascii="Times New Roman" w:hAnsi="Times New Roman"/>
                <w:color w:val="000000"/>
                <w:sz w:val="22"/>
              </w:rPr>
              <w:t xml:space="preserve">, with such pro-rata portion calculated by multiplying the number of Target PRSUs that is earned under this Agreement, if any, by a fraction, the numerator of which is the number of days that have elapsed from the beginning of the Performance Period through your Separation from Service and the denominator of which will be the total number of days in the Performance Period (or, if a CoC occurs before the end of the Performance Period and there is no Replacement Award, the total number of days from the beginning of the Performance Period through the date of the CoC); </w:t>
            </w:r>
            <w:r>
              <w:rPr>
                <w:rFonts w:ascii="Times New Roman" w:hAnsi="Times New Roman"/>
                <w:color w:val="000000"/>
                <w:sz w:val="22"/>
                <w:u w:val="single"/>
              </w:rPr>
              <w:t>provided</w:t>
            </w:r>
            <w:r>
              <w:rPr>
                <w:rFonts w:ascii="Times New Roman" w:hAnsi="Times New Roman"/>
                <w:color w:val="000000"/>
                <w:sz w:val="22"/>
              </w:rPr>
              <w:t> that if there is earlier vesting upon a CoC where there is no Replacement Award, the value of the vested PRSUs may be paid to you in cash;</w:t>
            </w:r>
          </w:p>
          <w:p>
            <w:pPr>
              <w:pStyle w:val="TableContents"/>
              <w:bidi w:val="0"/>
              <w:spacing w:before="0" w:after="240"/>
              <w:ind w:left="0" w:right="0" w:firstLine="346"/>
              <w:jc w:val="both"/>
              <w:rPr>
                <w:rFonts w:ascii="Times New Roman" w:hAnsi="Times New Roman"/>
                <w:color w:val="000000"/>
                <w:sz w:val="22"/>
              </w:rPr>
            </w:pPr>
            <w:r>
              <w:rPr>
                <w:rFonts w:ascii="Times New Roman" w:hAnsi="Times New Roman"/>
                <w:color w:val="000000"/>
                <w:sz w:val="22"/>
              </w:rPr>
              <w:t>(g) a pro-rata portion of any Replacement Award will vest upon the your Separation from Service due to your Disability or death at the end of the Performance Period (or, if earlier, upon a subsequent CoC), with such pro-rata portion calculated by multiplying the number of shares covered by the Replacement Award by a fraction, the numerator of which is the number of days that have elapsed from the beginning of the Performance Period through your Separation from Service and the denominator of which is the total number of days in the Performance Period; and</w:t>
            </w:r>
          </w:p>
          <w:p>
            <w:pPr>
              <w:pStyle w:val="TableContents"/>
              <w:bidi w:val="0"/>
              <w:spacing w:before="0" w:after="283"/>
              <w:ind w:left="0" w:right="0" w:firstLine="346"/>
              <w:jc w:val="both"/>
              <w:rPr>
                <w:rFonts w:ascii="Times New Roman" w:hAnsi="Times New Roman"/>
                <w:sz w:val="22"/>
              </w:rPr>
            </w:pPr>
            <w:r>
              <w:rPr>
                <w:rFonts w:ascii="Times New Roman" w:hAnsi="Times New Roman"/>
                <w:color w:val="000000"/>
                <w:sz w:val="22"/>
              </w:rPr>
              <w:t xml:space="preserve">(h) if, before a CoC, you incur a Qualifying Separation from Service, you will vest at the end of the Performance Period (or the date of a CoC, if earlier, where there is no Replacement Award) in a pro-rata portion of the Target PRSUs, with such pro-rata portion calculated by multiplying (i) the number of Target PRSUs that is earned under this Agreement, if any, based on actual performance, determined at the end of the Performance Period (or the date of the CoC, if earlier) based on the level of achievement of the applicable performance measures for the Performance Period, as adjusted pursuant to clause (a) of this </w:t>
            </w:r>
            <w:r>
              <w:rPr>
                <w:rFonts w:ascii="Times New Roman" w:hAnsi="Times New Roman"/>
                <w:b/>
                <w:color w:val="000000"/>
                <w:sz w:val="22"/>
              </w:rPr>
              <w:t>Accelerated Payment Events for PRSUs</w:t>
            </w:r>
            <w:r>
              <w:rPr>
                <w:rFonts w:ascii="Times New Roman" w:hAnsi="Times New Roman"/>
                <w:color w:val="000000"/>
                <w:sz w:val="22"/>
              </w:rPr>
              <w:t xml:space="preserve">, by (ii) a fraction, the numerator of which is the number of days that have elapsed from the beginning of the </w:t>
            </w:r>
          </w:p>
        </w:tc>
      </w:tr>
    </w:tbl>
    <w:p>
      <w:pPr>
        <w:pStyle w:val="TextBody"/>
        <w:bidi w:val="0"/>
        <w:jc w:val="center"/>
        <w:rPr>
          <w:rFonts w:ascii="Times New Roman" w:hAnsi="Times New Roman"/>
          <w:color w:val="000000"/>
          <w:sz w:val="22"/>
        </w:rPr>
      </w:pPr>
      <w:r>
        <w:rPr>
          <w:rFonts w:ascii="Times New Roman" w:hAnsi="Times New Roman"/>
          <w:color w:val="000000"/>
          <w:sz w:val="22"/>
        </w:rPr>
        <w:t>A-4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7"/>
        <w:gridCol w:w="9698"/>
      </w:tblGrid>
      <w:tr>
        <w:trPr/>
        <w:tc>
          <w:tcPr>
            <w:tcW w:w="507" w:type="dxa"/>
            <w:tcBorders/>
            <w:vAlign w:val="center"/>
          </w:tcPr>
          <w:p>
            <w:pPr>
              <w:pStyle w:val="TableContents"/>
              <w:bidi w:val="0"/>
              <w:spacing w:before="0" w:after="283"/>
              <w:jc w:val="left"/>
              <w:rPr>
                <w:sz w:val="4"/>
                <w:szCs w:val="4"/>
              </w:rPr>
            </w:pPr>
            <w:r>
              <w:rPr>
                <w:sz w:val="4"/>
                <w:szCs w:val="4"/>
              </w:rPr>
            </w:r>
          </w:p>
        </w:tc>
        <w:tc>
          <w:tcPr>
            <w:tcW w:w="9698" w:type="dxa"/>
            <w:tcBorders/>
            <w:vAlign w:val="center"/>
          </w:tcPr>
          <w:p>
            <w:pPr>
              <w:pStyle w:val="TableContents"/>
              <w:bidi w:val="0"/>
              <w:spacing w:before="0" w:after="283"/>
              <w:jc w:val="left"/>
              <w:rPr>
                <w:sz w:val="4"/>
                <w:szCs w:val="4"/>
              </w:rPr>
            </w:pPr>
            <w:r>
              <w:rPr>
                <w:sz w:val="4"/>
                <w:szCs w:val="4"/>
              </w:rPr>
            </w:r>
          </w:p>
        </w:tc>
      </w:tr>
      <w:tr>
        <w:trPr/>
        <w:tc>
          <w:tcPr>
            <w:tcW w:w="50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ind w:left="0" w:right="0" w:firstLine="346"/>
              <w:jc w:val="left"/>
              <w:rPr/>
            </w:pPr>
            <w:r>
              <w:rPr/>
              <w:t> </w:t>
            </w:r>
          </w:p>
        </w:tc>
        <w:tc>
          <w:tcPr>
            <w:tcW w:w="969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ind w:left="0" w:right="0" w:firstLine="346"/>
              <w:jc w:val="both"/>
              <w:rPr>
                <w:rFonts w:ascii="Times New Roman" w:hAnsi="Times New Roman"/>
                <w:sz w:val="22"/>
              </w:rPr>
            </w:pPr>
            <w:r>
              <w:rPr>
                <w:rFonts w:ascii="Times New Roman" w:hAnsi="Times New Roman"/>
                <w:color w:val="000000"/>
                <w:sz w:val="22"/>
              </w:rPr>
              <w:t xml:space="preserve">Performance Period through your Qualifying Separation from Service and the denominator of which is the total number of days in the Performance Period (or, if a CoC occurs before the end of the Performance Period and there is no Replacement Award, the total number of days from the beginning of the Performance Period through the date of the CoC); </w:t>
            </w:r>
            <w:r>
              <w:rPr>
                <w:rFonts w:ascii="Times New Roman" w:hAnsi="Times New Roman"/>
                <w:color w:val="000000"/>
                <w:sz w:val="22"/>
                <w:u w:val="single"/>
              </w:rPr>
              <w:t>provided</w:t>
            </w:r>
            <w:r>
              <w:rPr>
                <w:rFonts w:ascii="Times New Roman" w:hAnsi="Times New Roman"/>
                <w:color w:val="000000"/>
                <w:sz w:val="22"/>
              </w:rPr>
              <w:t> that if there is earlier vesting upon a CoC where there is no Replacement Award, the value of the vested PRSUs may be paid to you in cash.</w:t>
            </w:r>
          </w:p>
        </w:tc>
      </w:tr>
    </w:tbl>
    <w:p>
      <w:pPr>
        <w:pStyle w:val="TextBody"/>
        <w:bidi w:val="0"/>
        <w:jc w:val="left"/>
        <w:rPr/>
      </w:pPr>
      <w:r>
        <w:rPr/>
        <w:t> </w:t>
      </w:r>
    </w:p>
    <w:p>
      <w:pPr>
        <w:pStyle w:val="TextBody"/>
        <w:bidi w:val="0"/>
        <w:spacing w:before="0" w:after="24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Exhibit B</w:t>
      </w:r>
    </w:p>
    <w:p>
      <w:pPr>
        <w:pStyle w:val="TextBody"/>
        <w:bidi w:val="0"/>
        <w:jc w:val="center"/>
        <w:rPr>
          <w:rFonts w:ascii="Times New Roman" w:hAnsi="Times New Roman"/>
          <w:sz w:val="20"/>
        </w:rPr>
      </w:pPr>
      <w:r>
        <w:rPr>
          <w:rFonts w:ascii="Times New Roman" w:hAnsi="Times New Roman"/>
          <w:b/>
          <w:caps/>
          <w:color w:val="000000"/>
          <w:sz w:val="22"/>
        </w:rPr>
        <w:t xml:space="preserve">LSB Industries, Inc. </w:t>
      </w:r>
      <w:r>
        <w:rPr>
          <w:rFonts w:ascii="Times New Roman" w:hAnsi="Times New Roman"/>
          <w:b/>
          <w:color w:val="000000"/>
          <w:sz w:val="22"/>
        </w:rPr>
        <w:br/>
        <w:t>2025 LONG-TERM INCENTIVE PLAN</w:t>
      </w:r>
    </w:p>
    <w:p>
      <w:pPr>
        <w:pStyle w:val="TextBody"/>
        <w:bidi w:val="0"/>
        <w:jc w:val="center"/>
        <w:rPr/>
      </w:pPr>
      <w:r>
        <w:rPr/>
        <w:t> </w:t>
      </w:r>
    </w:p>
    <w:p>
      <w:pPr>
        <w:pStyle w:val="TextBody"/>
        <w:bidi w:val="0"/>
        <w:spacing w:before="0" w:after="480"/>
        <w:jc w:val="both"/>
        <w:rPr>
          <w:rFonts w:ascii="Times New Roman" w:hAnsi="Times New Roman"/>
          <w:sz w:val="20"/>
        </w:rPr>
      </w:pPr>
      <w:r>
        <w:rPr>
          <w:rFonts w:ascii="Times New Roman" w:hAnsi="Times New Roman"/>
          <w:color w:val="000000"/>
          <w:sz w:val="22"/>
        </w:rPr>
        <w:t>The LSB Industries, Inc. 2025 Long-Term Incentive Plan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was adopted by the Board of Directors of LSB Industries,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effective as of April 9,</w:t>
      </w:r>
      <w:r>
        <w:rPr>
          <w:rFonts w:ascii="Times New Roman" w:hAnsi="Times New Roman"/>
          <w:color w:val="000000"/>
          <w:sz w:val="20"/>
        </w:rPr>
        <w:t xml:space="preserve"> </w:t>
      </w:r>
      <w:r>
        <w:rPr>
          <w:rFonts w:ascii="Times New Roman" w:hAnsi="Times New Roman"/>
          <w:color w:val="000000"/>
          <w:sz w:val="22"/>
        </w:rPr>
        <w:t>2025 (the “</w:t>
      </w:r>
      <w:r>
        <w:rPr>
          <w:rFonts w:ascii="Times New Roman" w:hAnsi="Times New Roman"/>
          <w:b/>
          <w:i/>
          <w:color w:val="000000"/>
          <w:sz w:val="22"/>
        </w:rPr>
        <w:t>Board Approval Date</w:t>
      </w:r>
      <w:r>
        <w:rPr>
          <w:rFonts w:ascii="Times New Roman" w:hAnsi="Times New Roman"/>
          <w:color w:val="000000"/>
          <w:sz w:val="20"/>
        </w:rPr>
        <w:t>”</w:t>
      </w:r>
      <w:r>
        <w:rPr>
          <w:rFonts w:ascii="Times New Roman" w:hAnsi="Times New Roman"/>
          <w:color w:val="000000"/>
          <w:sz w:val="22"/>
        </w:rPr>
        <w:t>) to be effective as of the date the Plan is approved by the Company’s stockholders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PURPOSE</w:t>
      </w:r>
    </w:p>
    <w:p>
      <w:pPr>
        <w:pStyle w:val="TextBody"/>
        <w:bidi w:val="0"/>
        <w:jc w:val="both"/>
        <w:rPr>
          <w:rFonts w:ascii="Times New Roman" w:hAnsi="Times New Roman"/>
          <w:color w:val="000000"/>
          <w:sz w:val="22"/>
        </w:rPr>
      </w:pPr>
      <w:r>
        <w:rPr>
          <w:rFonts w:ascii="Times New Roman" w:hAnsi="Times New Roman"/>
          <w:color w:val="000000"/>
          <w:sz w:val="22"/>
        </w:rPr>
        <w:t>The purpose of the Plan is to attract and retain the services of key Employees, key Contractors, and Outside Directors of the Company and its Subsidiaries and to provide such persons with a proprietary interest in the Company through the granting of Incentive Stock Options, Nonqualified Stock Options, Stock Appreciation Rights, Restricted Stock, Restricted Stock Units, Performance Awards, Dividend Equivalent Rights, Other Awards, and Tandem Awards, whether granted singly, or in combination, or in tandem, that will: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increase the interest of such persons in the Company’s welfare;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furnish an incentive to such persons to continue their services for the Company or its Subsidiaries;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provide a means through which the Company may attract able persons as Employees, Contractors, and Outside Directors.</w:t>
      </w:r>
    </w:p>
    <w:p>
      <w:pPr>
        <w:pStyle w:val="TextBody"/>
        <w:bidi w:val="0"/>
        <w:spacing w:before="0" w:after="480"/>
        <w:jc w:val="both"/>
        <w:rPr>
          <w:rFonts w:ascii="Times New Roman" w:hAnsi="Times New Roman"/>
          <w:sz w:val="20"/>
        </w:rPr>
      </w:pPr>
      <w:r>
        <w:rPr>
          <w:rFonts w:ascii="Times New Roman" w:hAnsi="Times New Roman"/>
          <w:color w:val="000000"/>
          <w:sz w:val="22"/>
        </w:rPr>
        <w:t xml:space="preserve">With respect to Reporting Participants, the Plan and all transactions under the Plan are intended to comply with all applicable conditions of Rule 16b-3 promulgated under the Exchange Act. To the extent any provision of the Plan or action by the Committee fails to so comply, such provision or action shall be deemed null and void </w:t>
      </w:r>
      <w:r>
        <w:rPr>
          <w:rFonts w:ascii="Times New Roman" w:hAnsi="Times New Roman"/>
          <w:i/>
          <w:color w:val="000000"/>
          <w:sz w:val="22"/>
        </w:rPr>
        <w:t>ab initio</w:t>
      </w:r>
      <w:r>
        <w:rPr>
          <w:rFonts w:ascii="Times New Roman" w:hAnsi="Times New Roman"/>
          <w:color w:val="000000"/>
          <w:sz w:val="22"/>
        </w:rPr>
        <w:t>, to the extent permitted by law and deemed advisable by the Committee.</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2.</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DEFINITIONS</w:t>
      </w:r>
    </w:p>
    <w:p>
      <w:pPr>
        <w:pStyle w:val="TextBody"/>
        <w:bidi w:val="0"/>
        <w:jc w:val="left"/>
        <w:rPr>
          <w:rFonts w:ascii="Times New Roman" w:hAnsi="Times New Roman"/>
          <w:color w:val="000000"/>
          <w:sz w:val="22"/>
        </w:rPr>
      </w:pPr>
      <w:r>
        <w:rPr>
          <w:rFonts w:ascii="Times New Roman" w:hAnsi="Times New Roman"/>
          <w:color w:val="000000"/>
          <w:sz w:val="22"/>
        </w:rPr>
        <w:t>For the purpose of the Plan, unless the context requires otherwise, the following terms shall have the meanings indicated: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240"/>
        <w:jc w:val="both"/>
        <w:rPr/>
      </w:pPr>
      <w:r>
        <w:rPr>
          <w:color w:val="000000"/>
        </w:rPr>
        <w:t>“</w:t>
      </w:r>
      <w:r>
        <w:rPr>
          <w:rFonts w:ascii="Times New Roman" w:hAnsi="Times New Roman"/>
          <w:b/>
          <w:i/>
          <w:color w:val="000000"/>
          <w:sz w:val="22"/>
        </w:rPr>
        <w:t>Applicable Law</w:t>
      </w:r>
      <w:r>
        <w:rPr>
          <w:color w:val="000000"/>
        </w:rPr>
        <w:t xml:space="preserve">” </w:t>
      </w:r>
      <w:r>
        <w:rPr>
          <w:rFonts w:ascii="Times New Roman" w:hAnsi="Times New Roman"/>
          <w:color w:val="000000"/>
          <w:sz w:val="22"/>
        </w:rPr>
        <w:t>means all legal requirements relating to the administration of equity incentive plans and the issuance and distribution of shares of Common Stock, if any, under applicable corporate laws, applicable securities laws, the rules of any exchange or inter-dealer quotation system upon which the Company’s securities are listed or quoted, the rules of any foreign jurisdiction applicable to Incentives granted to residents therein, and any other applicable law, rule or restriction.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w:t>
      </w:r>
    </w:p>
    <w:p>
      <w:pPr>
        <w:pStyle w:val="TextBody"/>
        <w:bidi w:val="0"/>
        <w:spacing w:before="0" w:after="240"/>
        <w:jc w:val="both"/>
        <w:rPr/>
      </w:pPr>
      <w:r>
        <w:rPr>
          <w:color w:val="000000"/>
        </w:rPr>
        <w:t>“</w:t>
      </w:r>
      <w:r>
        <w:rPr>
          <w:rFonts w:ascii="Times New Roman" w:hAnsi="Times New Roman"/>
          <w:b/>
          <w:i/>
          <w:color w:val="000000"/>
          <w:sz w:val="22"/>
        </w:rPr>
        <w:t>Authorized Officer</w:t>
      </w:r>
      <w:r>
        <w:rPr>
          <w:color w:val="000000"/>
        </w:rPr>
        <w:t xml:space="preserve">” </w:t>
      </w:r>
      <w:r>
        <w:rPr>
          <w:rFonts w:ascii="Times New Roman" w:hAnsi="Times New Roman"/>
          <w:color w:val="000000"/>
          <w:sz w:val="22"/>
        </w:rPr>
        <w:t xml:space="preserve">is defined in </w:t>
      </w:r>
      <w:r>
        <w:rPr>
          <w:rFonts w:ascii="Times New Roman" w:hAnsi="Times New Roman"/>
          <w:color w:val="000000"/>
          <w:sz w:val="22"/>
          <w:u w:val="single"/>
        </w:rPr>
        <w:t>Section 3.2(b)</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w:t>
      </w:r>
    </w:p>
    <w:p>
      <w:pPr>
        <w:pStyle w:val="TextBody"/>
        <w:bidi w:val="0"/>
        <w:spacing w:before="0" w:after="240"/>
        <w:jc w:val="both"/>
        <w:rPr/>
      </w:pPr>
      <w:r>
        <w:rPr>
          <w:color w:val="000000"/>
        </w:rPr>
        <w:t>“</w:t>
      </w:r>
      <w:r>
        <w:rPr>
          <w:rFonts w:ascii="Times New Roman" w:hAnsi="Times New Roman"/>
          <w:b/>
          <w:i/>
          <w:color w:val="000000"/>
          <w:sz w:val="22"/>
        </w:rPr>
        <w:t>Award</w:t>
      </w:r>
      <w:r>
        <w:rPr>
          <w:color w:val="000000"/>
        </w:rPr>
        <w:t xml:space="preserve">” </w:t>
      </w:r>
      <w:r>
        <w:rPr>
          <w:rFonts w:ascii="Times New Roman" w:hAnsi="Times New Roman"/>
          <w:color w:val="000000"/>
          <w:sz w:val="22"/>
        </w:rPr>
        <w:t>means the grant of any Incentive Stock Option, Nonqualified Stock Option, Restricted Stock, SAR, Restricted Stock Unit, Performance Award, Dividend Equivalent Right or Other Award, whether granted singly or in combination or in tandem (each individually referred to herein as an “</w:t>
      </w:r>
      <w:r>
        <w:rPr>
          <w:rFonts w:ascii="Times New Roman" w:hAnsi="Times New Roman"/>
          <w:b/>
          <w:i/>
          <w:color w:val="000000"/>
          <w:sz w:val="22"/>
        </w:rPr>
        <w:t>Incentive</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w:t>
      </w:r>
    </w:p>
    <w:p>
      <w:pPr>
        <w:pStyle w:val="TextBody"/>
        <w:bidi w:val="0"/>
        <w:spacing w:before="0" w:after="240"/>
        <w:jc w:val="both"/>
        <w:rPr/>
      </w:pPr>
      <w:r>
        <w:rPr>
          <w:color w:val="000000"/>
        </w:rPr>
        <w:t>“</w:t>
      </w:r>
      <w:r>
        <w:rPr>
          <w:rFonts w:ascii="Times New Roman" w:hAnsi="Times New Roman"/>
          <w:b/>
          <w:i/>
          <w:color w:val="000000"/>
          <w:sz w:val="22"/>
        </w:rPr>
        <w:t>Award Agreement</w:t>
      </w:r>
      <w:r>
        <w:rPr>
          <w:color w:val="000000"/>
        </w:rPr>
        <w:t xml:space="preserve">” </w:t>
      </w:r>
      <w:r>
        <w:rPr>
          <w:rFonts w:ascii="Times New Roman" w:hAnsi="Times New Roman"/>
          <w:color w:val="000000"/>
          <w:sz w:val="22"/>
        </w:rPr>
        <w:t>means a written agreement between a Participant and the Company which sets out the terms of the grant of an Award.</w:t>
      </w:r>
    </w:p>
    <w:p>
      <w:pPr>
        <w:pStyle w:val="TextBody"/>
        <w:bidi w:val="0"/>
        <w:jc w:val="center"/>
        <w:rPr>
          <w:rFonts w:ascii="Times New Roman" w:hAnsi="Times New Roman"/>
          <w:color w:val="000000"/>
          <w:sz w:val="22"/>
        </w:rPr>
      </w:pPr>
      <w:r>
        <w:rPr>
          <w:rFonts w:ascii="Times New Roman" w:hAnsi="Times New Roman"/>
          <w:color w:val="000000"/>
          <w:sz w:val="22"/>
        </w:rPr>
        <w:t>B-6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2.5</w:t>
      </w:r>
    </w:p>
    <w:p>
      <w:pPr>
        <w:pStyle w:val="TextBody"/>
        <w:bidi w:val="0"/>
        <w:spacing w:before="0" w:after="240"/>
        <w:jc w:val="both"/>
        <w:rPr/>
      </w:pPr>
      <w:r>
        <w:rPr>
          <w:color w:val="000000"/>
        </w:rPr>
        <w:t>“</w:t>
      </w:r>
      <w:r>
        <w:rPr>
          <w:rFonts w:ascii="Times New Roman" w:hAnsi="Times New Roman"/>
          <w:b/>
          <w:i/>
          <w:color w:val="000000"/>
          <w:sz w:val="22"/>
        </w:rPr>
        <w:t>Award Period</w:t>
      </w:r>
      <w:r>
        <w:rPr>
          <w:color w:val="000000"/>
        </w:rPr>
        <w:t xml:space="preserve">” </w:t>
      </w:r>
      <w:r>
        <w:rPr>
          <w:rFonts w:ascii="Times New Roman" w:hAnsi="Times New Roman"/>
          <w:color w:val="000000"/>
          <w:sz w:val="22"/>
        </w:rPr>
        <w:t>means the period set forth in the Award Agreement during which one or more Incentives granted under an Award may be exercised.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w:t>
      </w:r>
    </w:p>
    <w:p>
      <w:pPr>
        <w:pStyle w:val="TextBody"/>
        <w:bidi w:val="0"/>
        <w:spacing w:before="0" w:after="240"/>
        <w:jc w:val="both"/>
        <w:rPr/>
      </w:pPr>
      <w:r>
        <w:rPr>
          <w:color w:val="000000"/>
        </w:rPr>
        <w:t>“</w:t>
      </w:r>
      <w:r>
        <w:rPr>
          <w:rFonts w:ascii="Times New Roman" w:hAnsi="Times New Roman"/>
          <w:b/>
          <w:i/>
          <w:color w:val="000000"/>
          <w:sz w:val="22"/>
        </w:rPr>
        <w:t>Board</w:t>
      </w:r>
      <w:r>
        <w:rPr>
          <w:color w:val="000000"/>
        </w:rPr>
        <w:t xml:space="preserve">” </w:t>
      </w:r>
      <w:r>
        <w:rPr>
          <w:rFonts w:ascii="Times New Roman" w:hAnsi="Times New Roman"/>
          <w:color w:val="000000"/>
          <w:sz w:val="22"/>
        </w:rPr>
        <w:t>means the board of directors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2.7</w:t>
      </w:r>
    </w:p>
    <w:p>
      <w:pPr>
        <w:pStyle w:val="TextBody"/>
        <w:bidi w:val="0"/>
        <w:spacing w:before="0" w:after="240"/>
        <w:jc w:val="both"/>
        <w:rPr/>
      </w:pPr>
      <w:r>
        <w:rPr>
          <w:color w:val="000000"/>
        </w:rPr>
        <w:t>“</w:t>
      </w:r>
      <w:r>
        <w:rPr>
          <w:rFonts w:ascii="Times New Roman" w:hAnsi="Times New Roman"/>
          <w:b/>
          <w:i/>
          <w:color w:val="000000"/>
          <w:sz w:val="22"/>
        </w:rPr>
        <w:t>Change in Control</w:t>
      </w:r>
      <w:r>
        <w:rPr>
          <w:color w:val="000000"/>
        </w:rPr>
        <w:t xml:space="preserve">” </w:t>
      </w:r>
      <w:r>
        <w:rPr>
          <w:rFonts w:ascii="Times New Roman" w:hAnsi="Times New Roman"/>
          <w:color w:val="000000"/>
          <w:sz w:val="22"/>
        </w:rPr>
        <w:t>means the occurrence of an event set forth in any one of the following paragraphs, except as otherwise provided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Person, or more than one Person acting as a “group” (as defined in Section 13(d) of the Exchange Act) acquires (or has acquired during the 12-month period ending on the date of the most recent acquisition by such Person or Persons) and becomes the Beneficial Owner, directly or indirectly, of securities of the Company representing more than 50% of the combined voting power of the Company’s then outstanding securities, excluding any acquisition by an employee benefit plan (or related trust) sponsored or maintained by the Company or any entity controlled by the Company; provided, however, a Change in Control shall not occur if such Person or Persons acting as a group already own more than 50% of the Company’s securities and acquire additional Company securities;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the following individuals cease for any reason to constitute a majority of the number of directors then serving: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w:t>
      </w:r>
      <w:r>
        <w:rPr>
          <w:color w:val="000000"/>
        </w:rPr>
        <w:t xml:space="preserve"> </w:t>
      </w:r>
      <w:r>
        <w:rPr>
          <w:rFonts w:ascii="Times New Roman" w:hAnsi="Times New Roman"/>
          <w:color w:val="000000"/>
          <w:sz w:val="22"/>
        </w:rPr>
        <w:t>was approved or recommended by a vote of at least the majority of the directors then still in office who either were directors on the Effective Date or whose appointment, election or nomination for election was previously so approved or recommended;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Person, or more than one Person acting as a “group” (as defined in Section 13(d) of the Exchange Act), acquires (or has acquired during the 12-month period ending on the date of the most recent acquisition by such Person or Persons) all or substantially all of the Company’s assets that have a total Gross Fair Market Value equal to more than 50% of the total Gross Fair Market Value of the Company’s assets immediately prior to such acquisition(s).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For purposes hereof:</w:t>
      </w:r>
    </w:p>
    <w:p>
      <w:pPr>
        <w:pStyle w:val="TextBody"/>
        <w:bidi w:val="0"/>
        <w:spacing w:before="0" w:after="240"/>
        <w:jc w:val="left"/>
        <w:rPr/>
      </w:pPr>
      <w:r>
        <w:rPr>
          <w:color w:val="000000"/>
        </w:rPr>
        <w:t>“</w:t>
      </w:r>
      <w:r>
        <w:rPr>
          <w:rFonts w:ascii="Times New Roman" w:hAnsi="Times New Roman"/>
          <w:b/>
          <w:i/>
          <w:color w:val="000000"/>
          <w:sz w:val="22"/>
        </w:rPr>
        <w:t>Affiliate</w:t>
      </w:r>
      <w:r>
        <w:rPr>
          <w:rFonts w:ascii="Times New Roman" w:hAnsi="Times New Roman"/>
          <w:color w:val="000000"/>
          <w:sz w:val="20"/>
        </w:rPr>
        <w:t xml:space="preserve">” </w:t>
      </w:r>
      <w:r>
        <w:rPr>
          <w:rFonts w:ascii="Times New Roman" w:hAnsi="Times New Roman"/>
          <w:color w:val="000000"/>
          <w:sz w:val="22"/>
        </w:rPr>
        <w:t>shall have the meaning set forth in Rule 12b-2 promulgated under Section 12 of the Exchange Act.</w:t>
      </w:r>
    </w:p>
    <w:p>
      <w:pPr>
        <w:pStyle w:val="TextBody"/>
        <w:bidi w:val="0"/>
        <w:spacing w:before="0" w:after="240"/>
        <w:jc w:val="both"/>
        <w:rPr/>
      </w:pPr>
      <w:r>
        <w:rPr>
          <w:color w:val="000000"/>
        </w:rPr>
        <w:t>“</w:t>
      </w:r>
      <w:r>
        <w:rPr>
          <w:rFonts w:ascii="Times New Roman" w:hAnsi="Times New Roman"/>
          <w:b/>
          <w:i/>
          <w:color w:val="000000"/>
          <w:sz w:val="22"/>
        </w:rPr>
        <w:t>Beneficial Owner</w:t>
      </w:r>
      <w:r>
        <w:rPr>
          <w:rFonts w:ascii="Times New Roman" w:hAnsi="Times New Roman"/>
          <w:color w:val="000000"/>
          <w:sz w:val="20"/>
        </w:rPr>
        <w:t xml:space="preserve">” </w:t>
      </w:r>
      <w:r>
        <w:rPr>
          <w:rFonts w:ascii="Times New Roman" w:hAnsi="Times New Roman"/>
          <w:color w:val="000000"/>
          <w:sz w:val="22"/>
        </w:rPr>
        <w:t>shall have the meaning set forth in Rule 13d-3 under the Exchange Act except that a Person shall be deemed to be the “Beneficial Owner” of all shares that any such Person has the right to acquire pursuant to any agreement or arrangement or upon exercise of conversion rights, warrants, options or otherwise, without regard to the 60-day period referred to in such rule).</w:t>
      </w:r>
    </w:p>
    <w:p>
      <w:pPr>
        <w:pStyle w:val="TextBody"/>
        <w:bidi w:val="0"/>
        <w:spacing w:before="0" w:after="240"/>
        <w:jc w:val="both"/>
        <w:rPr/>
      </w:pPr>
      <w:r>
        <w:rPr>
          <w:color w:val="000000"/>
        </w:rPr>
        <w:t>“</w:t>
      </w:r>
      <w:r>
        <w:rPr>
          <w:rFonts w:ascii="Times New Roman" w:hAnsi="Times New Roman"/>
          <w:b/>
          <w:i/>
          <w:color w:val="000000"/>
          <w:sz w:val="22"/>
        </w:rPr>
        <w:t>Company</w:t>
      </w:r>
      <w:r>
        <w:rPr>
          <w:rFonts w:ascii="Times New Roman" w:hAnsi="Times New Roman"/>
          <w:color w:val="000000"/>
          <w:sz w:val="20"/>
        </w:rPr>
        <w:t xml:space="preserve">” </w:t>
      </w:r>
      <w:r>
        <w:rPr>
          <w:rFonts w:ascii="Times New Roman" w:hAnsi="Times New Roman"/>
          <w:color w:val="000000"/>
          <w:sz w:val="22"/>
        </w:rPr>
        <w:t xml:space="preserve">shall mean, unless as otherwise provided in an Award Agreement, (i) the Company, as defined in </w:t>
      </w:r>
      <w:r>
        <w:rPr>
          <w:rFonts w:ascii="Times New Roman" w:hAnsi="Times New Roman"/>
          <w:color w:val="000000"/>
          <w:sz w:val="22"/>
          <w:u w:val="single"/>
        </w:rPr>
        <w:t>Section 2.12;</w:t>
      </w:r>
      <w:r>
        <w:rPr>
          <w:rFonts w:ascii="Times New Roman" w:hAnsi="Times New Roman"/>
          <w:color w:val="000000"/>
          <w:sz w:val="20"/>
        </w:rPr>
        <w:t xml:space="preserve"> </w:t>
      </w:r>
      <w:r>
        <w:rPr>
          <w:rFonts w:ascii="Times New Roman" w:hAnsi="Times New Roman"/>
          <w:color w:val="000000"/>
          <w:sz w:val="22"/>
        </w:rPr>
        <w:t>(ii) the entity for whom a Participant performs services for which an Award is granted; and (iii) an entity that is a stockholder owning more than 50% of the total number of outstanding shares of Common Stock (or other equity interests) and total voting power (</w:t>
      </w:r>
      <w:r>
        <w:rPr>
          <w:rFonts w:ascii="Times New Roman" w:hAnsi="Times New Roman"/>
          <w:i/>
          <w:color w:val="000000"/>
          <w:sz w:val="22"/>
        </w:rPr>
        <w:t>i.e.</w:t>
      </w:r>
      <w:r>
        <w:rPr>
          <w:rFonts w:ascii="Times New Roman" w:hAnsi="Times New Roman"/>
          <w:color w:val="000000"/>
          <w:sz w:val="22"/>
        </w:rPr>
        <w:t>, a majority stockholder) of the Company or entity identified in (ii), or any entity in a chain of entities in which each entity is a majority stockholder of another entity in the chain, ending on the Company or the entity identified in (ii).</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B-7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Gross Fair Market Value</w:t>
      </w:r>
      <w:r>
        <w:rPr>
          <w:rFonts w:ascii="Times New Roman" w:hAnsi="Times New Roman"/>
          <w:color w:val="000000"/>
          <w:sz w:val="20"/>
        </w:rPr>
        <w:t xml:space="preserve">” </w:t>
      </w:r>
      <w:r>
        <w:rPr>
          <w:rFonts w:ascii="Times New Roman" w:hAnsi="Times New Roman"/>
          <w:color w:val="000000"/>
          <w:sz w:val="22"/>
        </w:rPr>
        <w:t>shall mean the value of the Company’s assets or the value of the assets being disposed of, determined without regard to any liabilities associated with such assets.</w:t>
      </w:r>
    </w:p>
    <w:p>
      <w:pPr>
        <w:pStyle w:val="TextBody"/>
        <w:bidi w:val="0"/>
        <w:spacing w:before="0" w:after="240"/>
        <w:jc w:val="both"/>
        <w:rPr/>
      </w:pPr>
      <w:r>
        <w:rPr>
          <w:color w:val="000000"/>
        </w:rPr>
        <w:t>“</w:t>
      </w:r>
      <w:r>
        <w:rPr>
          <w:rFonts w:ascii="Times New Roman" w:hAnsi="Times New Roman"/>
          <w:b/>
          <w:i/>
          <w:color w:val="000000"/>
          <w:sz w:val="22"/>
        </w:rPr>
        <w:t>Person</w:t>
      </w:r>
      <w:r>
        <w:rPr>
          <w:rFonts w:ascii="Times New Roman" w:hAnsi="Times New Roman"/>
          <w:color w:val="000000"/>
          <w:sz w:val="20"/>
        </w:rPr>
        <w:t xml:space="preserve">” </w:t>
      </w:r>
      <w:r>
        <w:rPr>
          <w:rFonts w:ascii="Times New Roman" w:hAnsi="Times New Roman"/>
          <w:color w:val="000000"/>
          <w:sz w:val="22"/>
        </w:rPr>
        <w:t>means any person or entity of any nature whatsoever, specifically including an individual, a firm, a company, a corporation, a partnership, a limited liability company, a trust or other entity; a Person, together with that Person’s Affiliates and Associates (as those terms are defined in Rule 12b-2 under the Exchange Act, provided that “registrant” as used in Rule 12b-2 shall mean the Company), and any Persons acting as a partnership, limited partnership, joint venture, association, syndicate or other group (whether or not formally organized), or otherwise acting jointly or in concert or in a coordinated or consciously parallel manner (whether or not pursuant to any express agreement), for the purpose of acquiring, holding, voting or disposing of securities of the Company with such Person, shall be deemed a single “Person.”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the foregoing, no transaction or series of transactions shall be deemed to constitute a Change in Control unless and to the extent such transaction or transactions constitute a change in ownership or control under Section 409A of the Code. Additionally, for purposes of this </w:t>
      </w:r>
      <w:r>
        <w:rPr>
          <w:rFonts w:ascii="Times New Roman" w:hAnsi="Times New Roman"/>
          <w:color w:val="000000"/>
          <w:sz w:val="22"/>
          <w:u w:val="single"/>
        </w:rPr>
        <w:t>Section 2.7</w:t>
      </w:r>
      <w:r>
        <w:rPr>
          <w:rFonts w:ascii="Times New Roman" w:hAnsi="Times New Roman"/>
          <w:color w:val="000000"/>
          <w:sz w:val="22"/>
        </w:rPr>
        <w:t>, Section 318(a) of the Code, regarding constructive ownership, shall apply to determine stock ownership; provided, however, that any stock underlying unvested Nonqualified Stock Options or Incentive Stock Options shall not be treated as owned by such Participant who owns such Nonqualified Stock Option or Incentive Stock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2.8</w:t>
      </w:r>
    </w:p>
    <w:p>
      <w:pPr>
        <w:pStyle w:val="TextBody"/>
        <w:bidi w:val="0"/>
        <w:spacing w:before="0" w:after="240"/>
        <w:jc w:val="both"/>
        <w:rPr/>
      </w:pPr>
      <w:r>
        <w:rPr>
          <w:color w:val="000000"/>
        </w:rPr>
        <w:t>“</w:t>
      </w:r>
      <w:r>
        <w:rPr>
          <w:rFonts w:ascii="Times New Roman" w:hAnsi="Times New Roman"/>
          <w:b/>
          <w:i/>
          <w:color w:val="000000"/>
          <w:sz w:val="22"/>
        </w:rPr>
        <w:t>Claim</w:t>
      </w:r>
      <w:r>
        <w:rPr>
          <w:color w:val="000000"/>
        </w:rPr>
        <w:t xml:space="preserve">” </w:t>
      </w:r>
      <w:r>
        <w:rPr>
          <w:rFonts w:ascii="Times New Roman" w:hAnsi="Times New Roman"/>
          <w:color w:val="000000"/>
          <w:sz w:val="22"/>
        </w:rPr>
        <w:t>means any claim, liability or obligation of any nature, arising out of or relating to this Plan or an alleged breach of this Plan or an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2.9</w:t>
      </w:r>
    </w:p>
    <w:p>
      <w:pPr>
        <w:pStyle w:val="TextBody"/>
        <w:bidi w:val="0"/>
        <w:spacing w:before="0" w:after="240"/>
        <w:jc w:val="both"/>
        <w:rPr/>
      </w:pPr>
      <w:r>
        <w:rPr>
          <w:color w:val="000000"/>
        </w:rPr>
        <w:t>“</w:t>
      </w:r>
      <w:r>
        <w:rPr>
          <w:rFonts w:ascii="Times New Roman" w:hAnsi="Times New Roman"/>
          <w:b/>
          <w:i/>
          <w:color w:val="000000"/>
          <w:sz w:val="22"/>
        </w:rPr>
        <w:t>Code</w:t>
      </w:r>
      <w:r>
        <w:rPr>
          <w:color w:val="000000"/>
        </w:rPr>
        <w:t xml:space="preserve">” </w:t>
      </w:r>
      <w:r>
        <w:rPr>
          <w:rFonts w:ascii="Times New Roman" w:hAnsi="Times New Roman"/>
          <w:color w:val="000000"/>
          <w:sz w:val="22"/>
        </w:rPr>
        <w:t>means the United States Internal Revenue Code of 1986, as amended.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2.10</w:t>
      </w:r>
    </w:p>
    <w:p>
      <w:pPr>
        <w:pStyle w:val="TextBody"/>
        <w:bidi w:val="0"/>
        <w:spacing w:before="0" w:after="240"/>
        <w:jc w:val="both"/>
        <w:rPr/>
      </w:pPr>
      <w:r>
        <w:rPr>
          <w:color w:val="000000"/>
        </w:rPr>
        <w:t>“</w:t>
      </w:r>
      <w:r>
        <w:rPr>
          <w:rFonts w:ascii="Times New Roman" w:hAnsi="Times New Roman"/>
          <w:b/>
          <w:i/>
          <w:color w:val="000000"/>
          <w:sz w:val="22"/>
        </w:rPr>
        <w:t>Committee</w:t>
      </w:r>
      <w:r>
        <w:rPr>
          <w:color w:val="000000"/>
        </w:rPr>
        <w:t xml:space="preserve">” </w:t>
      </w:r>
      <w:r>
        <w:rPr>
          <w:rFonts w:ascii="Times New Roman" w:hAnsi="Times New Roman"/>
          <w:color w:val="000000"/>
          <w:sz w:val="22"/>
        </w:rPr>
        <w:t xml:space="preserve">means the committee appointed or designated by the Board to administer the Plan in accordance with </w:t>
      </w:r>
      <w:r>
        <w:rPr>
          <w:rFonts w:ascii="Times New Roman" w:hAnsi="Times New Roman"/>
          <w:color w:val="000000"/>
          <w:sz w:val="22"/>
          <w:u w:val="single"/>
        </w:rPr>
        <w:t>Article 3</w:t>
      </w:r>
      <w:r>
        <w:rPr>
          <w:color w:val="000000"/>
        </w:rPr>
        <w:t xml:space="preserve"> </w:t>
      </w:r>
      <w:r>
        <w:rPr>
          <w:rFonts w:ascii="Times New Roman" w:hAnsi="Times New Roman"/>
          <w:color w:val="000000"/>
          <w:sz w:val="22"/>
        </w:rPr>
        <w:t>of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2.11</w:t>
      </w:r>
    </w:p>
    <w:p>
      <w:pPr>
        <w:pStyle w:val="TextBody"/>
        <w:bidi w:val="0"/>
        <w:spacing w:before="0" w:after="240"/>
        <w:jc w:val="both"/>
        <w:rPr/>
      </w:pPr>
      <w:r>
        <w:rPr>
          <w:color w:val="000000"/>
        </w:rPr>
        <w:t>“</w:t>
      </w:r>
      <w:r>
        <w:rPr>
          <w:rFonts w:ascii="Times New Roman" w:hAnsi="Times New Roman"/>
          <w:b/>
          <w:i/>
          <w:color w:val="000000"/>
          <w:sz w:val="22"/>
        </w:rPr>
        <w:t>Common Stock</w:t>
      </w:r>
      <w:r>
        <w:rPr>
          <w:color w:val="000000"/>
        </w:rPr>
        <w:t xml:space="preserve">” </w:t>
      </w:r>
      <w:r>
        <w:rPr>
          <w:rFonts w:ascii="Times New Roman" w:hAnsi="Times New Roman"/>
          <w:color w:val="000000"/>
          <w:sz w:val="22"/>
        </w:rPr>
        <w:t>means the common stock, par value $0.10 per share, which the Company is currently authorized to issue or may in the future be authorized to issue, or any securities into which or for which the common stock of the Company may be converted or exchanged, as the case may be, pursuant to the terms of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2.12</w:t>
      </w:r>
    </w:p>
    <w:p>
      <w:pPr>
        <w:pStyle w:val="TextBody"/>
        <w:bidi w:val="0"/>
        <w:spacing w:before="0" w:after="240"/>
        <w:jc w:val="both"/>
        <w:rPr/>
      </w:pPr>
      <w:r>
        <w:rPr>
          <w:color w:val="000000"/>
        </w:rPr>
        <w:t>“</w:t>
      </w:r>
      <w:r>
        <w:rPr>
          <w:rFonts w:ascii="Times New Roman" w:hAnsi="Times New Roman"/>
          <w:b/>
          <w:i/>
          <w:color w:val="000000"/>
          <w:sz w:val="22"/>
        </w:rPr>
        <w:t>Company</w:t>
      </w:r>
      <w:r>
        <w:rPr>
          <w:color w:val="000000"/>
        </w:rPr>
        <w:t xml:space="preserve">” </w:t>
      </w:r>
      <w:r>
        <w:rPr>
          <w:rFonts w:ascii="Times New Roman" w:hAnsi="Times New Roman"/>
          <w:color w:val="000000"/>
          <w:sz w:val="22"/>
        </w:rPr>
        <w:t>means LSB Industries, Inc., a Delaware corporation, and any successor entity.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2.13</w:t>
      </w:r>
    </w:p>
    <w:p>
      <w:pPr>
        <w:pStyle w:val="TextBody"/>
        <w:bidi w:val="0"/>
        <w:spacing w:before="0" w:after="240"/>
        <w:jc w:val="both"/>
        <w:rPr/>
      </w:pPr>
      <w:r>
        <w:rPr>
          <w:color w:val="000000"/>
        </w:rPr>
        <w:t>“</w:t>
      </w:r>
      <w:r>
        <w:rPr>
          <w:rFonts w:ascii="Times New Roman" w:hAnsi="Times New Roman"/>
          <w:b/>
          <w:i/>
          <w:color w:val="000000"/>
          <w:sz w:val="22"/>
        </w:rPr>
        <w:t>Contractor</w:t>
      </w:r>
      <w:r>
        <w:rPr>
          <w:color w:val="000000"/>
        </w:rPr>
        <w:t xml:space="preserve">” </w:t>
      </w:r>
      <w:r>
        <w:rPr>
          <w:rFonts w:ascii="Times New Roman" w:hAnsi="Times New Roman"/>
          <w:color w:val="000000"/>
          <w:sz w:val="22"/>
        </w:rPr>
        <w:t xml:space="preserve">means any natural person (or a wholly owned alter ego entity of the natural person providing such services of which such person is an employee, stockholder, or partner),, who is not an Employee, rendering </w:t>
      </w:r>
      <w:r>
        <w:rPr>
          <w:rFonts w:ascii="Times New Roman" w:hAnsi="Times New Roman"/>
          <w:i/>
          <w:color w:val="000000"/>
          <w:sz w:val="22"/>
        </w:rPr>
        <w:t>bona fide</w:t>
      </w:r>
      <w:r>
        <w:rPr>
          <w:color w:val="000000"/>
        </w:rPr>
        <w:t xml:space="preserve"> </w:t>
      </w:r>
      <w:r>
        <w:rPr>
          <w:rFonts w:ascii="Times New Roman" w:hAnsi="Times New Roman"/>
          <w:color w:val="000000"/>
          <w:sz w:val="22"/>
        </w:rPr>
        <w:t xml:space="preserve">services to the Company or a Subsidiary, with compensation, pursuant to a written independent contractor agreement between such person and the Company or a Subsidiary, </w:t>
      </w:r>
      <w:r>
        <w:rPr>
          <w:rFonts w:ascii="Times New Roman" w:hAnsi="Times New Roman"/>
          <w:i/>
          <w:color w:val="000000"/>
          <w:sz w:val="22"/>
        </w:rPr>
        <w:t>provided that</w:t>
      </w:r>
      <w:r>
        <w:rPr>
          <w:color w:val="000000"/>
        </w:rPr>
        <w:t xml:space="preserve"> </w:t>
      </w:r>
      <w:r>
        <w:rPr>
          <w:rFonts w:ascii="Times New Roman" w:hAnsi="Times New Roman"/>
          <w:color w:val="000000"/>
          <w:sz w:val="22"/>
        </w:rPr>
        <w:t>such services are not rendered in connection with the offer or sale of securities in a capital raising transaction and do not directly or indirectly promote or maintain a market for the Company’s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2.14</w:t>
      </w:r>
    </w:p>
    <w:p>
      <w:pPr>
        <w:pStyle w:val="TextBody"/>
        <w:bidi w:val="0"/>
        <w:spacing w:before="0" w:after="240"/>
        <w:jc w:val="both"/>
        <w:rPr/>
      </w:pPr>
      <w:r>
        <w:rPr>
          <w:color w:val="000000"/>
        </w:rPr>
        <w:t>“</w:t>
      </w:r>
      <w:r>
        <w:rPr>
          <w:rFonts w:ascii="Times New Roman" w:hAnsi="Times New Roman"/>
          <w:b/>
          <w:i/>
          <w:color w:val="000000"/>
          <w:sz w:val="22"/>
        </w:rPr>
        <w:t>Corporation</w:t>
      </w:r>
      <w:r>
        <w:rPr>
          <w:color w:val="000000"/>
        </w:rPr>
        <w:t xml:space="preserve">” </w:t>
      </w:r>
      <w:r>
        <w:rPr>
          <w:rFonts w:ascii="Times New Roman" w:hAnsi="Times New Roman"/>
          <w:color w:val="000000"/>
          <w:sz w:val="22"/>
        </w:rPr>
        <w:t>means any entity that (a) is defined as a corporation under Section 7701 of the Code and (b) is the Company or is in an unbroken chain of corporations (other than the Company) beginning with the Company, if each of the corporations other than the last corporation in the unbroken chain owns stock possessing a majority of the total combined voting power of all classes of stock in one of the other corporations in the chain. For purposes of clause (b) hereof, an entity shall be treated as a “corporation” if it satisfies the definition of a corporation under Section 7701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2.15</w:t>
      </w:r>
    </w:p>
    <w:p>
      <w:pPr>
        <w:pStyle w:val="TextBody"/>
        <w:bidi w:val="0"/>
        <w:spacing w:before="0" w:after="240"/>
        <w:jc w:val="both"/>
        <w:rPr/>
      </w:pPr>
      <w:r>
        <w:rPr>
          <w:color w:val="000000"/>
        </w:rPr>
        <w:t>“</w:t>
      </w:r>
      <w:r>
        <w:rPr>
          <w:rFonts w:ascii="Times New Roman" w:hAnsi="Times New Roman"/>
          <w:b/>
          <w:i/>
          <w:color w:val="000000"/>
          <w:sz w:val="22"/>
        </w:rPr>
        <w:t>Date of Grant</w:t>
      </w:r>
      <w:r>
        <w:rPr>
          <w:color w:val="000000"/>
        </w:rPr>
        <w:t xml:space="preserve">” </w:t>
      </w:r>
      <w:r>
        <w:rPr>
          <w:rFonts w:ascii="Times New Roman" w:hAnsi="Times New Roman"/>
          <w:color w:val="000000"/>
          <w:sz w:val="22"/>
        </w:rPr>
        <w:t xml:space="preserve">means the effective date on which an Award is made to a Participant as set forth in the applicable Award Agreement; </w:t>
      </w:r>
      <w:r>
        <w:rPr>
          <w:rFonts w:ascii="Times New Roman" w:hAnsi="Times New Roman"/>
          <w:i/>
          <w:color w:val="000000"/>
          <w:sz w:val="22"/>
        </w:rPr>
        <w:t>provided, however</w:t>
      </w:r>
      <w:r>
        <w:rPr>
          <w:rFonts w:ascii="Times New Roman" w:hAnsi="Times New Roman"/>
          <w:color w:val="000000"/>
          <w:sz w:val="22"/>
        </w:rPr>
        <w:t xml:space="preserve">, that solely for purposes of Section 16 of the Exchange Act </w:t>
      </w:r>
    </w:p>
    <w:p>
      <w:pPr>
        <w:pStyle w:val="TextBody"/>
        <w:bidi w:val="0"/>
        <w:jc w:val="center"/>
        <w:rPr>
          <w:rFonts w:ascii="Times New Roman" w:hAnsi="Times New Roman"/>
          <w:color w:val="000000"/>
          <w:sz w:val="22"/>
        </w:rPr>
      </w:pPr>
      <w:r>
        <w:rPr>
          <w:rFonts w:ascii="Times New Roman" w:hAnsi="Times New Roman"/>
          <w:color w:val="000000"/>
          <w:sz w:val="22"/>
        </w:rPr>
        <w:t>B-8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the rules and regulations promulgated thereunder, the Date of Grant of an Award shall be the date of stockholder approval of the Plan if such date is later than the effective date of such Award as set forth in the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2.16</w:t>
      </w:r>
    </w:p>
    <w:p>
      <w:pPr>
        <w:pStyle w:val="TextBody"/>
        <w:bidi w:val="0"/>
        <w:spacing w:before="0" w:after="240"/>
        <w:jc w:val="both"/>
        <w:rPr/>
      </w:pPr>
      <w:r>
        <w:rPr>
          <w:color w:val="000000"/>
        </w:rPr>
        <w:t>“</w:t>
      </w:r>
      <w:r>
        <w:rPr>
          <w:rFonts w:ascii="Times New Roman" w:hAnsi="Times New Roman"/>
          <w:b/>
          <w:i/>
          <w:color w:val="000000"/>
          <w:sz w:val="22"/>
        </w:rPr>
        <w:t>Dividend Equivalent Right</w:t>
      </w:r>
      <w:r>
        <w:rPr>
          <w:color w:val="000000"/>
        </w:rPr>
        <w:t xml:space="preserve">” </w:t>
      </w:r>
      <w:r>
        <w:rPr>
          <w:rFonts w:ascii="Times New Roman" w:hAnsi="Times New Roman"/>
          <w:color w:val="000000"/>
          <w:sz w:val="22"/>
        </w:rPr>
        <w:t>means the right of the holder thereof to receive credits based on the cash dividends that would have been paid on the shares of Common Stock specified in the Award if such shares were held by the Participant to whom the Award is made.</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2.17</w:t>
      </w:r>
    </w:p>
    <w:p>
      <w:pPr>
        <w:pStyle w:val="TextBody"/>
        <w:bidi w:val="0"/>
        <w:spacing w:before="0" w:after="0"/>
        <w:jc w:val="both"/>
        <w:rPr/>
      </w:pPr>
      <w:r>
        <w:rPr>
          <w:color w:val="000000"/>
        </w:rPr>
        <w:t>“</w:t>
      </w:r>
      <w:r>
        <w:rPr>
          <w:rFonts w:ascii="Times New Roman" w:hAnsi="Times New Roman"/>
          <w:b/>
          <w:i/>
          <w:color w:val="000000"/>
          <w:sz w:val="22"/>
        </w:rPr>
        <w:t>Employee</w:t>
      </w:r>
      <w:r>
        <w:rPr>
          <w:color w:val="000000"/>
        </w:rPr>
        <w:t xml:space="preserve">” </w:t>
      </w:r>
      <w:r>
        <w:rPr>
          <w:rFonts w:ascii="Times New Roman" w:hAnsi="Times New Roman"/>
          <w:color w:val="000000"/>
          <w:sz w:val="22"/>
        </w:rPr>
        <w:t>means a common law employee (as defined in accordance with the Regulations and Revenue Rulings then applicable under Section 3401(c) of the Code) of the Company or any Subsidiary of the Company; provided, however, in the case of individuals whose employment status, by virtue of their employer or residence, is not determined under Section 3401(c) of the Code, “Employee” shall mean an individual treated as an employee for local payroll tax or employment purposes by the applicable employer under Applicable Law for the relevant period. An employee on leave of absence may be considered as still in the employ of the Company or its Subsidiaries for purposes of eligibility for participation in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2.18</w:t>
      </w:r>
    </w:p>
    <w:p>
      <w:pPr>
        <w:pStyle w:val="TextBody"/>
        <w:bidi w:val="0"/>
        <w:spacing w:before="0" w:after="240"/>
        <w:jc w:val="both"/>
        <w:rPr/>
      </w:pPr>
      <w:r>
        <w:rPr>
          <w:color w:val="000000"/>
        </w:rPr>
        <w:t>“</w:t>
      </w:r>
      <w:r>
        <w:rPr>
          <w:rFonts w:ascii="Times New Roman" w:hAnsi="Times New Roman"/>
          <w:b/>
          <w:i/>
          <w:color w:val="000000"/>
          <w:sz w:val="22"/>
        </w:rPr>
        <w:t>Exchange Act</w:t>
      </w:r>
      <w:r>
        <w:rPr>
          <w:color w:val="000000"/>
        </w:rPr>
        <w:t xml:space="preserve">” </w:t>
      </w:r>
      <w:r>
        <w:rPr>
          <w:rFonts w:ascii="Times New Roman" w:hAnsi="Times New Roman"/>
          <w:color w:val="000000"/>
          <w:sz w:val="22"/>
        </w:rPr>
        <w:t>means the United States Securities Exchange Act of 1934, as amended.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2.19</w:t>
      </w:r>
    </w:p>
    <w:p>
      <w:pPr>
        <w:pStyle w:val="TextBody"/>
        <w:bidi w:val="0"/>
        <w:spacing w:before="0" w:after="240"/>
        <w:jc w:val="both"/>
        <w:rPr/>
      </w:pPr>
      <w:r>
        <w:rPr>
          <w:color w:val="000000"/>
        </w:rPr>
        <w:t>“</w:t>
      </w:r>
      <w:r>
        <w:rPr>
          <w:rFonts w:ascii="Times New Roman" w:hAnsi="Times New Roman"/>
          <w:b/>
          <w:i/>
          <w:color w:val="000000"/>
          <w:sz w:val="22"/>
        </w:rPr>
        <w:t>Exercise Date</w:t>
      </w:r>
      <w:r>
        <w:rPr>
          <w:color w:val="000000"/>
        </w:rPr>
        <w:t xml:space="preserve">” </w:t>
      </w:r>
      <w:r>
        <w:rPr>
          <w:rFonts w:ascii="Times New Roman" w:hAnsi="Times New Roman"/>
          <w:color w:val="000000"/>
          <w:sz w:val="22"/>
        </w:rPr>
        <w:t>is the date (i) with respect to any Stock Option, that the Participant has delivered both the Exercise Notice and consideration to the Company with a value equal to the total Option Price of the shares to be purchased (plus any income and/or employment tax withholding or other tax payment due with respect to such Award); and (ii) with respect to any SAR, that the Participant has delivered both the Exercise Notice and consideration to the Company with a value equal to any income and/or employment tax withholding or other tax payment due with respect to such SAR.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2.20</w:t>
      </w:r>
    </w:p>
    <w:p>
      <w:pPr>
        <w:pStyle w:val="TextBody"/>
        <w:bidi w:val="0"/>
        <w:spacing w:before="0" w:after="240"/>
        <w:jc w:val="both"/>
        <w:rPr/>
      </w:pPr>
      <w:r>
        <w:rPr>
          <w:color w:val="000000"/>
        </w:rPr>
        <w:t>“</w:t>
      </w:r>
      <w:r>
        <w:rPr>
          <w:rFonts w:ascii="Times New Roman" w:hAnsi="Times New Roman"/>
          <w:b/>
          <w:i/>
          <w:color w:val="000000"/>
          <w:sz w:val="22"/>
        </w:rPr>
        <w:t>Exercise Notice</w:t>
      </w:r>
      <w:r>
        <w:rPr>
          <w:color w:val="000000"/>
        </w:rPr>
        <w:t xml:space="preserve">” </w:t>
      </w:r>
      <w:r>
        <w:rPr>
          <w:rFonts w:ascii="Times New Roman" w:hAnsi="Times New Roman"/>
          <w:color w:val="000000"/>
          <w:sz w:val="22"/>
        </w:rPr>
        <w:t xml:space="preserve">is defined in </w:t>
      </w:r>
      <w:r>
        <w:rPr>
          <w:rFonts w:ascii="Times New Roman" w:hAnsi="Times New Roman"/>
          <w:color w:val="000000"/>
          <w:sz w:val="22"/>
          <w:u w:val="single"/>
        </w:rPr>
        <w:t>Section 8.3(b)</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2.21</w:t>
      </w:r>
    </w:p>
    <w:p>
      <w:pPr>
        <w:pStyle w:val="TextBody"/>
        <w:bidi w:val="0"/>
        <w:spacing w:before="0" w:after="240"/>
        <w:jc w:val="both"/>
        <w:rPr/>
      </w:pPr>
      <w:r>
        <w:rPr>
          <w:color w:val="000000"/>
        </w:rPr>
        <w:t>“</w:t>
      </w:r>
      <w:r>
        <w:rPr>
          <w:rFonts w:ascii="Times New Roman" w:hAnsi="Times New Roman"/>
          <w:b/>
          <w:i/>
          <w:color w:val="000000"/>
          <w:sz w:val="22"/>
        </w:rPr>
        <w:t>Fair Market Value</w:t>
      </w:r>
      <w:r>
        <w:rPr>
          <w:color w:val="000000"/>
        </w:rPr>
        <w:t xml:space="preserve">” </w:t>
      </w:r>
      <w:r>
        <w:rPr>
          <w:rFonts w:ascii="Times New Roman" w:hAnsi="Times New Roman"/>
          <w:color w:val="000000"/>
          <w:sz w:val="22"/>
        </w:rPr>
        <w:t>means, as of a particular date, (a) if the shares of Common Stock are listed on any established national securities exchange, the closing sales price per share of Common Stock on the consolidated transaction reporting system for the principal securities exchange for the Common Stock on that date (as determined by the Committee, in its discretion), or, if there shall have been no such sale so reported on that date, on the last preceding date on which such a sale was so reported; (b) if the shares of Common Stock are not so listed, but are quoted on an automated quotation system, the closing sales price per share of Common Stock reported on the automated quotation system on that date, or, if there shall have been no such sale so reported on that date, on the last preceding date on which such a sale was so reported; (c) if the Common Stock is not so listed or quoted, the mean between the closing bid and asked price on that date, or, if there are no quotations available for such date, on the last preceding date on which such quotations shall be available, as reported by the OTCQX, OTCQB or OTC Pink (Pink Open Market); or (d) if none of the above is applicable, such amount as may be determined by the Committee (acting on the advice of an Independent Third Party, should the Committee elect in its sole discretion to utilize an Independent Third Party for this purpose), in good faith, to be the fair market value per share of Common Stock. The determination of Fair Market Value shall, where applicable, be in compliance with Section 409A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2.22</w:t>
      </w:r>
    </w:p>
    <w:p>
      <w:pPr>
        <w:pStyle w:val="TextBody"/>
        <w:bidi w:val="0"/>
        <w:spacing w:before="0" w:after="240"/>
        <w:jc w:val="both"/>
        <w:rPr/>
      </w:pPr>
      <w:r>
        <w:rPr>
          <w:color w:val="000000"/>
        </w:rPr>
        <w:t>“</w:t>
      </w:r>
      <w:r>
        <w:rPr>
          <w:rFonts w:ascii="Times New Roman" w:hAnsi="Times New Roman"/>
          <w:b/>
          <w:i/>
          <w:color w:val="000000"/>
          <w:sz w:val="22"/>
        </w:rPr>
        <w:t>Immediate Family Members</w:t>
      </w:r>
      <w:r>
        <w:rPr>
          <w:color w:val="000000"/>
        </w:rPr>
        <w:t xml:space="preserve">” </w:t>
      </w:r>
      <w:r>
        <w:rPr>
          <w:rFonts w:ascii="Times New Roman" w:hAnsi="Times New Roman"/>
          <w:color w:val="000000"/>
          <w:sz w:val="22"/>
        </w:rPr>
        <w:t xml:space="preserve">is defined in </w:t>
      </w:r>
      <w:r>
        <w:rPr>
          <w:rFonts w:ascii="Times New Roman" w:hAnsi="Times New Roman"/>
          <w:color w:val="000000"/>
          <w:sz w:val="22"/>
          <w:u w:val="single"/>
        </w:rPr>
        <w:t>Section 15.8</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2.23</w:t>
      </w:r>
    </w:p>
    <w:p>
      <w:pPr>
        <w:pStyle w:val="TextBody"/>
        <w:bidi w:val="0"/>
        <w:spacing w:before="0" w:after="240"/>
        <w:jc w:val="both"/>
        <w:rPr/>
      </w:pPr>
      <w:r>
        <w:rPr>
          <w:color w:val="000000"/>
        </w:rPr>
        <w:t>“</w:t>
      </w:r>
      <w:r>
        <w:rPr>
          <w:rFonts w:ascii="Times New Roman" w:hAnsi="Times New Roman"/>
          <w:b/>
          <w:i/>
          <w:color w:val="000000"/>
          <w:sz w:val="22"/>
        </w:rPr>
        <w:t>Incentive</w:t>
      </w:r>
      <w:r>
        <w:rPr>
          <w:color w:val="000000"/>
        </w:rPr>
        <w:t xml:space="preserve">” </w:t>
      </w:r>
      <w:r>
        <w:rPr>
          <w:rFonts w:ascii="Times New Roman" w:hAnsi="Times New Roman"/>
          <w:color w:val="000000"/>
          <w:sz w:val="22"/>
        </w:rPr>
        <w:t xml:space="preserve">is defined in </w:t>
      </w:r>
      <w:r>
        <w:rPr>
          <w:rFonts w:ascii="Times New Roman" w:hAnsi="Times New Roman"/>
          <w:color w:val="000000"/>
          <w:sz w:val="22"/>
          <w:u w:val="single"/>
        </w:rPr>
        <w:t>Section 2.3</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2.24</w:t>
      </w:r>
    </w:p>
    <w:p>
      <w:pPr>
        <w:pStyle w:val="TextBody"/>
        <w:bidi w:val="0"/>
        <w:spacing w:before="0" w:after="240"/>
        <w:jc w:val="both"/>
        <w:rPr/>
      </w:pPr>
      <w:r>
        <w:rPr>
          <w:color w:val="000000"/>
        </w:rPr>
        <w:t>“</w:t>
      </w:r>
      <w:r>
        <w:rPr>
          <w:rFonts w:ascii="Times New Roman" w:hAnsi="Times New Roman"/>
          <w:b/>
          <w:i/>
          <w:color w:val="000000"/>
          <w:sz w:val="22"/>
        </w:rPr>
        <w:t>Incentive Stock Option</w:t>
      </w:r>
      <w:r>
        <w:rPr>
          <w:color w:val="000000"/>
        </w:rPr>
        <w:t xml:space="preserve">” </w:t>
      </w:r>
      <w:r>
        <w:rPr>
          <w:rFonts w:ascii="Times New Roman" w:hAnsi="Times New Roman"/>
          <w:color w:val="000000"/>
          <w:sz w:val="22"/>
        </w:rPr>
        <w:t>means an incentive stock option within the meaning of Section 422 of the Code, granted pursuant to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2.25</w:t>
      </w:r>
    </w:p>
    <w:p>
      <w:pPr>
        <w:pStyle w:val="TextBody"/>
        <w:bidi w:val="0"/>
        <w:spacing w:before="0" w:after="240"/>
        <w:jc w:val="both"/>
        <w:rPr/>
      </w:pPr>
      <w:r>
        <w:rPr>
          <w:color w:val="000000"/>
        </w:rPr>
        <w:t>“</w:t>
      </w:r>
      <w:r>
        <w:rPr>
          <w:rFonts w:ascii="Times New Roman" w:hAnsi="Times New Roman"/>
          <w:b/>
          <w:i/>
          <w:color w:val="000000"/>
          <w:sz w:val="22"/>
        </w:rPr>
        <w:t>Independent Third Party</w:t>
      </w:r>
      <w:r>
        <w:rPr>
          <w:color w:val="000000"/>
        </w:rPr>
        <w:t xml:space="preserve">” </w:t>
      </w:r>
      <w:r>
        <w:rPr>
          <w:rFonts w:ascii="Times New Roman" w:hAnsi="Times New Roman"/>
          <w:color w:val="000000"/>
          <w:sz w:val="22"/>
        </w:rPr>
        <w:t>means an individual or entity independent of the Company having experience in providing investment banking or similar appraisal or valuation services and with expertise generally in the valuation of securities or other property for purposes of this Plan. The Committee may utilize one or more Independent Third Parties.</w:t>
      </w:r>
    </w:p>
    <w:p>
      <w:pPr>
        <w:pStyle w:val="TextBody"/>
        <w:bidi w:val="0"/>
        <w:jc w:val="center"/>
        <w:rPr>
          <w:rFonts w:ascii="Times New Roman" w:hAnsi="Times New Roman"/>
          <w:color w:val="000000"/>
          <w:sz w:val="22"/>
        </w:rPr>
      </w:pPr>
      <w:r>
        <w:rPr>
          <w:rFonts w:ascii="Times New Roman" w:hAnsi="Times New Roman"/>
          <w:color w:val="000000"/>
          <w:sz w:val="22"/>
        </w:rPr>
        <w:t>B-9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2.26</w:t>
      </w:r>
    </w:p>
    <w:p>
      <w:pPr>
        <w:pStyle w:val="TextBody"/>
        <w:bidi w:val="0"/>
        <w:spacing w:before="0" w:after="240"/>
        <w:jc w:val="both"/>
        <w:rPr/>
      </w:pPr>
      <w:r>
        <w:rPr>
          <w:color w:val="000000"/>
        </w:rPr>
        <w:t>“</w:t>
      </w:r>
      <w:r>
        <w:rPr>
          <w:rFonts w:ascii="Times New Roman" w:hAnsi="Times New Roman"/>
          <w:b/>
          <w:i/>
          <w:color w:val="000000"/>
          <w:sz w:val="22"/>
        </w:rPr>
        <w:t>Nonqualified Stock Option</w:t>
      </w:r>
      <w:r>
        <w:rPr>
          <w:color w:val="000000"/>
        </w:rPr>
        <w:t xml:space="preserve">” </w:t>
      </w:r>
      <w:r>
        <w:rPr>
          <w:rFonts w:ascii="Times New Roman" w:hAnsi="Times New Roman"/>
          <w:color w:val="000000"/>
          <w:sz w:val="22"/>
        </w:rPr>
        <w:t>means a nonqualified stock option, granted pursuant to this Plan, which is not an Incentive Stock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2.27</w:t>
      </w:r>
    </w:p>
    <w:p>
      <w:pPr>
        <w:pStyle w:val="TextBody"/>
        <w:bidi w:val="0"/>
        <w:spacing w:before="0" w:after="240"/>
        <w:jc w:val="both"/>
        <w:rPr/>
      </w:pPr>
      <w:r>
        <w:rPr>
          <w:color w:val="000000"/>
        </w:rPr>
        <w:t>“</w:t>
      </w:r>
      <w:r>
        <w:rPr>
          <w:rFonts w:ascii="Times New Roman" w:hAnsi="Times New Roman"/>
          <w:b/>
          <w:i/>
          <w:color w:val="000000"/>
          <w:sz w:val="22"/>
        </w:rPr>
        <w:t>Option Price</w:t>
      </w:r>
      <w:r>
        <w:rPr>
          <w:color w:val="000000"/>
        </w:rPr>
        <w:t xml:space="preserve">” </w:t>
      </w:r>
      <w:r>
        <w:rPr>
          <w:rFonts w:ascii="Times New Roman" w:hAnsi="Times New Roman"/>
          <w:color w:val="000000"/>
          <w:sz w:val="22"/>
        </w:rPr>
        <w:t>means the price which must be paid by a Participant upon exercise of a Stock Option to purchase a share of Common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2.28</w:t>
      </w:r>
    </w:p>
    <w:p>
      <w:pPr>
        <w:pStyle w:val="TextBody"/>
        <w:bidi w:val="0"/>
        <w:spacing w:before="0" w:after="240"/>
        <w:jc w:val="both"/>
        <w:rPr/>
      </w:pPr>
      <w:r>
        <w:rPr>
          <w:color w:val="000000"/>
        </w:rPr>
        <w:t>“</w:t>
      </w:r>
      <w:r>
        <w:rPr>
          <w:rFonts w:ascii="Times New Roman" w:hAnsi="Times New Roman"/>
          <w:b/>
          <w:i/>
          <w:color w:val="000000"/>
          <w:sz w:val="22"/>
        </w:rPr>
        <w:t>Other Award</w:t>
      </w:r>
      <w:r>
        <w:rPr>
          <w:color w:val="000000"/>
        </w:rPr>
        <w:t xml:space="preserve">” </w:t>
      </w:r>
      <w:r>
        <w:rPr>
          <w:rFonts w:ascii="Times New Roman" w:hAnsi="Times New Roman"/>
          <w:color w:val="000000"/>
          <w:sz w:val="22"/>
        </w:rPr>
        <w:t xml:space="preserve">means an Award issued pursuant to </w:t>
      </w:r>
      <w:r>
        <w:rPr>
          <w:rFonts w:ascii="Times New Roman" w:hAnsi="Times New Roman"/>
          <w:color w:val="000000"/>
          <w:sz w:val="22"/>
          <w:u w:val="single"/>
        </w:rPr>
        <w:t>Section 6.9</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2.29</w:t>
      </w:r>
    </w:p>
    <w:p>
      <w:pPr>
        <w:pStyle w:val="TextBody"/>
        <w:bidi w:val="0"/>
        <w:spacing w:before="0" w:after="240"/>
        <w:jc w:val="both"/>
        <w:rPr/>
      </w:pPr>
      <w:r>
        <w:rPr>
          <w:color w:val="000000"/>
        </w:rPr>
        <w:t>“</w:t>
      </w:r>
      <w:r>
        <w:rPr>
          <w:rFonts w:ascii="Times New Roman" w:hAnsi="Times New Roman"/>
          <w:b/>
          <w:i/>
          <w:color w:val="000000"/>
          <w:sz w:val="22"/>
        </w:rPr>
        <w:t>Outside Director</w:t>
      </w:r>
      <w:r>
        <w:rPr>
          <w:color w:val="000000"/>
        </w:rPr>
        <w:t xml:space="preserve">” </w:t>
      </w:r>
      <w:r>
        <w:rPr>
          <w:rFonts w:ascii="Times New Roman" w:hAnsi="Times New Roman"/>
          <w:color w:val="000000"/>
          <w:sz w:val="22"/>
        </w:rPr>
        <w:t>means a director of the Company who is not an Employee or a Contractor.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2.30</w:t>
      </w:r>
    </w:p>
    <w:p>
      <w:pPr>
        <w:pStyle w:val="TextBody"/>
        <w:bidi w:val="0"/>
        <w:spacing w:before="0" w:after="240"/>
        <w:jc w:val="both"/>
        <w:rPr/>
      </w:pPr>
      <w:r>
        <w:rPr>
          <w:color w:val="000000"/>
        </w:rPr>
        <w:t>“</w:t>
      </w:r>
      <w:r>
        <w:rPr>
          <w:rFonts w:ascii="Times New Roman" w:hAnsi="Times New Roman"/>
          <w:b/>
          <w:i/>
          <w:color w:val="000000"/>
          <w:sz w:val="22"/>
        </w:rPr>
        <w:t>Participant</w:t>
      </w:r>
      <w:r>
        <w:rPr>
          <w:color w:val="000000"/>
        </w:rPr>
        <w:t xml:space="preserve">” </w:t>
      </w:r>
      <w:r>
        <w:rPr>
          <w:rFonts w:ascii="Times New Roman" w:hAnsi="Times New Roman"/>
          <w:color w:val="000000"/>
          <w:sz w:val="22"/>
        </w:rPr>
        <w:t>means an Employee, Contractor or an Outside Director to whom an Award is granted under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2.31</w:t>
      </w:r>
    </w:p>
    <w:p>
      <w:pPr>
        <w:pStyle w:val="TextBody"/>
        <w:bidi w:val="0"/>
        <w:spacing w:before="0" w:after="240"/>
        <w:jc w:val="both"/>
        <w:rPr/>
      </w:pPr>
      <w:r>
        <w:rPr>
          <w:color w:val="000000"/>
        </w:rPr>
        <w:t>“</w:t>
      </w:r>
      <w:r>
        <w:rPr>
          <w:rFonts w:ascii="Times New Roman" w:hAnsi="Times New Roman"/>
          <w:b/>
          <w:i/>
          <w:color w:val="000000"/>
          <w:sz w:val="22"/>
        </w:rPr>
        <w:t>Performance Award</w:t>
      </w:r>
      <w:r>
        <w:rPr>
          <w:color w:val="000000"/>
        </w:rPr>
        <w:t xml:space="preserve">” </w:t>
      </w:r>
      <w:r>
        <w:rPr>
          <w:rFonts w:ascii="Times New Roman" w:hAnsi="Times New Roman"/>
          <w:color w:val="000000"/>
          <w:sz w:val="22"/>
        </w:rPr>
        <w:t xml:space="preserve">means an Award hereunder of cash, shares of Common Stock, units or rights based upon, payable in, or otherwise related to, Common Stock pursuant to </w:t>
      </w:r>
      <w:r>
        <w:rPr>
          <w:rFonts w:ascii="Times New Roman" w:hAnsi="Times New Roman"/>
          <w:color w:val="000000"/>
          <w:sz w:val="22"/>
          <w:u w:val="single"/>
        </w:rPr>
        <w:t>Section 6.7</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2.32</w:t>
      </w:r>
    </w:p>
    <w:p>
      <w:pPr>
        <w:pStyle w:val="TextBody"/>
        <w:bidi w:val="0"/>
        <w:spacing w:before="0" w:after="240"/>
        <w:jc w:val="both"/>
        <w:rPr/>
      </w:pPr>
      <w:r>
        <w:rPr>
          <w:color w:val="000000"/>
        </w:rPr>
        <w:t>“</w:t>
      </w:r>
      <w:r>
        <w:rPr>
          <w:rFonts w:ascii="Times New Roman" w:hAnsi="Times New Roman"/>
          <w:b/>
          <w:i/>
          <w:color w:val="000000"/>
          <w:sz w:val="22"/>
        </w:rPr>
        <w:t>Performance Goal</w:t>
      </w:r>
      <w:r>
        <w:rPr>
          <w:color w:val="000000"/>
        </w:rPr>
        <w:t xml:space="preserve">” </w:t>
      </w:r>
      <w:r>
        <w:rPr>
          <w:rFonts w:ascii="Times New Roman" w:hAnsi="Times New Roman"/>
          <w:color w:val="000000"/>
          <w:sz w:val="22"/>
        </w:rPr>
        <w:t>means any of the performance goals relating to one or more business or individual performance criteria established by the Committee in its sole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2.33</w:t>
      </w:r>
    </w:p>
    <w:p>
      <w:pPr>
        <w:pStyle w:val="TextBody"/>
        <w:bidi w:val="0"/>
        <w:spacing w:before="0" w:after="240"/>
        <w:jc w:val="both"/>
        <w:rPr/>
      </w:pPr>
      <w:r>
        <w:rPr>
          <w:color w:val="000000"/>
        </w:rPr>
        <w:t>“</w:t>
      </w:r>
      <w:r>
        <w:rPr>
          <w:rFonts w:ascii="Times New Roman" w:hAnsi="Times New Roman"/>
          <w:b/>
          <w:i/>
          <w:color w:val="000000"/>
          <w:sz w:val="22"/>
        </w:rPr>
        <w:t>Plan</w:t>
      </w:r>
      <w:r>
        <w:rPr>
          <w:color w:val="000000"/>
        </w:rPr>
        <w:t xml:space="preserve">” </w:t>
      </w:r>
      <w:r>
        <w:rPr>
          <w:rFonts w:ascii="Times New Roman" w:hAnsi="Times New Roman"/>
          <w:color w:val="000000"/>
          <w:sz w:val="22"/>
        </w:rPr>
        <w:t>means this LSB Industries, Inc. 2025</w:t>
      </w:r>
      <w:r>
        <w:rPr>
          <w:color w:val="000000"/>
        </w:rPr>
        <w:t xml:space="preserve"> </w:t>
      </w:r>
      <w:r>
        <w:rPr>
          <w:rFonts w:ascii="Times New Roman" w:hAnsi="Times New Roman"/>
          <w:color w:val="000000"/>
          <w:sz w:val="22"/>
        </w:rPr>
        <w:t>Long-Term Incentive Plan, as amended from time to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2.34</w:t>
      </w:r>
    </w:p>
    <w:p>
      <w:pPr>
        <w:pStyle w:val="TextBody"/>
        <w:bidi w:val="0"/>
        <w:spacing w:before="0" w:after="240"/>
        <w:jc w:val="both"/>
        <w:rPr/>
      </w:pPr>
      <w:r>
        <w:rPr>
          <w:color w:val="000000"/>
        </w:rPr>
        <w:t>“</w:t>
      </w:r>
      <w:r>
        <w:rPr>
          <w:rFonts w:ascii="Times New Roman" w:hAnsi="Times New Roman"/>
          <w:b/>
          <w:i/>
          <w:color w:val="000000"/>
          <w:sz w:val="22"/>
        </w:rPr>
        <w:t>Prior Plans</w:t>
      </w:r>
      <w:r>
        <w:rPr>
          <w:color w:val="000000"/>
        </w:rPr>
        <w:t xml:space="preserve">” </w:t>
      </w:r>
      <w:r>
        <w:rPr>
          <w:rFonts w:ascii="Times New Roman" w:hAnsi="Times New Roman"/>
          <w:color w:val="000000"/>
          <w:sz w:val="22"/>
        </w:rPr>
        <w:t>mean the LSB Industries, Inc. 2008 Incentive Stock Plan, as amended effective June 5, 2014 and LSB Industries, Inc. 2016 Long Term Incentive Plan, as amended and restated March 4, 2021.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2.35</w:t>
      </w:r>
    </w:p>
    <w:p>
      <w:pPr>
        <w:pStyle w:val="TextBody"/>
        <w:bidi w:val="0"/>
        <w:spacing w:before="0" w:after="240"/>
        <w:jc w:val="both"/>
        <w:rPr/>
      </w:pPr>
      <w:r>
        <w:rPr>
          <w:color w:val="000000"/>
        </w:rPr>
        <w:t>“</w:t>
      </w:r>
      <w:r>
        <w:rPr>
          <w:rFonts w:ascii="Times New Roman" w:hAnsi="Times New Roman"/>
          <w:b/>
          <w:i/>
          <w:color w:val="000000"/>
          <w:sz w:val="22"/>
        </w:rPr>
        <w:t>Prior Plan Awards</w:t>
      </w:r>
      <w:r>
        <w:rPr>
          <w:color w:val="000000"/>
        </w:rPr>
        <w:t xml:space="preserve">” </w:t>
      </w:r>
      <w:r>
        <w:rPr>
          <w:rFonts w:ascii="Times New Roman" w:hAnsi="Times New Roman"/>
          <w:color w:val="000000"/>
          <w:sz w:val="22"/>
        </w:rPr>
        <w:t xml:space="preserve">means any awards that are outstanding under any Prior Plan immediately prior to the Effective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2.36</w:t>
      </w:r>
    </w:p>
    <w:p>
      <w:pPr>
        <w:pStyle w:val="TextBody"/>
        <w:bidi w:val="0"/>
        <w:spacing w:before="0" w:after="240"/>
        <w:jc w:val="both"/>
        <w:rPr/>
      </w:pPr>
      <w:r>
        <w:rPr>
          <w:color w:val="000000"/>
        </w:rPr>
        <w:t>“</w:t>
      </w:r>
      <w:r>
        <w:rPr>
          <w:rFonts w:ascii="Times New Roman" w:hAnsi="Times New Roman"/>
          <w:b/>
          <w:i/>
          <w:color w:val="000000"/>
          <w:sz w:val="22"/>
        </w:rPr>
        <w:t>Reporting Participant</w:t>
      </w:r>
      <w:r>
        <w:rPr>
          <w:color w:val="000000"/>
        </w:rPr>
        <w:t xml:space="preserve">” </w:t>
      </w:r>
      <w:r>
        <w:rPr>
          <w:rFonts w:ascii="Times New Roman" w:hAnsi="Times New Roman"/>
          <w:color w:val="000000"/>
          <w:sz w:val="22"/>
        </w:rPr>
        <w:t>means a Participant who is subject to the reporting requirements of Section 16 of the Exchange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2.37</w:t>
      </w:r>
    </w:p>
    <w:p>
      <w:pPr>
        <w:pStyle w:val="TextBody"/>
        <w:bidi w:val="0"/>
        <w:spacing w:before="0" w:after="240"/>
        <w:jc w:val="both"/>
        <w:rPr/>
      </w:pPr>
      <w:r>
        <w:rPr>
          <w:color w:val="000000"/>
        </w:rPr>
        <w:t>“</w:t>
      </w:r>
      <w:r>
        <w:rPr>
          <w:rFonts w:ascii="Times New Roman" w:hAnsi="Times New Roman"/>
          <w:b/>
          <w:i/>
          <w:color w:val="000000"/>
          <w:sz w:val="22"/>
        </w:rPr>
        <w:t>Restricted Stock</w:t>
      </w:r>
      <w:r>
        <w:rPr>
          <w:color w:val="000000"/>
        </w:rPr>
        <w:t xml:space="preserve">” </w:t>
      </w:r>
      <w:r>
        <w:rPr>
          <w:rFonts w:ascii="Times New Roman" w:hAnsi="Times New Roman"/>
          <w:color w:val="000000"/>
          <w:sz w:val="22"/>
        </w:rPr>
        <w:t xml:space="preserve">means shares of Common Stock issued or transferred to a Participant pursuant to </w:t>
      </w:r>
      <w:r>
        <w:rPr>
          <w:rFonts w:ascii="Times New Roman" w:hAnsi="Times New Roman"/>
          <w:color w:val="000000"/>
          <w:sz w:val="22"/>
          <w:u w:val="single"/>
        </w:rPr>
        <w:t>Section 6.4</w:t>
      </w:r>
      <w:r>
        <w:rPr>
          <w:color w:val="000000"/>
        </w:rPr>
        <w:t xml:space="preserve"> </w:t>
      </w:r>
      <w:r>
        <w:rPr>
          <w:rFonts w:ascii="Times New Roman" w:hAnsi="Times New Roman"/>
          <w:color w:val="000000"/>
          <w:sz w:val="22"/>
        </w:rPr>
        <w:t>of this Plan which are subject to restrictions or limitations set forth in this Plan and in the related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2.38</w:t>
      </w:r>
    </w:p>
    <w:p>
      <w:pPr>
        <w:pStyle w:val="TextBody"/>
        <w:bidi w:val="0"/>
        <w:spacing w:before="0" w:after="240"/>
        <w:jc w:val="both"/>
        <w:rPr/>
      </w:pPr>
      <w:r>
        <w:rPr>
          <w:color w:val="000000"/>
        </w:rPr>
        <w:t>“</w:t>
      </w:r>
      <w:r>
        <w:rPr>
          <w:rFonts w:ascii="Times New Roman" w:hAnsi="Times New Roman"/>
          <w:b/>
          <w:i/>
          <w:color w:val="000000"/>
          <w:sz w:val="22"/>
        </w:rPr>
        <w:t>Restricted Stock Units</w:t>
      </w:r>
      <w:r>
        <w:rPr>
          <w:color w:val="000000"/>
        </w:rPr>
        <w:t xml:space="preserve">” </w:t>
      </w:r>
      <w:r>
        <w:rPr>
          <w:rFonts w:ascii="Times New Roman" w:hAnsi="Times New Roman"/>
          <w:color w:val="000000"/>
          <w:sz w:val="22"/>
        </w:rPr>
        <w:t xml:space="preserve">means units awarded to Participants pursuant to </w:t>
      </w:r>
      <w:r>
        <w:rPr>
          <w:rFonts w:ascii="Times New Roman" w:hAnsi="Times New Roman"/>
          <w:color w:val="000000"/>
          <w:sz w:val="22"/>
          <w:u w:val="single"/>
        </w:rPr>
        <w:t>Section 6.6</w:t>
      </w:r>
      <w:r>
        <w:rPr>
          <w:color w:val="000000"/>
        </w:rPr>
        <w:t xml:space="preserve"> </w:t>
      </w:r>
      <w:r>
        <w:rPr>
          <w:rFonts w:ascii="Times New Roman" w:hAnsi="Times New Roman"/>
          <w:color w:val="000000"/>
          <w:sz w:val="22"/>
        </w:rPr>
        <w:t>hereof, which are convertible into Common Stock at such time as such units are no longer subject to restrictions as established by the Committee.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2.39</w:t>
      </w:r>
    </w:p>
    <w:p>
      <w:pPr>
        <w:pStyle w:val="TextBody"/>
        <w:bidi w:val="0"/>
        <w:spacing w:before="0" w:after="240"/>
        <w:jc w:val="both"/>
        <w:rPr/>
      </w:pPr>
      <w:r>
        <w:rPr>
          <w:color w:val="000000"/>
        </w:rPr>
        <w:t>“</w:t>
      </w:r>
      <w:r>
        <w:rPr>
          <w:rFonts w:ascii="Times New Roman" w:hAnsi="Times New Roman"/>
          <w:b/>
          <w:i/>
          <w:color w:val="000000"/>
          <w:sz w:val="22"/>
        </w:rPr>
        <w:t>Restriction Period</w:t>
      </w:r>
      <w:r>
        <w:rPr>
          <w:color w:val="000000"/>
        </w:rPr>
        <w:t xml:space="preserve">” </w:t>
      </w:r>
      <w:r>
        <w:rPr>
          <w:rFonts w:ascii="Times New Roman" w:hAnsi="Times New Roman"/>
          <w:color w:val="000000"/>
          <w:sz w:val="22"/>
        </w:rPr>
        <w:t xml:space="preserve">is defined in </w:t>
      </w:r>
      <w:r>
        <w:rPr>
          <w:rFonts w:ascii="Times New Roman" w:hAnsi="Times New Roman"/>
          <w:color w:val="000000"/>
          <w:sz w:val="22"/>
          <w:u w:val="single"/>
        </w:rPr>
        <w:t>Section 6.4(b)(i)</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2.40</w:t>
      </w:r>
    </w:p>
    <w:p>
      <w:pPr>
        <w:pStyle w:val="TextBody"/>
        <w:bidi w:val="0"/>
        <w:spacing w:before="0" w:after="240"/>
        <w:jc w:val="both"/>
        <w:rPr/>
      </w:pPr>
      <w:r>
        <w:rPr>
          <w:color w:val="000000"/>
        </w:rPr>
        <w:t>“</w:t>
      </w:r>
      <w:r>
        <w:rPr>
          <w:rFonts w:ascii="Times New Roman" w:hAnsi="Times New Roman"/>
          <w:b/>
          <w:i/>
          <w:color w:val="000000"/>
          <w:sz w:val="22"/>
        </w:rPr>
        <w:t>SAR</w:t>
      </w:r>
      <w:r>
        <w:rPr>
          <w:color w:val="000000"/>
        </w:rPr>
        <w:t xml:space="preserve">” </w:t>
      </w:r>
      <w:r>
        <w:rPr>
          <w:rFonts w:ascii="Times New Roman" w:hAnsi="Times New Roman"/>
          <w:color w:val="000000"/>
          <w:sz w:val="22"/>
        </w:rPr>
        <w:t>or “</w:t>
      </w:r>
      <w:r>
        <w:rPr>
          <w:rFonts w:ascii="Times New Roman" w:hAnsi="Times New Roman"/>
          <w:b/>
          <w:color w:val="000000"/>
          <w:sz w:val="22"/>
        </w:rPr>
        <w:t>S</w:t>
      </w:r>
      <w:r>
        <w:rPr>
          <w:rFonts w:ascii="Times New Roman" w:hAnsi="Times New Roman"/>
          <w:b/>
          <w:i/>
          <w:color w:val="000000"/>
          <w:sz w:val="22"/>
        </w:rPr>
        <w:t>tock Appreciation Right</w:t>
      </w:r>
      <w:r>
        <w:rPr>
          <w:color w:val="000000"/>
        </w:rPr>
        <w:t xml:space="preserve">” </w:t>
      </w:r>
      <w:r>
        <w:rPr>
          <w:rFonts w:ascii="Times New Roman" w:hAnsi="Times New Roman"/>
          <w:color w:val="000000"/>
          <w:sz w:val="22"/>
        </w:rPr>
        <w:t>means the right to receive an amount, in cash and/or Common Stock, equal to the excess of the Fair Market Value of a specified number of shares of Common Stock as of the date the SAR is exercised (or, as provided in the Award Agreement, converted) over the SAR Price for such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2.41</w:t>
      </w:r>
    </w:p>
    <w:p>
      <w:pPr>
        <w:pStyle w:val="TextBody"/>
        <w:bidi w:val="0"/>
        <w:spacing w:before="0" w:after="240"/>
        <w:jc w:val="both"/>
        <w:rPr/>
      </w:pPr>
      <w:r>
        <w:rPr>
          <w:color w:val="000000"/>
        </w:rPr>
        <w:t>“</w:t>
      </w:r>
      <w:r>
        <w:rPr>
          <w:rFonts w:ascii="Times New Roman" w:hAnsi="Times New Roman"/>
          <w:b/>
          <w:i/>
          <w:color w:val="000000"/>
          <w:sz w:val="22"/>
        </w:rPr>
        <w:t>SAR Price</w:t>
      </w:r>
      <w:r>
        <w:rPr>
          <w:color w:val="000000"/>
        </w:rPr>
        <w:t xml:space="preserve">” </w:t>
      </w:r>
      <w:r>
        <w:rPr>
          <w:rFonts w:ascii="Times New Roman" w:hAnsi="Times New Roman"/>
          <w:color w:val="000000"/>
          <w:sz w:val="22"/>
        </w:rPr>
        <w:t>means the exercise price or conversion price of each share of Common Stock covered by a SAR, determined on the Date of Grant of the SAR.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2.42</w:t>
      </w:r>
    </w:p>
    <w:p>
      <w:pPr>
        <w:pStyle w:val="TextBody"/>
        <w:bidi w:val="0"/>
        <w:spacing w:before="0" w:after="240"/>
        <w:jc w:val="both"/>
        <w:rPr/>
      </w:pPr>
      <w:r>
        <w:rPr>
          <w:color w:val="000000"/>
        </w:rPr>
        <w:t>“</w:t>
      </w:r>
      <w:r>
        <w:rPr>
          <w:rFonts w:ascii="Times New Roman" w:hAnsi="Times New Roman"/>
          <w:b/>
          <w:i/>
          <w:color w:val="000000"/>
          <w:sz w:val="22"/>
        </w:rPr>
        <w:t>Spread</w:t>
      </w:r>
      <w:r>
        <w:rPr>
          <w:color w:val="000000"/>
        </w:rPr>
        <w:t xml:space="preserve">” </w:t>
      </w:r>
      <w:r>
        <w:rPr>
          <w:rFonts w:ascii="Times New Roman" w:hAnsi="Times New Roman"/>
          <w:color w:val="000000"/>
          <w:sz w:val="22"/>
        </w:rPr>
        <w:t xml:space="preserve">is defined in </w:t>
      </w:r>
      <w:r>
        <w:rPr>
          <w:rFonts w:ascii="Times New Roman" w:hAnsi="Times New Roman"/>
          <w:color w:val="000000"/>
          <w:sz w:val="22"/>
          <w:u w:val="single"/>
        </w:rPr>
        <w:t>Section 12.4(b)</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2.43</w:t>
      </w:r>
    </w:p>
    <w:p>
      <w:pPr>
        <w:pStyle w:val="TextBody"/>
        <w:bidi w:val="0"/>
        <w:spacing w:before="0" w:after="240"/>
        <w:jc w:val="both"/>
        <w:rPr/>
      </w:pPr>
      <w:r>
        <w:rPr>
          <w:color w:val="000000"/>
        </w:rPr>
        <w:t>“</w:t>
      </w:r>
      <w:r>
        <w:rPr>
          <w:rFonts w:ascii="Times New Roman" w:hAnsi="Times New Roman"/>
          <w:b/>
          <w:i/>
          <w:color w:val="000000"/>
          <w:sz w:val="22"/>
        </w:rPr>
        <w:t>Stock Option</w:t>
      </w:r>
      <w:r>
        <w:rPr>
          <w:color w:val="000000"/>
        </w:rPr>
        <w:t xml:space="preserve">” </w:t>
      </w:r>
      <w:r>
        <w:rPr>
          <w:rFonts w:ascii="Times New Roman" w:hAnsi="Times New Roman"/>
          <w:color w:val="000000"/>
          <w:sz w:val="22"/>
        </w:rPr>
        <w:t>means a Nonqualified Stock Option or an Incentive Stock Option.</w:t>
      </w:r>
    </w:p>
    <w:p>
      <w:pPr>
        <w:pStyle w:val="TextBody"/>
        <w:bidi w:val="0"/>
        <w:jc w:val="center"/>
        <w:rPr>
          <w:rFonts w:ascii="Times New Roman" w:hAnsi="Times New Roman"/>
          <w:color w:val="000000"/>
          <w:sz w:val="22"/>
        </w:rPr>
      </w:pPr>
      <w:r>
        <w:rPr>
          <w:rFonts w:ascii="Times New Roman" w:hAnsi="Times New Roman"/>
          <w:color w:val="000000"/>
          <w:sz w:val="22"/>
        </w:rPr>
        <w:t>B-10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2.44</w:t>
      </w:r>
    </w:p>
    <w:p>
      <w:pPr>
        <w:pStyle w:val="TextBody"/>
        <w:bidi w:val="0"/>
        <w:spacing w:before="0" w:after="240"/>
        <w:jc w:val="both"/>
        <w:rPr/>
      </w:pPr>
      <w:r>
        <w:rPr>
          <w:color w:val="000000"/>
        </w:rPr>
        <w:t>“</w:t>
      </w:r>
      <w:r>
        <w:rPr>
          <w:rFonts w:ascii="Times New Roman" w:hAnsi="Times New Roman"/>
          <w:b/>
          <w:i/>
          <w:color w:val="000000"/>
          <w:sz w:val="22"/>
        </w:rPr>
        <w:t>Subsidiary</w:t>
      </w:r>
      <w:r>
        <w:rPr>
          <w:color w:val="000000"/>
        </w:rPr>
        <w:t xml:space="preserve">” </w:t>
      </w:r>
      <w:r>
        <w:rPr>
          <w:rFonts w:ascii="Times New Roman" w:hAnsi="Times New Roman"/>
          <w:color w:val="000000"/>
          <w:sz w:val="22"/>
        </w:rPr>
        <w:t>means (a) any corporation in an unbroken chain of corporations beginning with the Company, if each of the corporations other than the last corporation in the unbroken chain owns stock possessing a majority of the total combined voting power of all classes of stock in one of the other corporations in the chain, (b) any limited partnership, if the Company or any corporation described in item (a) above owns a majority of the general partnership interest and a majority of the limited partnership interests entitled to vote on the removal and replacement of the general partner, and (c) any partnership or limited liability company, if the partners or members thereof are composed only of the Company, any corporation listed in item (a) above or any limited partnership listed in item (b) above. “</w:t>
      </w:r>
      <w:r>
        <w:rPr>
          <w:rFonts w:ascii="Times New Roman" w:hAnsi="Times New Roman"/>
          <w:b/>
          <w:i/>
          <w:color w:val="000000"/>
          <w:sz w:val="22"/>
        </w:rPr>
        <w:t>Subsidiaries</w:t>
      </w:r>
      <w:r>
        <w:rPr>
          <w:color w:val="000000"/>
        </w:rPr>
        <w:t xml:space="preserve">” </w:t>
      </w:r>
      <w:r>
        <w:rPr>
          <w:rFonts w:ascii="Times New Roman" w:hAnsi="Times New Roman"/>
          <w:color w:val="000000"/>
          <w:sz w:val="22"/>
        </w:rPr>
        <w:t>means more than one of any such corporations, limited partnerships, partnerships or limited liability companies.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2.45</w:t>
      </w:r>
    </w:p>
    <w:p>
      <w:pPr>
        <w:pStyle w:val="TextBody"/>
        <w:bidi w:val="0"/>
        <w:spacing w:before="0" w:after="240"/>
        <w:jc w:val="both"/>
        <w:rPr/>
      </w:pPr>
      <w:r>
        <w:rPr>
          <w:color w:val="000000"/>
        </w:rPr>
        <w:t>“</w:t>
      </w:r>
      <w:r>
        <w:rPr>
          <w:rFonts w:ascii="Times New Roman" w:hAnsi="Times New Roman"/>
          <w:b/>
          <w:i/>
          <w:color w:val="000000"/>
          <w:sz w:val="22"/>
        </w:rPr>
        <w:t>Termination of Service</w:t>
      </w:r>
      <w:r>
        <w:rPr>
          <w:color w:val="000000"/>
        </w:rPr>
        <w:t xml:space="preserve">” </w:t>
      </w:r>
      <w:r>
        <w:rPr>
          <w:rFonts w:ascii="Times New Roman" w:hAnsi="Times New Roman"/>
          <w:color w:val="000000"/>
          <w:sz w:val="22"/>
        </w:rPr>
        <w:t xml:space="preserve">occurs when a Participant who is (a) an Employee of the Company or any Subsidiary ceases to serve as an Employee of the Company and its Subsidiaries, for any reason; (b) an Outside Director of the Company or a Subsidiary ceases to serve as a director of the Company and its Subsidiaries for any reason; or (c) a Contractor of the Company or a Subsidiary ceases to serve as a Contractor of the Company and its Subsidiaries for any reason. Except as may be necessary or desirable to comply with applicable federal or state law or as otherwise may be provided by a Participant’s Award Agreement, a “Termination of Service” shall not be deemed to have occurred when a Participant who is an Employee becomes an Outside Director or Contractor or vice versa. If, however, a Participant who is an Employee and who has an Incentive Stock Option ceases to be an Employee but does not suffer a Termination of Service, and if that Participant does not exercise the Incentive Stock Option within the time required under Section 422 of the Code upon ceasing to be an Employee, the Incentive Stock Option shall thereafter become a Nonqualified Stock Option. Notwithstanding the foregoing provisions of this </w:t>
      </w:r>
      <w:r>
        <w:rPr>
          <w:rFonts w:ascii="Times New Roman" w:hAnsi="Times New Roman"/>
          <w:color w:val="000000"/>
          <w:sz w:val="22"/>
          <w:u w:val="single"/>
        </w:rPr>
        <w:t>Section 2.45</w:t>
      </w:r>
      <w:r>
        <w:rPr>
          <w:rFonts w:ascii="Times New Roman" w:hAnsi="Times New Roman"/>
          <w:color w:val="000000"/>
          <w:sz w:val="22"/>
        </w:rPr>
        <w:t>, in the event an Award issued under the Plan is subject to Section 409A of the Code, then, in lieu of the foregoing definition and to the extent necessary to comply with the requirements of Section 409A of the Code, the definition of “Termination of Service” for purposes of such Award shall be the definition of “separation from service” provided for under Section 409A of the Code and the regulations or other guidance issued thereunder.</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2.46</w:t>
      </w:r>
    </w:p>
    <w:p>
      <w:pPr>
        <w:pStyle w:val="TextBody"/>
        <w:bidi w:val="0"/>
        <w:spacing w:before="0" w:after="480"/>
        <w:jc w:val="both"/>
        <w:rPr/>
      </w:pPr>
      <w:r>
        <w:rPr>
          <w:color w:val="000000"/>
        </w:rPr>
        <w:t>“</w:t>
      </w:r>
      <w:r>
        <w:rPr>
          <w:rFonts w:ascii="Times New Roman" w:hAnsi="Times New Roman"/>
          <w:b/>
          <w:i/>
          <w:color w:val="000000"/>
          <w:sz w:val="22"/>
        </w:rPr>
        <w:t>Total and Permanent Disability</w:t>
      </w:r>
      <w:r>
        <w:rPr>
          <w:color w:val="000000"/>
        </w:rPr>
        <w:t xml:space="preserve">” </w:t>
      </w:r>
      <w:r>
        <w:rPr>
          <w:rFonts w:ascii="Times New Roman" w:hAnsi="Times New Roman"/>
          <w:color w:val="000000"/>
          <w:sz w:val="22"/>
        </w:rPr>
        <w:t xml:space="preserve">means a Participant is qualified for long-term disability benefits under the Company’s or Subsidiary’s disability plan or insurance policy or under any applicable non-U.S. law; or, if no such plan or policy is then in existence or if the Participant is not eligible to participate in such plan or policy, that the Participant, because of a physical or mental condition resulting from bodily injury, disease, or mental disorder, is unable to perform the Participant’s duties of employment for a period of six continuous months, as determined in good faith by the Committee, based upon medical reports or other evidence satisfactory to the Committee; </w:t>
      </w:r>
      <w:r>
        <w:rPr>
          <w:rFonts w:ascii="Times New Roman" w:hAnsi="Times New Roman"/>
          <w:color w:val="000000"/>
          <w:sz w:val="22"/>
          <w:u w:val="single"/>
        </w:rPr>
        <w:t>provided</w:t>
      </w:r>
      <w:r>
        <w:rPr>
          <w:color w:val="000000"/>
        </w:rPr>
        <w:t xml:space="preserve"> </w:t>
      </w:r>
      <w:r>
        <w:rPr>
          <w:rFonts w:ascii="Times New Roman" w:hAnsi="Times New Roman"/>
          <w:color w:val="000000"/>
          <w:sz w:val="22"/>
          <w:u w:val="single"/>
        </w:rPr>
        <w:t>that</w:t>
      </w:r>
      <w:r>
        <w:rPr>
          <w:rFonts w:ascii="Times New Roman" w:hAnsi="Times New Roman"/>
          <w:color w:val="000000"/>
          <w:sz w:val="22"/>
        </w:rPr>
        <w:t xml:space="preserve">, with respect to any Incentive Stock Option, Total and Permanent Disability shall have the meaning given it under the rules governing Incentive Stock Options under the Code. Notwithstanding the foregoing provisions of this </w:t>
      </w:r>
      <w:r>
        <w:rPr>
          <w:rFonts w:ascii="Times New Roman" w:hAnsi="Times New Roman"/>
          <w:color w:val="000000"/>
          <w:sz w:val="22"/>
          <w:u w:val="single"/>
        </w:rPr>
        <w:t>Section 2.46</w:t>
      </w:r>
      <w:r>
        <w:rPr>
          <w:rFonts w:ascii="Times New Roman" w:hAnsi="Times New Roman"/>
          <w:color w:val="000000"/>
          <w:sz w:val="22"/>
        </w:rPr>
        <w:t>, in the event an Award issued under the Plan is subject to Section 409A of the Code, then, in lieu of the foregoing definition and to the extent necessary to comply with the requirements of Section 409A of the Code, the definition of “Total and Permanent Disability” for purposes of such Award shall be the definition of “disability” provided for under Section 409A of the Code and the regulations or other guidance issued thereunder.</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3.</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ADMINISTRATION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w:t>
      </w:r>
    </w:p>
    <w:p>
      <w:pPr>
        <w:pStyle w:val="TextBody"/>
        <w:bidi w:val="0"/>
        <w:spacing w:before="0" w:after="240"/>
        <w:jc w:val="both"/>
        <w:rPr/>
      </w:pPr>
      <w:r>
        <w:rPr>
          <w:rFonts w:ascii="Times New Roman" w:hAnsi="Times New Roman"/>
          <w:b/>
          <w:color w:val="000000"/>
          <w:sz w:val="22"/>
        </w:rPr>
        <w:t>General Administration; Establishment of Committee.</w:t>
      </w:r>
      <w:r>
        <w:rPr>
          <w:color w:val="000000"/>
        </w:rPr>
        <w:t xml:space="preserve"> </w:t>
      </w:r>
      <w:r>
        <w:rPr>
          <w:rFonts w:ascii="Times New Roman" w:hAnsi="Times New Roman"/>
          <w:color w:val="000000"/>
          <w:sz w:val="22"/>
        </w:rPr>
        <w:t xml:space="preserve">Subject to the terms of this </w:t>
      </w:r>
      <w:r>
        <w:rPr>
          <w:rFonts w:ascii="Times New Roman" w:hAnsi="Times New Roman"/>
          <w:color w:val="000000"/>
          <w:sz w:val="22"/>
          <w:u w:val="single"/>
        </w:rPr>
        <w:t>Article 3</w:t>
      </w:r>
      <w:r>
        <w:rPr>
          <w:rFonts w:ascii="Times New Roman" w:hAnsi="Times New Roman"/>
          <w:color w:val="000000"/>
          <w:sz w:val="22"/>
        </w:rPr>
        <w:t>, the Plan shall be administered by the Board or the Committee, if a Committee is designated by the Board to administer the Plan. The Committee shall consist of not fewer than two persons, unless there are not two members of the Board who meet the qualification requirements set forth herein to administer the Plan, in which case, the Committee may consist of one person. Any member of the Committee may be removed at any time, with or without cause, by resolution of the Board. Any vacancy occurring in the membership of the Committee may be filled by appointment by the Board. At any time there is no Committee to administer the Plan, any references in this Plan to the Committee shall be deemed to refer to the Board.</w:t>
      </w:r>
    </w:p>
    <w:p>
      <w:pPr>
        <w:pStyle w:val="TextBody"/>
        <w:bidi w:val="0"/>
        <w:jc w:val="center"/>
        <w:rPr>
          <w:rFonts w:ascii="Times New Roman" w:hAnsi="Times New Roman"/>
          <w:color w:val="000000"/>
          <w:sz w:val="22"/>
        </w:rPr>
      </w:pPr>
      <w:r>
        <w:rPr>
          <w:rFonts w:ascii="Times New Roman" w:hAnsi="Times New Roman"/>
          <w:color w:val="000000"/>
          <w:sz w:val="22"/>
        </w:rPr>
        <w:t>B-11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Membership on the Committee shall be limited to those members of the Board who are “non-employee directors” as defined in Rule 16b-3 promulgated under the Exchange Act. The Committee shall select one of its members to act as its Chairman. A majority of the Committee shall constitute a quorum, and the act of a majority of the members of the Committee present at a meeting at which a quorum is present shall be the act of the Committee.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Designation of Participants and Awards.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Committee or the Board shall determine and designate from time to time the eligible persons to whom Awards will be granted and shall set forth in each related Award Agreement, where applicable, the Award Period, the Date of Grant, and such other terms, provisions, limitations, and performance requirements, as are approved by the Committee, but not inconsistent with the Plan. The Committee shall determine whether an Award shall include one type of Incentive or two or more Incentives granted in combination or two or more Incentives granted in tandem (that is, a joint grant where exercise of one Incentive results in cancellation of all or a portion of the other Incentive). Although the members of the Committee shall be eligible to receive Awards, all decisions with respect to any Award, and the terms and conditions thereof, to be granted under the Plan to any member of the Committee shall be made solely and exclusively by the other members of the Committee, or if such member is the only member of the Committee, by the Board.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Notwithstanding </w:t>
      </w:r>
      <w:r>
        <w:rPr>
          <w:rFonts w:ascii="Times New Roman" w:hAnsi="Times New Roman"/>
          <w:color w:val="000000"/>
          <w:sz w:val="22"/>
          <w:u w:val="single"/>
        </w:rPr>
        <w:t>Section 3.2(a)</w:t>
      </w:r>
      <w:r>
        <w:rPr>
          <w:rFonts w:ascii="Times New Roman" w:hAnsi="Times New Roman"/>
          <w:color w:val="000000"/>
          <w:sz w:val="22"/>
        </w:rPr>
        <w:t>, to the extent permitted by Applicable Law, the Board may, in its discretion and by a resolution adopted by the Board, authorize one or more officers of the Company (an “</w:t>
      </w:r>
      <w:r>
        <w:rPr>
          <w:rFonts w:ascii="Times New Roman" w:hAnsi="Times New Roman"/>
          <w:b/>
          <w:i/>
          <w:color w:val="000000"/>
          <w:sz w:val="22"/>
        </w:rPr>
        <w:t>Authorized Officer</w:t>
      </w:r>
      <w:r>
        <w:rPr>
          <w:color w:val="000000"/>
        </w:rPr>
        <w:t>”</w:t>
      </w:r>
      <w:r>
        <w:rPr>
          <w:rFonts w:ascii="Times New Roman" w:hAnsi="Times New Roman"/>
          <w:color w:val="000000"/>
          <w:sz w:val="22"/>
        </w:rPr>
        <w:t xml:space="preserve">) to (i) designate one or more Employees as eligible persons to whom Awards will be granted under the Plan, and (ii) determine the number of shares of Common Stock that will be subject to such Awards;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resolution of the Board granting such authority shall (x) specify the total number of shares of Common Stock that may be made subject to the Awards, (y) set forth the price or prices (or a formula by which such price or prices may be determined) to be paid for the purchase of the Common Stock subject to such Awards, and (z) not authorize an officer to designate such officer as a recipient of any Award.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3.3</w:t>
      </w:r>
    </w:p>
    <w:p>
      <w:pPr>
        <w:pStyle w:val="TextBody"/>
        <w:bidi w:val="0"/>
        <w:spacing w:before="0" w:after="240"/>
        <w:jc w:val="both"/>
        <w:rPr/>
      </w:pPr>
      <w:r>
        <w:rPr>
          <w:rFonts w:ascii="Times New Roman" w:hAnsi="Times New Roman"/>
          <w:b/>
          <w:color w:val="000000"/>
          <w:sz w:val="22"/>
        </w:rPr>
        <w:t>Authority of the Committee.</w:t>
      </w:r>
      <w:r>
        <w:rPr>
          <w:color w:val="000000"/>
        </w:rPr>
        <w:t xml:space="preserve"> </w:t>
      </w:r>
      <w:r>
        <w:rPr>
          <w:rFonts w:ascii="Times New Roman" w:hAnsi="Times New Roman"/>
          <w:color w:val="000000"/>
          <w:sz w:val="22"/>
        </w:rPr>
        <w:t>The Committee, in its discretion, shall (a) interpret the Plan and Award Agreements, (b) prescribe, amend, and rescind any rules and regulations, and sub-plans (including sub-plans for Awards made to Participants who are not residents in the United States) as necessary or appropriate for the administration of the Plan, to obtain favorable tax treatment for the Awards or to ensure compliance with securities law, (c) establish performance goals for an Award and certify the extent of their achievement, and (d) make such other determinations or certifications and take such other action as it deems necessary or advisable in the administration of the Plan. Any interpretation, determination, or other action made or taken by the Committee shall be final, binding, and conclusive on all interested parties. The Committee’s discretion set forth herein shall not be limited by any provision of the Plan, including any provision which by its terms is applicable notwithstanding any other provision of the Plan to the contrary.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Committee may delegate to officers of the Company, pursuant to a written delegation, the authority to perform specified functions under the Plan. Any actions taken by any officers of the Company pursuant to such written delegation of authority shall be deemed to have been taken by the Committee.</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With respect to restrictions in the Plan that are based on the requirements of Rule 16b</w:t>
        <w:noBreakHyphen/>
        <w:t>3 promulgated under the Exchange Act, Section 422 of the Code, the rules of any exchange or inter-dealer quotation system upon which the Company’s securities are listed or quoted, or any other Applicable Law, to the extent that any such restrictions are no longer required by Applicable Law, the Committee shall have the sole discretion and authority to grant Awards that are not subject to such formerly mandated restrictions and/or to waive any such formerly mandated restrictions with respect to outstanding Awards.</w:t>
      </w:r>
    </w:p>
    <w:p>
      <w:pPr>
        <w:pStyle w:val="TextBody"/>
        <w:bidi w:val="0"/>
        <w:jc w:val="center"/>
        <w:rPr>
          <w:rFonts w:ascii="Times New Roman" w:hAnsi="Times New Roman"/>
          <w:color w:val="000000"/>
          <w:sz w:val="22"/>
        </w:rPr>
      </w:pPr>
      <w:r>
        <w:rPr>
          <w:rFonts w:ascii="Times New Roman" w:hAnsi="Times New Roman"/>
          <w:color w:val="000000"/>
          <w:sz w:val="22"/>
        </w:rPr>
        <w:t>B-12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4.</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ELIGIBILITY</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Any Employee (including an Employee who is also a director or an officer), Contractor or Outside Director of the Company whose judgment, initiative, and efforts contributed or may be expected to contribute to the successful performance of the Company is eligible to participate in the Plan; provided that only Employees of a Corporation shall be eligible to receive Incentive Stock Options. The Committee, upon its own action, may grant, but shall not be required to grant, an Award to any Employee, Contractor or Outside Director. Awards may be granted by the Committee at any time and from time to time to new Participants, or to then Participants, or to a greater or lesser number of Participants, and may include or exclude previous Participants, as the Committee shall determine. Except as required by this Plan, Awards need not contain similar provisions. The Committee’s determinations under the Plan (including without limitation determinations of which Employees, Contractors or Outside Directors, if any, are to receive Awards, the form, amount and timing of such Awards, the terms and provisions of such Awards and the agreements evidencing same) need not be uniform and may be made by it selectively among Participants who receive, or are eligible to receive, Awards under the Plan.</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5.</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SHARES SUBJECT TO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240"/>
        <w:jc w:val="both"/>
        <w:rPr/>
      </w:pPr>
      <w:r>
        <w:rPr>
          <w:rFonts w:ascii="Times New Roman" w:hAnsi="Times New Roman"/>
          <w:b/>
          <w:color w:val="000000"/>
          <w:sz w:val="22"/>
        </w:rPr>
        <w:t>Number Available for Awards.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Subject to adjustment as provided in </w:t>
      </w:r>
      <w:r>
        <w:rPr>
          <w:rFonts w:ascii="Times New Roman" w:hAnsi="Times New Roman"/>
          <w:color w:val="000000"/>
          <w:sz w:val="22"/>
          <w:u w:val="single"/>
        </w:rPr>
        <w:t>Articles 11 and 12</w:t>
      </w:r>
      <w:r>
        <w:rPr>
          <w:rFonts w:ascii="Times New Roman" w:hAnsi="Times New Roman"/>
          <w:color w:val="000000"/>
          <w:sz w:val="22"/>
        </w:rPr>
        <w:t>,</w:t>
      </w:r>
      <w:r>
        <w:rPr>
          <w:color w:val="000000"/>
        </w:rPr>
        <w:t xml:space="preserve"> </w:t>
      </w:r>
      <w:r>
        <w:rPr>
          <w:rFonts w:ascii="Times New Roman" w:hAnsi="Times New Roman"/>
          <w:color w:val="000000"/>
          <w:sz w:val="22"/>
        </w:rPr>
        <w:t>the maximum number of shares of Common Stock that may be delivered pursuant to Awards granted under the Plan is four million (4,000,000) shares, of which one hundred percent (100%)</w:t>
      </w:r>
      <w:r>
        <w:rPr>
          <w:color w:val="000000"/>
        </w:rPr>
        <w:t xml:space="preserve"> </w:t>
      </w:r>
      <w:r>
        <w:rPr>
          <w:rFonts w:ascii="Times New Roman" w:hAnsi="Times New Roman"/>
          <w:color w:val="000000"/>
          <w:sz w:val="22"/>
        </w:rPr>
        <w:t xml:space="preserve">may be delivered pursuant to Incentive Stock Options.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Prior Plan Awards shall remain outstanding following the Effective Date in accordance with their terms. With respect to Prior Plan Awards, if such a Prior Plan Award, on or after the Effective Date, lapses, expires, terminates or is canceled prior to the issuance of shares thereunder or if shares of Common Stock are issued under the Prior Plan to a Participant and thereafter are reacquired by the Company, the shares subject to such Prior Plan Awards and the reacquired shares shall again be available for issuance under this Plan. In addition, the following shares of Common Stock shall not be treated as having been issued under the Prior Plan and shall again be available for issuance under this Plan: (i) shares tendered by a Participant or retained by the Company as full or partial payment to the Company for the purchase price of a Prior Plan Award or to satisfy tax withholding obligations in connection with a Prior Plan Award, (ii) shares covered by a Prior Plan Award that is settled in cash, or (iii) the number of shares subject to a Prior Plan Award that is a stock appreciation right in excess of the number of shares that are delivered to the Participant upon exercise of such Prior Plan Award. Further, the number of shares available for issuance under the Prior Plan shall not be reduced to reflect any dividends or dividend equivalents that are reinvested into additional shares or credited as additional Restricted Stock, Restricted Stock Units or Performance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Shares to be issued may be made available from authorized but unissued Common Stock, Common Stock held by the Company in its treasury, or Common Stock purchased by the Company on the open market or otherwise. During the term of this Plan, the Company will at all times reserve and keep available the number of shares of Common Stock that shall be sufficient to satisfy the requirements of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240"/>
        <w:jc w:val="both"/>
        <w:rPr/>
      </w:pPr>
      <w:r>
        <w:rPr>
          <w:rFonts w:ascii="Times New Roman" w:hAnsi="Times New Roman"/>
          <w:b/>
          <w:color w:val="000000"/>
          <w:sz w:val="22"/>
        </w:rPr>
        <w:t>Reuse of Shares.</w:t>
      </w:r>
      <w:r>
        <w:rPr>
          <w:color w:val="000000"/>
        </w:rPr>
        <w:t xml:space="preserve"> </w:t>
      </w:r>
      <w:r>
        <w:rPr>
          <w:rFonts w:ascii="Times New Roman" w:hAnsi="Times New Roman"/>
          <w:color w:val="000000"/>
          <w:sz w:val="22"/>
        </w:rPr>
        <w:t xml:space="preserve">To the extent that any Award under this Plan shall be forfeited, shall expire or be canceled, in whole or in part, then the number of shares of Common Stock covered by the Award so forfeited, expired or canceled may again be awarded pursuant to the provisions of this Plan. Notwithstanding the foregoing, (i) the number of shares of Common Stock tendered or withheld in payment of any Option Price or SAR Price of </w:t>
      </w:r>
    </w:p>
    <w:p>
      <w:pPr>
        <w:pStyle w:val="TextBody"/>
        <w:bidi w:val="0"/>
        <w:jc w:val="center"/>
        <w:rPr>
          <w:rFonts w:ascii="Times New Roman" w:hAnsi="Times New Roman"/>
          <w:color w:val="000000"/>
          <w:sz w:val="22"/>
        </w:rPr>
      </w:pPr>
      <w:r>
        <w:rPr>
          <w:rFonts w:ascii="Times New Roman" w:hAnsi="Times New Roman"/>
          <w:color w:val="000000"/>
          <w:sz w:val="22"/>
        </w:rPr>
        <w:t>B-13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an Award or taxes relating to an Award, (ii) shares of Common Stock that were subject to a Stock Option or a SAR but were not issued or delivered as a result of the net settlement or net exercise of such Stock Option or SAR and (iii) shares of Common Stock repurchased on the open market with the proceeds of a Stock Option’s Option Price, will not, in each case, be available for Awards under this Plan. Awards that may be satisfied either by the issuance of shares of Common Stock or by cash or other consideration shall be counted against the maximum number of shares of Common Stock that may be issued under this Plan only during the period that the Award is outstanding or to the extent the Award is ultimately satisfied by the issuance of shares of Common Stock. Awards will not reduce the number of shares of Common Stock that may be issued pursuant to this Plan if the settlement of the Award will not require the issuance of shares of Common Stock, as, for example, a SAR that can be satisfied only by the payment of cash. Notwithstanding any provisions of the Plan to the contrary, shares forfeited back to the Company and shares canceled on account of termination, expiration or lapse of an Award shall again be available for grant of Incentive Stock Options under the Plan, but shall not increase the maximum number of shares described in </w:t>
      </w:r>
      <w:r>
        <w:rPr>
          <w:rFonts w:ascii="Times New Roman" w:hAnsi="Times New Roman"/>
          <w:color w:val="000000"/>
          <w:sz w:val="22"/>
          <w:u w:val="single"/>
        </w:rPr>
        <w:t>Section 5.1</w:t>
      </w:r>
      <w:r>
        <w:rPr>
          <w:color w:val="000000"/>
        </w:rPr>
        <w:t xml:space="preserve"> </w:t>
      </w:r>
      <w:r>
        <w:rPr>
          <w:rFonts w:ascii="Times New Roman" w:hAnsi="Times New Roman"/>
          <w:color w:val="000000"/>
          <w:sz w:val="22"/>
        </w:rPr>
        <w:t>above as the maximum number of shares of Common Stock that may be delivered pursuant to Incentive Stock Options.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5.3</w:t>
      </w:r>
    </w:p>
    <w:p>
      <w:pPr>
        <w:pStyle w:val="TextBody"/>
        <w:bidi w:val="0"/>
        <w:spacing w:before="0" w:after="240"/>
        <w:jc w:val="both"/>
        <w:rPr/>
      </w:pPr>
      <w:r>
        <w:rPr>
          <w:rFonts w:ascii="Times New Roman" w:hAnsi="Times New Roman"/>
          <w:b/>
          <w:color w:val="000000"/>
          <w:sz w:val="22"/>
        </w:rPr>
        <w:t>Limitation on Outside Director Awards</w:t>
      </w:r>
      <w:r>
        <w:rPr>
          <w:rFonts w:ascii="Times New Roman" w:hAnsi="Times New Roman"/>
          <w:color w:val="000000"/>
          <w:sz w:val="22"/>
        </w:rPr>
        <w:t>. No Outside Director may be granted any Award or Awards denominated in shares that exceed in the aggregate $500,000 in Fair Market Value (such Fair Market Value computed as of the Date of Grant) in any calendar year period that, plus an additional $500,000 in Fair Market Value (determined as of the Date of Grant) for one-time awards to a newly appointed or elected Outside Director.</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6.</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GRANT OF AWARDS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240"/>
        <w:jc w:val="both"/>
        <w:rPr/>
      </w:pPr>
      <w:r>
        <w:rPr>
          <w:rFonts w:ascii="Times New Roman" w:hAnsi="Times New Roman"/>
          <w:b/>
          <w:color w:val="000000"/>
          <w:sz w:val="22"/>
        </w:rPr>
        <w:t>In General</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The grant of an Award shall be authorized by the Committee and shall be evidenced by an Award Agreement setting forth the Incentive or Incentives being granted, the total number of shares of Common Stock subject to the Incentive(s), the Option Price (if applicable), the Award Period, the Date of Grant, and such other terms, provisions, limitations, and performance objectives, as are approved by the Committee, but (i) not inconsistent with the Plan and (ii) to the extent an Award issued under the Plan is subject to Section 409A of the Code, in compliance with the applicable requirements of Section 409A of the Code and the regulations or other guidance issued thereunder. The Company shall execute an Award Agreement with a Participant after the Committee approves the issuance of an Award. Any Award granted pursuant to this Plan must be granted within 10 years of Board Approval Date. The Plan shall be submitted to the Company’s stockholder</w:t>
      </w:r>
      <w:r>
        <w:rPr>
          <w:rFonts w:ascii="Times New Roman" w:hAnsi="Times New Roman"/>
          <w:b/>
          <w:color w:val="000000"/>
          <w:sz w:val="22"/>
        </w:rPr>
        <w:t xml:space="preserve">s </w:t>
      </w:r>
      <w:r>
        <w:rPr>
          <w:rFonts w:ascii="Times New Roman" w:hAnsi="Times New Roman"/>
          <w:color w:val="000000"/>
          <w:sz w:val="22"/>
        </w:rPr>
        <w:t>for approval at the first stockholder meeting after the Board Approval Date; however, the Committee may grant Awards under the Plan prior to the time of stockholder</w:t>
      </w:r>
      <w:r>
        <w:rPr>
          <w:color w:val="000000"/>
        </w:rPr>
        <w:t xml:space="preserve"> </w:t>
      </w:r>
      <w:r>
        <w:rPr>
          <w:rFonts w:ascii="Times New Roman" w:hAnsi="Times New Roman"/>
          <w:color w:val="000000"/>
          <w:sz w:val="22"/>
        </w:rPr>
        <w:t>approval. Any such Award granted prior to such stockholder</w:t>
      </w:r>
      <w:r>
        <w:rPr>
          <w:color w:val="000000"/>
        </w:rPr>
        <w:t xml:space="preserve"> </w:t>
      </w:r>
      <w:r>
        <w:rPr>
          <w:rFonts w:ascii="Times New Roman" w:hAnsi="Times New Roman"/>
          <w:color w:val="000000"/>
          <w:sz w:val="22"/>
        </w:rPr>
        <w:t>approval shall be made subject to the attainment of such stockholder</w:t>
      </w:r>
      <w:r>
        <w:rPr>
          <w:color w:val="000000"/>
        </w:rPr>
        <w:t xml:space="preserve"> </w:t>
      </w:r>
      <w:r>
        <w:rPr>
          <w:rFonts w:ascii="Times New Roman" w:hAnsi="Times New Roman"/>
          <w:color w:val="000000"/>
          <w:sz w:val="22"/>
        </w:rPr>
        <w:t>approval. The grant of an Award to a Participant shall not be deemed either to entitle the Participant to, or to disqualify the Participant from, receipt of any other Award under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Committee establishes a purchase price for an Award, the Participant must accept such Award within a period of 30 days (or such shorter period as the Committee may specify) after the Date of Grant by executing the applicable Award Agreement and paying such purchase price.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Award under this Plan that is settled in whole or in part in cash on a deferred basis may provide for interest equivalents to be credited with respect to such cash payment. Interest equivalents may be compounded and shall be paid upon such terms and conditions as may be specified by the grant.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6.2</w:t>
      </w:r>
    </w:p>
    <w:p>
      <w:pPr>
        <w:pStyle w:val="TextBody"/>
        <w:bidi w:val="0"/>
        <w:spacing w:before="0" w:after="240"/>
        <w:jc w:val="both"/>
        <w:rPr/>
      </w:pPr>
      <w:r>
        <w:rPr>
          <w:rFonts w:ascii="Times New Roman" w:hAnsi="Times New Roman"/>
          <w:b/>
          <w:color w:val="000000"/>
          <w:sz w:val="22"/>
        </w:rPr>
        <w:t>Option Price.</w:t>
      </w:r>
      <w:r>
        <w:rPr>
          <w:color w:val="000000"/>
        </w:rPr>
        <w:t xml:space="preserve"> </w:t>
      </w:r>
      <w:r>
        <w:rPr>
          <w:rFonts w:ascii="Times New Roman" w:hAnsi="Times New Roman"/>
          <w:color w:val="000000"/>
          <w:sz w:val="22"/>
        </w:rPr>
        <w:t xml:space="preserve">The Option Price for any share of Common Stock which may be purchased under a Nonqualified Stock Option for any share of Common Stock must be equal to or greater than the Fair Market Value of the share on the Date of Grant. The Option Price for any share of Common Stock which may be purchased under an Incentive Stock Option must be at least equal to the Fair Market Value of the share on the Date of Grant; if an Incentive Stock Option is granted to an Employee who owns or is deemed to own (by reason of the attribution rules </w:t>
      </w:r>
    </w:p>
    <w:p>
      <w:pPr>
        <w:pStyle w:val="TextBody"/>
        <w:bidi w:val="0"/>
        <w:jc w:val="center"/>
        <w:rPr>
          <w:rFonts w:ascii="Times New Roman" w:hAnsi="Times New Roman"/>
          <w:color w:val="000000"/>
          <w:sz w:val="22"/>
        </w:rPr>
      </w:pPr>
      <w:r>
        <w:rPr>
          <w:rFonts w:ascii="Times New Roman" w:hAnsi="Times New Roman"/>
          <w:color w:val="000000"/>
          <w:sz w:val="22"/>
        </w:rPr>
        <w:t>B-14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of Section 424(d) of the Code) more than 10% of the combined voting power of all classes of stock of the Company (or any parent or Subsidiary), the Option Price shall be at least 110% of the Fair Market Value of the Common Stock on the Date of Grant.</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6.3</w:t>
      </w:r>
    </w:p>
    <w:p>
      <w:pPr>
        <w:pStyle w:val="TextBody"/>
        <w:bidi w:val="0"/>
        <w:spacing w:before="0" w:after="240"/>
        <w:jc w:val="both"/>
        <w:rPr/>
      </w:pPr>
      <w:r>
        <w:rPr>
          <w:rFonts w:ascii="Times New Roman" w:hAnsi="Times New Roman"/>
          <w:b/>
          <w:color w:val="000000"/>
          <w:sz w:val="22"/>
        </w:rPr>
        <w:t>Maximum ISO Grants.</w:t>
      </w:r>
      <w:r>
        <w:rPr>
          <w:color w:val="000000"/>
        </w:rPr>
        <w:t xml:space="preserve"> </w:t>
      </w:r>
      <w:r>
        <w:rPr>
          <w:rFonts w:ascii="Times New Roman" w:hAnsi="Times New Roman"/>
          <w:color w:val="000000"/>
          <w:sz w:val="22"/>
        </w:rPr>
        <w:t>The Committee may not grant Incentive Stock Options under the Plan to any Employee which would permit the aggregate Fair Market Value (determined on the Date of Grant) of the Common Stock with respect to which Incentive Stock Options (under this and any other plan of the Company and its Subsidiaries) are exercisable for the first time by such Employee during any calendar year to exceed $100,000. To the extent any Stock Option granted under this Plan which is designated as an Incentive Stock Option exceeds this limit or otherwise fails to qualify as an Incentive Stock Option, such Stock Option (or any such portion thereof) shall be a Nonqualified Stock Option. In such case, the Committee shall designate which stock will be treated as Incentive Stock Option stock by causing the electronic registration of a share (or, if applicable, the issuance of a separate stock certificate) and identifying such stock as Incentive Stock Option stock on the Company’s stock transfer records.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6.4</w:t>
      </w:r>
    </w:p>
    <w:p>
      <w:pPr>
        <w:pStyle w:val="TextBody"/>
        <w:bidi w:val="0"/>
        <w:spacing w:before="0" w:after="240"/>
        <w:jc w:val="both"/>
        <w:rPr/>
      </w:pPr>
      <w:r>
        <w:rPr>
          <w:rFonts w:ascii="Times New Roman" w:hAnsi="Times New Roman"/>
          <w:b/>
          <w:color w:val="000000"/>
          <w:sz w:val="22"/>
        </w:rPr>
        <w:t>Restricted Stock.</w:t>
      </w:r>
      <w:r>
        <w:rPr>
          <w:color w:val="000000"/>
        </w:rPr>
        <w:t xml:space="preserve"> </w:t>
      </w:r>
      <w:r>
        <w:rPr>
          <w:rFonts w:ascii="Times New Roman" w:hAnsi="Times New Roman"/>
          <w:color w:val="000000"/>
          <w:sz w:val="22"/>
        </w:rPr>
        <w:t>If Restricted Stock is granted to or received by a Participant under an Award (including a Stock Option), the Committee shall set forth in the related Award Agreement, as applicable: (a) the number of shares of Common Stock awarded, (b) the price, if any, to be paid by the Participant for such Restricted Stock and the method of payment of the price, (c) the time or times within which such Award may be subject to forfeiture, (d) specified Performance Goals of the Company, a Subsidiary, any division thereof or any group of Employees of the Company, or other criteria, which the Committee determines must be met in order to remove any restrictions (including vesting) on such Award, and (e) all other terms, limitations, restrictions, and conditions of the Restricted Stock, which shall be consistent with this Plan, to the extent applicable and, to the extent Restricted Stock granted under the Plan is subject to Section 409A of the Code, in compliance with the applicable requirements of Section 409A of the Code and the regulations or other guidance issued thereunder. The provisions of Restricted Stock need not be the same with respect to each Participant.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b/>
          <w:color w:val="000000"/>
          <w:sz w:val="22"/>
        </w:rPr>
        <w:t>Legend on Shares</w:t>
      </w:r>
      <w:r>
        <w:rPr>
          <w:rFonts w:ascii="Times New Roman" w:hAnsi="Times New Roman"/>
          <w:color w:val="000000"/>
          <w:sz w:val="22"/>
        </w:rPr>
        <w:t xml:space="preserve">. The Company shall electronically register Restricted Stock awarded to a Participant in the Participant’s name, which shall bear an appropriate legend referring to the terms, conditions, and restrictions applicable to such Restricted Stock. No stock certificate or certificates shall be issued with respect to such shares of Common Stock, unless, following the expiration of the Restriction Period (as defined in </w:t>
      </w:r>
      <w:r>
        <w:rPr>
          <w:rFonts w:ascii="Times New Roman" w:hAnsi="Times New Roman"/>
          <w:color w:val="000000"/>
          <w:sz w:val="22"/>
          <w:u w:val="single"/>
        </w:rPr>
        <w:t>Section 6.4(b)(i)</w:t>
      </w:r>
      <w:r>
        <w:rPr>
          <w:rFonts w:ascii="Times New Roman" w:hAnsi="Times New Roman"/>
          <w:color w:val="000000"/>
          <w:sz w:val="22"/>
        </w:rPr>
        <w:t>) without forfeiture in respect of such shares of Common Stock, the Participant requests delivery of the certificate or certificates by submitting a written request to the Committee (or such party designated by the Company) requesting delivery of the certificates. The Company shall deliver the certificates requested by the Participant to the Participant as soon as administratively practicable following the Company’s receipt of such request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b/>
          <w:color w:val="000000"/>
          <w:sz w:val="22"/>
        </w:rPr>
        <w:t>Restrictions and Conditions.</w:t>
      </w:r>
      <w:r>
        <w:rPr>
          <w:color w:val="000000"/>
        </w:rPr>
        <w:t xml:space="preserve"> </w:t>
      </w:r>
      <w:r>
        <w:rPr>
          <w:rFonts w:ascii="Times New Roman" w:hAnsi="Times New Roman"/>
          <w:color w:val="000000"/>
          <w:sz w:val="22"/>
        </w:rPr>
        <w:t>Shares of Restricted Stock shall be subject to the following restrictions and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Subject to the other provisions of this Plan and the terms of the particular Award Agreements, during such period as may be determined by the Committee commencing on the Date of Grant or the date of exercise of an Award (the “</w:t>
      </w:r>
      <w:r>
        <w:rPr>
          <w:rFonts w:ascii="Times New Roman" w:hAnsi="Times New Roman"/>
          <w:b/>
          <w:i/>
          <w:color w:val="000000"/>
          <w:sz w:val="22"/>
        </w:rPr>
        <w:t>Restriction Period</w:t>
      </w:r>
      <w:r>
        <w:rPr>
          <w:color w:val="000000"/>
        </w:rPr>
        <w:t>”</w:t>
      </w:r>
      <w:r>
        <w:rPr>
          <w:rFonts w:ascii="Times New Roman" w:hAnsi="Times New Roman"/>
          <w:color w:val="000000"/>
          <w:sz w:val="22"/>
        </w:rPr>
        <w:t>), the Participant shall not be permitted to sell, transfer, pledge or assign shares of Restricted Stock. Except for these limitations, the Committee may in its sole discretion, remove any or all of the restrictions on such Restricted Stock whenever it may determine that, by reason of changes in Applicable Laws or other changes in circumstances arising after the date of the Award, such action is appropriate.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Except as provided in sub-paragraph (a) above or in the applicable Award Agreement, the Participant shall have, with respect to the Participant’s Restricted Stock, all of the rights of a stockholder of the Company, including the right to vote the shares, and the right to receive any dividends thereon. Shares of Common Stock free of restriction under this Plan shall be electronically registered in the Participant’s name (or, if certificates are issued shall be delivered </w:t>
      </w:r>
    </w:p>
    <w:p>
      <w:pPr>
        <w:pStyle w:val="TextBody"/>
        <w:bidi w:val="0"/>
        <w:jc w:val="center"/>
        <w:rPr>
          <w:rFonts w:ascii="Times New Roman" w:hAnsi="Times New Roman"/>
          <w:color w:val="000000"/>
          <w:sz w:val="22"/>
        </w:rPr>
      </w:pPr>
      <w:r>
        <w:rPr>
          <w:rFonts w:ascii="Times New Roman" w:hAnsi="Times New Roman"/>
          <w:color w:val="000000"/>
          <w:sz w:val="22"/>
        </w:rPr>
        <w:t>B-15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Participant) promptly after, and only after, the Restriction Period shall expire without forfeiture in respect of such shares of Common Stock or after any other restrictions imposed on such shares of Common Stock by the applicable Award Agreement or other agreement have expired. Common Stock forfeited under the provisions of the Plan and the applicable Award Agreement shall be promptly returned to the Company by the forfeiting Participant (including, if applicable, any certificates for such shares). Each Award Agreement shall require that: each Participant, in connection with the issuance of a certificate for Restricted Stock, shall endorse such certificate in blank or execute a stock power in form satisfactory to the Company in blank and deliver such certificate and executed stock power to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color w:val="000000"/>
          <w:sz w:val="22"/>
        </w:rPr>
        <w:t xml:space="preserve">The Restriction Period, subject to </w:t>
      </w:r>
      <w:r>
        <w:rPr>
          <w:rFonts w:ascii="Times New Roman" w:hAnsi="Times New Roman"/>
          <w:color w:val="000000"/>
          <w:sz w:val="22"/>
          <w:u w:val="single"/>
        </w:rPr>
        <w:t>Article 12</w:t>
      </w:r>
      <w:r>
        <w:rPr>
          <w:color w:val="000000"/>
        </w:rPr>
        <w:t xml:space="preserve"> </w:t>
      </w:r>
      <w:r>
        <w:rPr>
          <w:rFonts w:ascii="Times New Roman" w:hAnsi="Times New Roman"/>
          <w:color w:val="000000"/>
          <w:sz w:val="22"/>
        </w:rPr>
        <w:t>of the Plan, unless otherwise established by the Committee in the Award Agreement setting forth the terms of the Restricted Stock, shall expire upon satisfaction of the conditions set forth in the Award Agreement; such conditions may provide for vesting based on length of continuous service or such Performance Goals, as may be determined by the Committee in its sole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otherwise provided in the particular Award Agreement, upon Termination of Service for any reason during the Restriction Period, the nonvested shares of Restricted Stock shall be forfeited by the Participant. In the event a Participant has paid any consideration to the Company for such forfeited Restricted Stock, the Committee shall specify in the Award Agreement that either (1) the Company shall be obligated to, or (2) the Company may, in its sole discretion, elect to, pay to the Participant, as soon as practicable after the event causing forfeiture, in cash, an amount equal to the lesser of the total consideration paid by the Participant for such forfeited shares or the Fair Market Value of such forfeited shares as of the date of Termination of Service, as the Committee, in its sole discretion shall select. Upon any forfeiture, all rights of a Participant with respect to the forfeited shares of the Restricted Stock shall cease and terminate, without any further obligation on the part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w:t>
      </w:r>
    </w:p>
    <w:p>
      <w:pPr>
        <w:pStyle w:val="TextBody"/>
        <w:bidi w:val="0"/>
        <w:spacing w:before="0" w:after="240"/>
        <w:jc w:val="both"/>
        <w:rPr/>
      </w:pPr>
      <w:r>
        <w:rPr>
          <w:rFonts w:ascii="Times New Roman" w:hAnsi="Times New Roman"/>
          <w:b/>
          <w:color w:val="000000"/>
          <w:sz w:val="22"/>
        </w:rPr>
        <w:t>SARs.</w:t>
      </w:r>
      <w:r>
        <w:rPr>
          <w:color w:val="000000"/>
        </w:rPr>
        <w:t xml:space="preserve"> </w:t>
      </w:r>
      <w:r>
        <w:rPr>
          <w:rFonts w:ascii="Times New Roman" w:hAnsi="Times New Roman"/>
          <w:color w:val="000000"/>
          <w:sz w:val="22"/>
        </w:rPr>
        <w:t>The Committee may grant SARs to any Participant, either as a separate Award or in connection with a Stock Option. SARs shall be subject to such terms and conditions as the Committee shall impose, provided that such terms and conditions are (a) not inconsistent with the Plan, and (b) to the extent a SAR issued under the Plan is subject to Section 409A of the Code, in compliance with the applicable requirements of Section 409A of the Code and the regulations or other guidance issued thereunder. The grant of the SAR may provide that the holder may be paid for the value of the SAR either in cash or in shares of Common Stock, or a combination thereof. In the event of the exercise of a SAR payable in shares of Common Stock, the holder of the SAR shall receive that number of whole shares of Common Stock having an aggregate Fair Market Value on the date of exercise equal to the value obtained by multiplying (a) the difference between the Fair Market Value of a share of Common Stock on the date of exercise over the SAR Price as set forth in such SAR (or other value specified in the Award Agreement granting the SAR), by (b) the number of shares of Common Stock as to which the SAR is exercised, with a cash settlement to be made for any fractional shares of Common Stock. The SAR Price for any share of Common Stock subject to a SAR may be equal to or greater than the Fair Market Value of the share on the Date of Grant. The Committee, in its sole discretion, may place a ceiling on the amount payable upon exercise of a SAR, but any such limitation shall be specified at the time that the SAR is granted.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6.6</w:t>
      </w:r>
    </w:p>
    <w:p>
      <w:pPr>
        <w:pStyle w:val="TextBody"/>
        <w:bidi w:val="0"/>
        <w:spacing w:before="0" w:after="240"/>
        <w:jc w:val="both"/>
        <w:rPr/>
      </w:pPr>
      <w:r>
        <w:rPr>
          <w:rFonts w:ascii="Times New Roman" w:hAnsi="Times New Roman"/>
          <w:b/>
          <w:color w:val="000000"/>
          <w:sz w:val="22"/>
        </w:rPr>
        <w:t>Restricted Stock Units.</w:t>
      </w:r>
      <w:r>
        <w:rPr>
          <w:color w:val="000000"/>
        </w:rPr>
        <w:t xml:space="preserve"> </w:t>
      </w:r>
      <w:r>
        <w:rPr>
          <w:rFonts w:ascii="Times New Roman" w:hAnsi="Times New Roman"/>
          <w:color w:val="000000"/>
          <w:sz w:val="22"/>
        </w:rPr>
        <w:t xml:space="preserve">Restricted Stock Units may be awarded or sold to any Participant under such terms and conditions as shall be established by the Committee, provided, however, that such terms and conditions are (a) not inconsistent with the Plan, and (b) to the extent a Restricted Stock Unit issued under the Plan is subject to Section 409A of the Code, in compliance with the applicable requirements of Section 409A of the Code and the regulations or other guidance issued thereunder. Restricted Stock Units shall be subject to such restrictions as the Committee determines, including, without limitation, (a) a prohibition against sale, assignment, transfer, pledge, hypothecation or other encumbrance for a specified period; or (b) a requirement that the holder forfeit (or in the case of shares of Common Stock or units sold to the Participant, resell to the Company at cost) such shares or units in the event of Termination of Service during the period of restriction. The value of Restricted Stock Units </w:t>
      </w:r>
    </w:p>
    <w:p>
      <w:pPr>
        <w:pStyle w:val="TextBody"/>
        <w:bidi w:val="0"/>
        <w:jc w:val="center"/>
        <w:rPr>
          <w:rFonts w:ascii="Times New Roman" w:hAnsi="Times New Roman"/>
          <w:color w:val="000000"/>
          <w:sz w:val="22"/>
        </w:rPr>
      </w:pPr>
      <w:r>
        <w:rPr>
          <w:rFonts w:ascii="Times New Roman" w:hAnsi="Times New Roman"/>
          <w:color w:val="000000"/>
          <w:sz w:val="22"/>
        </w:rPr>
        <w:t>B-16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may be paid in Common Stock, cash, or a combination of both, as determined by the Committee, in its sole discretion, and set forth in the Award Agreement.</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6.7</w:t>
      </w:r>
    </w:p>
    <w:p>
      <w:pPr>
        <w:pStyle w:val="TextBody"/>
        <w:bidi w:val="0"/>
        <w:spacing w:before="0" w:after="240"/>
        <w:jc w:val="both"/>
        <w:rPr/>
      </w:pPr>
      <w:r>
        <w:rPr>
          <w:rFonts w:ascii="Times New Roman" w:hAnsi="Times New Roman"/>
          <w:b/>
          <w:color w:val="000000"/>
          <w:sz w:val="22"/>
        </w:rPr>
        <w:t>Performance Awards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The Committee may grant Performance Awards to one or more Participants. The terms and conditions of Performance Awards shall be specified at the time of the grant and may include provisions establishing the performance period, the Performance Goals to be achieved during a performance period, and the maximum or minimum settlement values, provided that such terms and conditions are (i) not inconsistent with the Plan and (ii) to the extent a Performance Award issued under the Plan is subject to Section 409A of the Code, in compliance with the applicable requirements of Section 409A of the Code and the regulations or other guidance issued thereunder. If the Performance Award is to be in shares of Common Stock, the Performance Awards may provide for the issuance of the shares of Common Stock at the time of the grant of the Performance Award or at the time of the certification by the Committee that the Performance Goals for the performance period have been met;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if shares of Common Stock are issued at the time of the grant of the Performance Award and if, at the end of the performance period, the Performance Goals are not certified by the Committee to have been fully satisfied, then, notwithstanding any other provisions of this Plan to the contrary, the Common Stock shall be forfeited in accordance with the terms of the grant to the extent the Committee determines that the Performance Goals were not met. The forfeiture of shares of Common Stock issued at the time of the grant of the Performance Award due to failure to achieve the established Performance Goals shall be separate from and in addition to any other restrictions provided for in this Plan that may be applicable to such shares of Common Stock. Each Performance Award granted to one or more Participants shall have its own terms and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Committee determines, in its sole discretion, that the established performance measures or objectives are no longer suitable because of a change in the Company’s business, operations, corporate structure, or for other reasons that the Committee deemed satisfactory, the Committee may modify the performance measures or objectives and/or the performance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Performance Awards may be valued by reference to the Fair Market Value of a share of Common Stock or according to any formula or method deemed appropriate by the Committee, in its sole discretion, including, but not limited to, achievement of Performance Goals or other specific financial, production, sales or cost performance objectives that the Committee believes to be relevant to the Company’s business and/or remaining in the employ of the Company or a Subsidiary for a specified period of time. Performance Awards may be paid in cash, shares of Common Stock, or other consideration, or any combination thereof. If payable in shares of Common Stock, the consideration for the issuance of such shares may be the achievement of the performance objective established at the time of the grant of the Performance Award. Performance Awards may be payable in a single payment or in installments and may be payable at a specified date or dates or upon attaining the performance objective. The extent to which any applicable performance objective has been achieved shall be conclusively determined by the Committee.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6.8</w:t>
      </w:r>
    </w:p>
    <w:p>
      <w:pPr>
        <w:pStyle w:val="TextBody"/>
        <w:bidi w:val="0"/>
        <w:spacing w:before="0" w:after="240"/>
        <w:jc w:val="both"/>
        <w:rPr/>
      </w:pPr>
      <w:r>
        <w:rPr>
          <w:rFonts w:ascii="Times New Roman" w:hAnsi="Times New Roman"/>
          <w:b/>
          <w:color w:val="000000"/>
          <w:sz w:val="22"/>
        </w:rPr>
        <w:t xml:space="preserve">Dividend Equivalent Rights. </w:t>
      </w:r>
      <w:r>
        <w:rPr>
          <w:rFonts w:ascii="Times New Roman" w:hAnsi="Times New Roman"/>
          <w:color w:val="000000"/>
          <w:sz w:val="22"/>
        </w:rPr>
        <w:t>The Committee may grant a Dividend Equivalent Right to any Participant, either as a component of another Award or as a separate Award. The terms and conditions of the Dividend Equivalent Right shall be specified by the grant. Dividend equivalents credited to the holder of a Dividend Equivalent Right may be paid currently or may be deemed to be reinvested in additional shares of Common Stock (which may thereafter accrue additional dividend equivalents). Any such reinvestment shall be at the Fair Market Value at the time thereof. Dividend Equivalent Rights may be settled in cash or shares of Common Stock, or a combination thereof, in a single payment or in installments. A Dividend Equivalent Right granted as a component of another Award may provide that such Dividend Equivalent Right shall be settled upon exercise, settlement, or payment of, or lapse of restrictions on, such other Award, and that such Dividend Equivalent Right granted as a component of another Award may also contain terms and conditions different from such other Award.</w:t>
      </w:r>
    </w:p>
    <w:p>
      <w:pPr>
        <w:pStyle w:val="TextBody"/>
        <w:bidi w:val="0"/>
        <w:jc w:val="center"/>
        <w:rPr>
          <w:rFonts w:ascii="Times New Roman" w:hAnsi="Times New Roman"/>
          <w:color w:val="000000"/>
          <w:sz w:val="22"/>
        </w:rPr>
      </w:pPr>
      <w:r>
        <w:rPr>
          <w:rFonts w:ascii="Times New Roman" w:hAnsi="Times New Roman"/>
          <w:color w:val="000000"/>
          <w:sz w:val="22"/>
        </w:rPr>
        <w:t>B-17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6.9</w:t>
      </w:r>
    </w:p>
    <w:p>
      <w:pPr>
        <w:pStyle w:val="TextBody"/>
        <w:bidi w:val="0"/>
        <w:spacing w:before="0" w:after="240"/>
        <w:jc w:val="both"/>
        <w:rPr/>
      </w:pPr>
      <w:r>
        <w:rPr>
          <w:rFonts w:ascii="Times New Roman" w:hAnsi="Times New Roman"/>
          <w:b/>
          <w:color w:val="000000"/>
          <w:sz w:val="22"/>
        </w:rPr>
        <w:t>Other Awards.</w:t>
      </w:r>
      <w:r>
        <w:rPr>
          <w:color w:val="000000"/>
        </w:rPr>
        <w:t xml:space="preserve"> </w:t>
      </w:r>
      <w:r>
        <w:rPr>
          <w:rFonts w:ascii="Times New Roman" w:hAnsi="Times New Roman"/>
          <w:color w:val="000000"/>
          <w:sz w:val="22"/>
        </w:rPr>
        <w:t>The Committee may grant to any Participant other forms of Awards, based upon, payable in, or otherwise related to, in whole or in part, shares of Common Stock, if the Committee determines that such other form of Award is consistent with the purpose and restrictions of this Plan. The terms and conditions of such other form of Award shall be specified by the grant. Such Other Awards may be granted for no cash consideration, for such minimum consideration as may be required by Applicable Law, or for such other consideration as may be specified by the grant.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6.10</w:t>
      </w:r>
    </w:p>
    <w:p>
      <w:pPr>
        <w:pStyle w:val="TextBody"/>
        <w:bidi w:val="0"/>
        <w:spacing w:before="0" w:after="240"/>
        <w:jc w:val="both"/>
        <w:rPr/>
      </w:pPr>
      <w:r>
        <w:rPr>
          <w:rFonts w:ascii="Times New Roman" w:hAnsi="Times New Roman"/>
          <w:b/>
          <w:color w:val="000000"/>
          <w:sz w:val="22"/>
        </w:rPr>
        <w:t xml:space="preserve">Performance Goals. </w:t>
      </w:r>
      <w:r>
        <w:rPr>
          <w:rFonts w:ascii="Times New Roman" w:hAnsi="Times New Roman"/>
          <w:color w:val="000000"/>
          <w:sz w:val="22"/>
        </w:rPr>
        <w:t>Awards (whether relating to cash or shares of Common Stock) under the Plan may be made subject to the attainment of Performance Goals. Any Performance Goal may be used to measure the performance of the Company as a whole or any business unit of the Company and may be measured relative to a peer group or index. Any Performance Goal may include or exclude (a) events that are of an unusual nature or indicate infrequency of occurrence, (b) gains or losses on the disposition of a business, (c) changes in tax or accounting regulations or laws, (d) the effect of a merger or acquisition, as identified in the Company’s quarterly and annual earnings releases, or (e) other similar occurrences. In all other respects, Performance Goals shall be calculated in accordance with the Company’s financial statements, under generally accepted accounting principles, or under a methodology established by the Committee prior to the issuance of an Award which is consistently applied and identified in the audited financial statements, including footnotes, or the Compensation Discussion and Analysis section of the Company’s annual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6.11</w:t>
      </w:r>
    </w:p>
    <w:p>
      <w:pPr>
        <w:pStyle w:val="TextBody"/>
        <w:bidi w:val="0"/>
        <w:spacing w:before="0" w:after="240"/>
        <w:jc w:val="both"/>
        <w:rPr/>
      </w:pPr>
      <w:r>
        <w:rPr>
          <w:rFonts w:ascii="Times New Roman" w:hAnsi="Times New Roman"/>
          <w:b/>
          <w:color w:val="000000"/>
          <w:sz w:val="22"/>
        </w:rPr>
        <w:t>Tandem Awards.</w:t>
      </w:r>
      <w:r>
        <w:rPr>
          <w:color w:val="000000"/>
        </w:rPr>
        <w:t xml:space="preserve"> </w:t>
      </w:r>
      <w:r>
        <w:rPr>
          <w:rFonts w:ascii="Times New Roman" w:hAnsi="Times New Roman"/>
          <w:color w:val="000000"/>
          <w:sz w:val="22"/>
        </w:rPr>
        <w:t>The Committee may grant two or more Incentives in one Award in the form of a “Tandem Award,” so that the right of the Participant to exercise one Incentive shall be canceled if, and to the extent, the other Incentive is exercised. For example, if a Stock Option and a SAR are issued in a Tandem Award, and the Participant exercises the SAR with respect to one hundred (100) shares of Common Stock, the right of the Participant to exercise the related Stock Option shall be canceled to the extent of 100 shares of Common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6.12</w:t>
      </w:r>
    </w:p>
    <w:p>
      <w:pPr>
        <w:pStyle w:val="TextBody"/>
        <w:bidi w:val="0"/>
        <w:spacing w:before="0" w:after="240"/>
        <w:jc w:val="both"/>
        <w:rPr/>
      </w:pPr>
      <w:r>
        <w:rPr>
          <w:rFonts w:ascii="Times New Roman" w:hAnsi="Times New Roman"/>
          <w:b/>
          <w:color w:val="000000"/>
          <w:sz w:val="22"/>
        </w:rPr>
        <w:t>No Repricing of Stock Options or SARs.</w:t>
      </w:r>
      <w:r>
        <w:rPr>
          <w:color w:val="000000"/>
        </w:rPr>
        <w:t xml:space="preserve"> </w:t>
      </w:r>
      <w:r>
        <w:rPr>
          <w:rFonts w:ascii="Times New Roman" w:hAnsi="Times New Roman"/>
          <w:color w:val="000000"/>
          <w:sz w:val="22"/>
        </w:rPr>
        <w:t xml:space="preserve">The Committee may not “reprice” any Stock Option or SAR without stockholder approval. For purposes of this </w:t>
      </w:r>
      <w:r>
        <w:rPr>
          <w:rFonts w:ascii="Times New Roman" w:hAnsi="Times New Roman"/>
          <w:color w:val="000000"/>
          <w:sz w:val="22"/>
          <w:u w:val="single"/>
        </w:rPr>
        <w:t>Section 6.12</w:t>
      </w:r>
      <w:r>
        <w:rPr>
          <w:rFonts w:ascii="Times New Roman" w:hAnsi="Times New Roman"/>
          <w:color w:val="000000"/>
          <w:sz w:val="22"/>
        </w:rPr>
        <w:t xml:space="preserve">, “reprice” means any of the following or any other action that has the same effect: (a) amending a Stock Option or SAR to reduce its exercise price or base price, (b) canceling a Stock Option or SAR at a time when its exercise price or base price exceeds the Fair Market Value of a share of Common Stock in exchange for cash or a Stock Option, SAR, award of Restricted Stock or other equity award, or (c) taking any other action that is treated as a repricing under generally accepted accounting principles, provided that nothing in this </w:t>
      </w:r>
      <w:r>
        <w:rPr>
          <w:rFonts w:ascii="Times New Roman" w:hAnsi="Times New Roman"/>
          <w:color w:val="000000"/>
          <w:sz w:val="22"/>
          <w:u w:val="single"/>
        </w:rPr>
        <w:t>Section 6.12</w:t>
      </w:r>
      <w:r>
        <w:rPr>
          <w:color w:val="000000"/>
        </w:rPr>
        <w:t xml:space="preserve"> </w:t>
      </w:r>
      <w:r>
        <w:rPr>
          <w:rFonts w:ascii="Times New Roman" w:hAnsi="Times New Roman"/>
          <w:color w:val="000000"/>
          <w:sz w:val="22"/>
        </w:rPr>
        <w:t xml:space="preserve">shall prevent the Committee from making adjustments pursuant to </w:t>
      </w:r>
      <w:r>
        <w:rPr>
          <w:rFonts w:ascii="Times New Roman" w:hAnsi="Times New Roman"/>
          <w:color w:val="000000"/>
          <w:sz w:val="22"/>
          <w:u w:val="single"/>
        </w:rPr>
        <w:t>Article 11</w:t>
      </w:r>
      <w:r>
        <w:rPr>
          <w:rFonts w:ascii="Times New Roman" w:hAnsi="Times New Roman"/>
          <w:color w:val="000000"/>
          <w:sz w:val="22"/>
        </w:rPr>
        <w:t xml:space="preserve">, from exchanging or cancelling Incentives pursuant to </w:t>
      </w:r>
      <w:r>
        <w:rPr>
          <w:rFonts w:ascii="Times New Roman" w:hAnsi="Times New Roman"/>
          <w:color w:val="000000"/>
          <w:sz w:val="22"/>
          <w:u w:val="single"/>
        </w:rPr>
        <w:t>Article 12</w:t>
      </w:r>
      <w:r>
        <w:rPr>
          <w:rFonts w:ascii="Times New Roman" w:hAnsi="Times New Roman"/>
          <w:color w:val="000000"/>
          <w:sz w:val="22"/>
        </w:rPr>
        <w:t xml:space="preserve">, or substituting Incentives in accordance with </w:t>
      </w:r>
      <w:r>
        <w:rPr>
          <w:rFonts w:ascii="Times New Roman" w:hAnsi="Times New Roman"/>
          <w:color w:val="000000"/>
          <w:sz w:val="22"/>
          <w:u w:val="single"/>
        </w:rPr>
        <w:t>Article 14</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6.13</w:t>
      </w:r>
    </w:p>
    <w:p>
      <w:pPr>
        <w:pStyle w:val="TextBody"/>
        <w:bidi w:val="0"/>
        <w:spacing w:before="0" w:after="240"/>
        <w:jc w:val="both"/>
        <w:rPr/>
      </w:pPr>
      <w:r>
        <w:rPr>
          <w:rFonts w:ascii="Times New Roman" w:hAnsi="Times New Roman"/>
          <w:b/>
          <w:color w:val="000000"/>
          <w:sz w:val="22"/>
        </w:rPr>
        <w:t xml:space="preserve">Recoupment for Restatements. </w:t>
      </w:r>
      <w:r>
        <w:rPr>
          <w:rFonts w:ascii="Times New Roman" w:hAnsi="Times New Roman"/>
          <w:color w:val="000000"/>
          <w:sz w:val="22"/>
        </w:rPr>
        <w:t>This Plan is subject to any written clawback policies that the Company, with the approval of the Board, may adopt. Any such policy may subject a Participant’s Awards and amounts paid or realized with respect to Awards under the Plan to reduction, cancelation, forfeiture or recoupment if certain specified events or wrongful conduct occur, including an accounting restatement due to the Company’s material noncompliance with financial reporting regulations or other events or wrongful conduct specified in any such clawback policy adopted to conform to the Dodd-Frank Wall Street Reform and Consumer Protection Act of 2010 and rules promulgated thereunder by the Securities and Exchange Commission and that the Company determines should apply to the Plan.</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7.</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AWARD PERIOD; VESTING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240"/>
        <w:jc w:val="both"/>
        <w:rPr/>
      </w:pPr>
      <w:r>
        <w:rPr>
          <w:rFonts w:ascii="Times New Roman" w:hAnsi="Times New Roman"/>
          <w:b/>
          <w:color w:val="000000"/>
          <w:sz w:val="22"/>
        </w:rPr>
        <w:t xml:space="preserve">Award Period. </w:t>
      </w:r>
      <w:r>
        <w:rPr>
          <w:rFonts w:ascii="Times New Roman" w:hAnsi="Times New Roman"/>
          <w:color w:val="000000"/>
          <w:sz w:val="22"/>
        </w:rPr>
        <w:t xml:space="preserve">Subject to the other provisions of this Plan, the Committee may, in its discretion, provide that an Incentive may not be exercised in whole or in part for any period or periods of time or beyond any date specified in the Award Agreement. Except as provided in the Award Agreement, an Incentive may be exercised in whole or in part at any time during its term. The Award Period for an Incentive shall be reduced or terminated upon Termination of Service. No Incentive granted under the Plan may be exercised at any time after the end of its Award Period. No portion of any Incentive may be exercised after the expiration of 10 years from its Date of Grant. </w:t>
      </w:r>
    </w:p>
    <w:p>
      <w:pPr>
        <w:pStyle w:val="TextBody"/>
        <w:bidi w:val="0"/>
        <w:jc w:val="center"/>
        <w:rPr>
          <w:rFonts w:ascii="Times New Roman" w:hAnsi="Times New Roman"/>
          <w:color w:val="000000"/>
          <w:sz w:val="22"/>
        </w:rPr>
      </w:pPr>
      <w:r>
        <w:rPr>
          <w:rFonts w:ascii="Times New Roman" w:hAnsi="Times New Roman"/>
          <w:color w:val="000000"/>
          <w:sz w:val="22"/>
        </w:rPr>
        <w:t>B-18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However, if an Employee owns or is deemed to own (by reason of the attribution rules of Section 424(d) of the Code) more than 10% of the combined voting power of all classes of stock of the Company (or any parent or Subsidiary) and an Incentive Stock Option is granted to such Employee, the term of such Incentive Stock Option (to the extent required by the Code at the time of grant) shall be no more than five years from the Date of Grant.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w:t>
      </w:r>
    </w:p>
    <w:p>
      <w:pPr>
        <w:pStyle w:val="TextBody"/>
        <w:bidi w:val="0"/>
        <w:spacing w:before="0" w:after="240"/>
        <w:jc w:val="both"/>
        <w:rPr/>
      </w:pPr>
      <w:r>
        <w:rPr>
          <w:rFonts w:ascii="Times New Roman" w:hAnsi="Times New Roman"/>
          <w:b/>
          <w:color w:val="000000"/>
          <w:sz w:val="22"/>
        </w:rPr>
        <w:t>Vesting.</w:t>
      </w:r>
      <w:r>
        <w:rPr>
          <w:color w:val="000000"/>
        </w:rPr>
        <w:t xml:space="preserve"> </w:t>
      </w:r>
      <w:r>
        <w:rPr>
          <w:rFonts w:ascii="Times New Roman" w:hAnsi="Times New Roman"/>
          <w:color w:val="000000"/>
          <w:sz w:val="22"/>
        </w:rPr>
        <w:t>The Committee, in its sole discretion, may determine that an Incentive will be immediately vested in whole or in part, or that all or any portion may not be vested until a date, or dates, subsequent to its Date of Grant, or until the occurrence of one or more specified events, subject in any case to the terms of the Plan. If the Committee imposes conditions upon vesting, then, subsequent to the Date of Grant, the Committee may, in its sole discretion, accelerate the date on which all or any portion of the Incentive may be vested.</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8.</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EXERCISE OR CONVERSION OF INCENTIVE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w:t>
      </w:r>
    </w:p>
    <w:p>
      <w:pPr>
        <w:pStyle w:val="TextBody"/>
        <w:bidi w:val="0"/>
        <w:spacing w:before="0" w:after="240"/>
        <w:jc w:val="both"/>
        <w:rPr/>
      </w:pPr>
      <w:r>
        <w:rPr>
          <w:rFonts w:ascii="Times New Roman" w:hAnsi="Times New Roman"/>
          <w:b/>
          <w:color w:val="000000"/>
          <w:sz w:val="22"/>
        </w:rPr>
        <w:t>In General</w:t>
      </w:r>
      <w:r>
        <w:rPr>
          <w:rFonts w:ascii="Times New Roman" w:hAnsi="Times New Roman"/>
          <w:color w:val="000000"/>
          <w:sz w:val="22"/>
        </w:rPr>
        <w:t>. A vested Incentive may be exercised or converted, during its Award Period, subject to limitations and restrictions set forth in the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8.2</w:t>
      </w:r>
    </w:p>
    <w:p>
      <w:pPr>
        <w:pStyle w:val="TextBody"/>
        <w:bidi w:val="0"/>
        <w:spacing w:before="0" w:after="240"/>
        <w:jc w:val="both"/>
        <w:rPr/>
      </w:pPr>
      <w:r>
        <w:rPr>
          <w:rFonts w:ascii="Times New Roman" w:hAnsi="Times New Roman"/>
          <w:b/>
          <w:color w:val="000000"/>
          <w:sz w:val="22"/>
        </w:rPr>
        <w:t>Securities Law and Exchange Restrictions.</w:t>
      </w:r>
      <w:r>
        <w:rPr>
          <w:color w:val="000000"/>
        </w:rPr>
        <w:t xml:space="preserve"> </w:t>
      </w:r>
      <w:r>
        <w:rPr>
          <w:rFonts w:ascii="Times New Roman" w:hAnsi="Times New Roman"/>
          <w:color w:val="000000"/>
          <w:sz w:val="22"/>
        </w:rPr>
        <w:t>In no event may an Incentive be exercised or shares of Common Stock be issued pursuant to an Award if a necessary listing or quotation of the shares of Common Stock on a stock exchange or inter-dealer quotation system or any registration under state or federal securities laws required under the circumstances has not been accomplished.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8.3</w:t>
      </w:r>
    </w:p>
    <w:p>
      <w:pPr>
        <w:pStyle w:val="TextBody"/>
        <w:bidi w:val="0"/>
        <w:spacing w:before="0" w:after="240"/>
        <w:jc w:val="both"/>
        <w:rPr/>
      </w:pPr>
      <w:r>
        <w:rPr>
          <w:rFonts w:ascii="Times New Roman" w:hAnsi="Times New Roman"/>
          <w:b/>
          <w:color w:val="000000"/>
          <w:sz w:val="22"/>
        </w:rPr>
        <w:t>Exercise of Stock Option</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b/>
          <w:color w:val="000000"/>
          <w:sz w:val="22"/>
        </w:rPr>
        <w:t>In General.</w:t>
      </w:r>
      <w:r>
        <w:rPr>
          <w:color w:val="000000"/>
        </w:rPr>
        <w:t xml:space="preserve"> </w:t>
      </w:r>
      <w:r>
        <w:rPr>
          <w:rFonts w:ascii="Times New Roman" w:hAnsi="Times New Roman"/>
          <w:color w:val="000000"/>
          <w:sz w:val="22"/>
        </w:rPr>
        <w:t>If a Stock Option is exercisable prior to the time it is vested, the Common Stock obtained on the exercise of the Stock Option shall be Restricted Stock which is subject to the applicable provisions of the Plan and the Award Agreement. If the Committee imposes conditions upon exercise, then subsequent to the Date of Grant, the Committee may, in its sole discretion, accelerate the date on which all or any portion of the Stock Option may be exercised. No Stock Option may be exercised for a fractional share of Common Stock. The granting of a Stock Option shall impose no obligation upon the Participant to exercise that Stock Option. Each Award Agreement with respect to a Stock Option shall include provisions governing exercise of the Stock Option on or following the Participant’s Termination of Service, which shall be established by the Committee in its sole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b/>
          <w:color w:val="000000"/>
          <w:sz w:val="22"/>
        </w:rPr>
        <w:t>Notice and Payment.</w:t>
      </w:r>
      <w:r>
        <w:rPr>
          <w:color w:val="000000"/>
        </w:rPr>
        <w:t xml:space="preserve"> </w:t>
      </w:r>
      <w:r>
        <w:rPr>
          <w:rFonts w:ascii="Times New Roman" w:hAnsi="Times New Roman"/>
          <w:color w:val="000000"/>
          <w:sz w:val="22"/>
        </w:rPr>
        <w:t>Subject to such administrative regulations as the Committee may from time to time adopt, a Stock Option may be exercised by the delivery of written notice to the Company (in accordance with the notice provisions in the Participant’s Award Agreement) setting forth the number of shares of Common Stock with respect to which the Stock Option is to be exercised (the “</w:t>
      </w:r>
      <w:r>
        <w:rPr>
          <w:rFonts w:ascii="Times New Roman" w:hAnsi="Times New Roman"/>
          <w:b/>
          <w:i/>
          <w:color w:val="000000"/>
          <w:sz w:val="22"/>
        </w:rPr>
        <w:t>Exercise Notice</w:t>
      </w:r>
      <w:r>
        <w:rPr>
          <w:color w:val="000000"/>
        </w:rPr>
        <w:t>”</w:t>
      </w:r>
      <w:r>
        <w:rPr>
          <w:rFonts w:ascii="Times New Roman" w:hAnsi="Times New Roman"/>
          <w:color w:val="000000"/>
          <w:sz w:val="22"/>
        </w:rPr>
        <w:t>) and the Exercise Date with respect to any Stock Option shall be the date that the Participant has delivered both the Exercise Notice and consideration to the Company with a value equal to the total Option Price of the shares to be purchased (plus any employment tax withholding or other tax payment due with respect to such Award), payable as provided in the Award Agreement, which may provide for payment in any one or more of the following ways: (i) cash or check, bank draft, or money order payable to the order of the Company, (ii) Common Stock (including Restricted Stock) owned by the Participant on the Exercise Date, valued at its Fair Market Value on the Exercise Date, (iii) by delivery (including by FAX or electronic transmission) to the Company or its designated agent of an executed irrevocable option exercise form (or, to the extent permitted by the Company, exercise instructions, which may be communicated in writing, telephonically, or electronically) together with irrevocable instructions from the Participant to a broker or dealer, reasonably acceptable to the Company, to sell certain of the shares of Common Stock purchased upon exercise of the Stock Option and promptly deliver to the Company the amount of sale proceeds necessary to pay such purchase price, (iv) by requesting the Company to withhold the number of shares otherwise deliverable upon exercise of the Stock Option by the number of shares of Common Stock having an aggregate Fair Market Value equal to the aggregate Option Price at the time of exercise (</w:t>
      </w:r>
      <w:r>
        <w:rPr>
          <w:rFonts w:ascii="Times New Roman" w:hAnsi="Times New Roman"/>
          <w:i/>
          <w:color w:val="000000"/>
          <w:sz w:val="22"/>
        </w:rPr>
        <w:t xml:space="preserve">i.e., </w:t>
      </w:r>
      <w:r>
        <w:rPr>
          <w:rFonts w:ascii="Times New Roman" w:hAnsi="Times New Roman"/>
          <w:color w:val="000000"/>
          <w:sz w:val="22"/>
        </w:rPr>
        <w:t xml:space="preserve">a cashless </w:t>
      </w:r>
    </w:p>
    <w:p>
      <w:pPr>
        <w:pStyle w:val="TextBody"/>
        <w:bidi w:val="0"/>
        <w:jc w:val="center"/>
        <w:rPr>
          <w:rFonts w:ascii="Times New Roman" w:hAnsi="Times New Roman"/>
          <w:color w:val="000000"/>
          <w:sz w:val="22"/>
        </w:rPr>
      </w:pPr>
      <w:r>
        <w:rPr>
          <w:rFonts w:ascii="Times New Roman" w:hAnsi="Times New Roman"/>
          <w:color w:val="000000"/>
          <w:sz w:val="22"/>
        </w:rPr>
        <w:t>B-19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net exercise), and/or (v) in any other form of valid consideration that is acceptable to the Committee in its sole discretion. In the event that shares of Restricted Stock are tendered as consideration for the exercise of a Stock Option, a number of shares of Common Stock issued upon the exercise of the Stock Option equal to the number of shares of Restricted Stock used as consideration therefor shall be subject to the same restrictions and provisions as the Restricted Stock so tendered.</w:t>
      </w:r>
      <w:r>
        <w:rPr>
          <w:color w:val="000000"/>
        </w:rPr>
        <w:t xml:space="preserve"> </w:t>
      </w:r>
      <w:r>
        <w:rPr>
          <w:rFonts w:ascii="Times New Roman" w:hAnsi="Times New Roman"/>
          <w:color w:val="000000"/>
          <w:sz w:val="22"/>
        </w:rPr>
        <w:t xml:space="preserve">If the Participant fails to deliver the consideration described in this </w:t>
      </w:r>
      <w:r>
        <w:rPr>
          <w:rFonts w:ascii="Times New Roman" w:hAnsi="Times New Roman"/>
          <w:color w:val="000000"/>
          <w:sz w:val="22"/>
          <w:u w:val="single"/>
        </w:rPr>
        <w:t>Section 8.3(b)</w:t>
      </w:r>
      <w:r>
        <w:rPr>
          <w:color w:val="000000"/>
        </w:rPr>
        <w:t xml:space="preserve"> </w:t>
      </w:r>
      <w:r>
        <w:rPr>
          <w:rFonts w:ascii="Times New Roman" w:hAnsi="Times New Roman"/>
          <w:color w:val="000000"/>
          <w:sz w:val="22"/>
        </w:rPr>
        <w:t>within three business days of the date of the Exercise Notice, then the Exercise Notice shall be null and void and the Company will have no obligation to deliver any shares of Common Stock to the Participant in connection with such Exercise Notice.</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26" w:name="elpgbr16"/>
      <w:bookmarkEnd w:id="26"/>
      <w:r>
        <w:rPr>
          <w:rFonts w:ascii="Times New Roman" w:hAnsi="Times New Roman"/>
          <w:b/>
          <w:color w:val="000000"/>
          <w:sz w:val="22"/>
        </w:rPr>
        <w:t>Issuance of Certificate.</w:t>
      </w:r>
      <w:r>
        <w:rPr>
          <w:color w:val="000000"/>
        </w:rPr>
        <w:t xml:space="preserve"> </w:t>
      </w:r>
      <w:r>
        <w:rPr>
          <w:rFonts w:ascii="Times New Roman" w:hAnsi="Times New Roman"/>
          <w:color w:val="000000"/>
          <w:sz w:val="22"/>
        </w:rPr>
        <w:t xml:space="preserve">Except as otherwise provided in </w:t>
      </w:r>
      <w:r>
        <w:rPr>
          <w:rFonts w:ascii="Times New Roman" w:hAnsi="Times New Roman"/>
          <w:color w:val="000000"/>
          <w:sz w:val="22"/>
          <w:u w:val="single"/>
        </w:rPr>
        <w:t>Section 6.4</w:t>
      </w:r>
      <w:r>
        <w:rPr>
          <w:color w:val="000000"/>
        </w:rPr>
        <w:t xml:space="preserve"> </w:t>
      </w:r>
      <w:r>
        <w:rPr>
          <w:rFonts w:ascii="Times New Roman" w:hAnsi="Times New Roman"/>
          <w:color w:val="000000"/>
          <w:sz w:val="22"/>
        </w:rPr>
        <w:t>hereof (with respect to shares of Restricted Stock) or in the applicable Award Agreement, upon payment of all amounts due from the Participant, the Company shall cause the Common Stock then being purchased to be registered in the Participant’s name (or the person exercising the Participant’s Stock Option in the event of the Participant’s death), but shall not issue certificates for the Common Stock unless the Participant or such other person requests delivery of the certificates for the Common Stock, in writing in accordance with the procedures established by the Committee. The Company shall deliver certificates to the Participant (or the person exercising the Participant’s Stock Option in the event of the Participant’s death) as soon as administratively practicable following the Company’s receipt of a written request from the Participant or such other person for delivery of the certificates. Notwithstanding the forgoing, if the Participant has exercised an Incentive Stock Option, the Company may at its option place a transfer restriction on any electronically registered shares (or if a physical certificate is issued to the Participant, retain physical possession of the certificate evidencing the shares acquired upon exercise) until the expiration of the holding periods described in Section 422(a)(1) of the Code. Any obligation of the Company to deliver shares of Common Stock shall, however, be subject to the condition that, if at any time the Committee shall determine in its discretion that the listing, registration, or qualification of the Stock Option or the Common Stock upon any securities exchange or inter-dealer quotation system or under any state or federal law, or the consent or approval of any governmental regulatory body, is necessary as a condition of, or in connection with, the Stock Option or the issuance or purchase of shares of Common Stock thereunder, the Stock Option may not be exercised in whole or in part unless such listing, registration, qualification, consent, or approval shall have been effected or obtained free of any conditions not reasonably acceptable to the Committee.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b/>
          <w:color w:val="000000"/>
          <w:sz w:val="22"/>
        </w:rPr>
        <w:t>Failure to Pay.</w:t>
      </w:r>
      <w:r>
        <w:rPr>
          <w:color w:val="000000"/>
        </w:rPr>
        <w:t xml:space="preserve"> </w:t>
      </w:r>
      <w:r>
        <w:rPr>
          <w:rFonts w:ascii="Times New Roman" w:hAnsi="Times New Roman"/>
          <w:color w:val="000000"/>
          <w:sz w:val="22"/>
        </w:rPr>
        <w:t>Except as may otherwise be provided in an Award Agreement, if the Participant fails to pay for any of the Common Stock specified in such notice or fails to accept delivery thereof, that portion of the Participant’s Stock Option and right to purchase such Common Stock may be forfeited by the Participant, in the Committee’s sole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8.4</w:t>
      </w:r>
    </w:p>
    <w:p>
      <w:pPr>
        <w:pStyle w:val="TextBody"/>
        <w:bidi w:val="0"/>
        <w:spacing w:before="0" w:after="240"/>
        <w:jc w:val="both"/>
        <w:rPr/>
      </w:pPr>
      <w:r>
        <w:rPr>
          <w:rFonts w:ascii="Times New Roman" w:hAnsi="Times New Roman"/>
          <w:b/>
          <w:color w:val="000000"/>
          <w:sz w:val="22"/>
        </w:rPr>
        <w:t>SARs.</w:t>
      </w:r>
      <w:r>
        <w:rPr>
          <w:color w:val="000000"/>
        </w:rPr>
        <w:t xml:space="preserve"> </w:t>
      </w:r>
      <w:r>
        <w:rPr>
          <w:rFonts w:ascii="Times New Roman" w:hAnsi="Times New Roman"/>
          <w:color w:val="000000"/>
          <w:sz w:val="22"/>
        </w:rPr>
        <w:t xml:space="preserve">Subject to the conditions of this </w:t>
      </w:r>
      <w:r>
        <w:rPr>
          <w:rFonts w:ascii="Times New Roman" w:hAnsi="Times New Roman"/>
          <w:color w:val="000000"/>
          <w:sz w:val="22"/>
          <w:u w:val="single"/>
        </w:rPr>
        <w:t>Section 8.4</w:t>
      </w:r>
      <w:r>
        <w:rPr>
          <w:color w:val="000000"/>
        </w:rPr>
        <w:t xml:space="preserve"> </w:t>
      </w:r>
      <w:r>
        <w:rPr>
          <w:rFonts w:ascii="Times New Roman" w:hAnsi="Times New Roman"/>
          <w:color w:val="000000"/>
          <w:sz w:val="22"/>
        </w:rPr>
        <w:t>and such administrative regulations as the Committee may from time to time adopt, a SAR may be exercised by the delivery (including by FAX) of an Exercise Notice to the Committee setting forth the number of shares of Common Stock with respect to which the SAR is to be exercised and the Exercise Date thereof. Subject to the terms of the Award Agreement and only if permissible under Section 409A of the Code and the regulations or other guidance issued thereunder (or, if not so permissible, at such time as permitted by Section 409A of the Code and the regulations or other guidance issued thereunder), the Participant shall receive from the Company in exchange therefor in the discretion of the Committee, and subject to the terms of the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cash in an amount equal to the excess (if any) of the Fair Market Value (as of the Exercise Date, or if provided in the Award Agreement, conversion, of the SAR) per share of Common Stock over the SAR Price per share specified in such SAR, multiplied by the total number of shares of Common Stock of the SAR being surrendered;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that number of shares of Common Stock having an aggregate Fair Market Value (as of the Exercise Date, or if provided in the Award Agreement, conversion, of the SAR) equal to the amount of cash otherwise payable to the Participant, with a cash settlement to be made for any fractional share interests; or</w:t>
      </w:r>
    </w:p>
    <w:p>
      <w:pPr>
        <w:pStyle w:val="TextBody"/>
        <w:bidi w:val="0"/>
        <w:jc w:val="center"/>
        <w:rPr>
          <w:rFonts w:ascii="Times New Roman" w:hAnsi="Times New Roman"/>
          <w:color w:val="000000"/>
          <w:sz w:val="22"/>
        </w:rPr>
      </w:pPr>
      <w:r>
        <w:rPr>
          <w:rFonts w:ascii="Times New Roman" w:hAnsi="Times New Roman"/>
          <w:color w:val="000000"/>
          <w:sz w:val="22"/>
        </w:rPr>
        <w:t>B-20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may settle such obligation in part with shares of Common Stock and in part with cash.</w:t>
      </w:r>
    </w:p>
    <w:p>
      <w:pPr>
        <w:pStyle w:val="TextBody"/>
        <w:bidi w:val="0"/>
        <w:jc w:val="left"/>
        <w:rPr>
          <w:rFonts w:ascii="Times New Roman" w:hAnsi="Times New Roman"/>
          <w:color w:val="000000"/>
          <w:sz w:val="22"/>
        </w:rPr>
      </w:pPr>
      <w:r>
        <w:rPr>
          <w:rFonts w:ascii="Times New Roman" w:hAnsi="Times New Roman"/>
          <w:color w:val="000000"/>
          <w:sz w:val="22"/>
        </w:rPr>
        <w:t>The distribution of any cash or Common Stock pursuant to the foregoing sentence shall be made at such time as set forth in the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8.5</w:t>
      </w:r>
    </w:p>
    <w:p>
      <w:pPr>
        <w:pStyle w:val="TextBody"/>
        <w:bidi w:val="0"/>
        <w:spacing w:before="0" w:after="240"/>
        <w:jc w:val="both"/>
        <w:rPr/>
      </w:pPr>
      <w:r>
        <w:rPr>
          <w:rFonts w:ascii="Times New Roman" w:hAnsi="Times New Roman"/>
          <w:b/>
          <w:color w:val="000000"/>
          <w:sz w:val="22"/>
        </w:rPr>
        <w:t>Disqualifying Disposition of Incentive Stock Option.</w:t>
      </w:r>
      <w:r>
        <w:rPr>
          <w:color w:val="000000"/>
        </w:rPr>
        <w:t xml:space="preserve"> </w:t>
      </w:r>
      <w:r>
        <w:rPr>
          <w:rFonts w:ascii="Times New Roman" w:hAnsi="Times New Roman"/>
          <w:color w:val="000000"/>
          <w:sz w:val="22"/>
        </w:rPr>
        <w:t>If shares of Common Stock acquired upon exercise of an Incentive Stock Option are disposed of by a Participant prior to the expiration of either two years from the Date of Grant of such Stock Option or one year from the transfer of shares of Common Stock to the Participant pursuant to the exercise of such Stock Option, or in any other disqualifying disposition within the meaning of Section 422 of the Code, such Participant shall notify the Company in writing of the date and terms of such disposition. A disqualifying disposition by a Participant shall not affect the status of any other Stock Option granted under the Plan as an Incentive Stock Option within the meaning of Section 422 of the Code.</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9.</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AMENDMENT OR DISCONTINUANCE</w:t>
      </w:r>
    </w:p>
    <w:p>
      <w:pPr>
        <w:pStyle w:val="TextBody"/>
        <w:bidi w:val="0"/>
        <w:spacing w:before="0" w:after="480"/>
        <w:jc w:val="both"/>
        <w:rPr>
          <w:rFonts w:ascii="Times New Roman" w:hAnsi="Times New Roman"/>
          <w:sz w:val="20"/>
        </w:rPr>
      </w:pPr>
      <w:r>
        <w:rPr>
          <w:rFonts w:ascii="Times New Roman" w:hAnsi="Times New Roman"/>
          <w:color w:val="000000"/>
          <w:sz w:val="22"/>
        </w:rPr>
        <w:t xml:space="preserve">Subject to the limitations set forth in this </w:t>
      </w:r>
      <w:r>
        <w:rPr>
          <w:rFonts w:ascii="Times New Roman" w:hAnsi="Times New Roman"/>
          <w:color w:val="000000"/>
          <w:sz w:val="22"/>
          <w:u w:val="single"/>
        </w:rPr>
        <w:t>Article 9</w:t>
      </w:r>
      <w:r>
        <w:rPr>
          <w:rFonts w:ascii="Times New Roman" w:hAnsi="Times New Roman"/>
          <w:color w:val="000000"/>
          <w:sz w:val="22"/>
        </w:rPr>
        <w:t>, the Board may at any time and from time to time, without the consent of the Participants, alter, amend, revise, suspend, or discontinue the Plan in whole or in part; provided, however, that no amendment for which stockholder approval is required either (a) by any securities exchange or inter-dealer quotation system on which the Common Stock is listed or traded or (b) in order for the Plan and Incentives awarded under the Plan to continue to comply with Sections 421 and 422 of the Code, including any successors to such Sections, or other Applicable Law, shall be effective unless such amendment shall be approved by the requisite vote of the stockholder</w:t>
      </w:r>
      <w:r>
        <w:rPr>
          <w:rFonts w:ascii="Times New Roman" w:hAnsi="Times New Roman"/>
          <w:b/>
          <w:color w:val="000000"/>
          <w:sz w:val="22"/>
        </w:rPr>
        <w:t xml:space="preserve">s </w:t>
      </w:r>
      <w:r>
        <w:rPr>
          <w:rFonts w:ascii="Times New Roman" w:hAnsi="Times New Roman"/>
          <w:color w:val="000000"/>
          <w:sz w:val="22"/>
        </w:rPr>
        <w:t xml:space="preserve">of the Company entitled to vote thereon. Any such amendment shall, to the extent deemed necessary or advisable by the Committee, be applicable to any outstanding Incentives theretofore granted under the Plan, notwithstanding any contrary provisions contained in any Award Agreement. In the event of any such amendment to the Plan, the holder of any Incentive outstanding under the Plan shall, upon request of the Committee and as a condition to the exercisability thereof, execute a conforming amendment in the form prescribed by the Committee to any Award Agreement relating thereto. Notwithstanding anything contained in this Plan to the contrary, unless required by law, no action contemplated or permitted by this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shall adversely affect any rights of Participants or obligations of the Company to Participants with respect to any Incentive theretofore granted under the Plan without the consent of the affected Participant. For purposes of clarity, any amendment to an existing Award resulting in a less favorable tax consequence to a Participant under the Award shall not be considered to adversely affect the rights of the Participant.</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10.</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TERM</w:t>
      </w:r>
    </w:p>
    <w:p>
      <w:pPr>
        <w:pStyle w:val="TextBody"/>
        <w:bidi w:val="0"/>
        <w:spacing w:before="0" w:after="480"/>
        <w:jc w:val="left"/>
        <w:rPr>
          <w:rFonts w:ascii="Times New Roman" w:hAnsi="Times New Roman"/>
          <w:sz w:val="20"/>
        </w:rPr>
      </w:pPr>
      <w:r>
        <w:rPr>
          <w:rFonts w:ascii="Times New Roman" w:hAnsi="Times New Roman"/>
          <w:color w:val="000000"/>
          <w:sz w:val="22"/>
        </w:rPr>
        <w:t>The Plan shall be effective as of the Effective Date and unless sooner terminated by action of the Board, the Plan will terminate on the 10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anniversary of the Effective Date, but Incentives granted before that date will continue to be effective in accordance with their terms and conditions.</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11.</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CAPITAL ADJUSTMENTS</w:t>
      </w:r>
    </w:p>
    <w:p>
      <w:pPr>
        <w:pStyle w:val="TextBody"/>
        <w:bidi w:val="0"/>
        <w:jc w:val="both"/>
        <w:rPr>
          <w:rFonts w:ascii="Times New Roman" w:hAnsi="Times New Roman"/>
          <w:sz w:val="20"/>
        </w:rPr>
      </w:pPr>
      <w:r>
        <w:rPr>
          <w:rFonts w:ascii="Times New Roman" w:hAnsi="Times New Roman"/>
          <w:color w:val="000000"/>
          <w:sz w:val="22"/>
        </w:rPr>
        <w:t>In the event that any dividend or other distribution (whether in the form of cash, Common Stock, other securities, or other property), recapitalization, stock split, reverse stock split, rights offering, reorganization, merger, consolidation, split-up, spin-off, split-off, combination, subdivision, repurchase, or exchange of Common Stock or other securities of the Company, issuance of warrants or other rights to purchase Common Stock or other securities of the Company, or other similar corporate transaction or event affects the fair value of an Award, then the Committee shall adjust any or all of the following so that the fair value of the Award immediately after the transaction or event is equal to the fair value of the Award immediately prior to the transaction or event (a)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B-21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number of shares and type of Common Stock (or the securities or property) which thereafter may be made the subject of Awards, (b) the number of shares and type of Common Stock (or other securities or property) subject to outstanding Awards, (c) the Option Price of each outstanding Award, (d) the amount, if any, the Company pays for forfeited shares of Common Stock in accordance with </w:t>
      </w:r>
      <w:r>
        <w:rPr>
          <w:rFonts w:ascii="Times New Roman" w:hAnsi="Times New Roman"/>
          <w:color w:val="000000"/>
          <w:sz w:val="22"/>
          <w:u w:val="single"/>
        </w:rPr>
        <w:t>Section 6.4</w:t>
      </w:r>
      <w:r>
        <w:rPr>
          <w:rFonts w:ascii="Times New Roman" w:hAnsi="Times New Roman"/>
          <w:color w:val="000000"/>
          <w:sz w:val="22"/>
        </w:rPr>
        <w:t>, and (e) the number of or SAR Price of shares of Common Stock then subject to outstanding SARs previously granted and unexercised under the Plan, to the end that the same proportion of the Company’s issued and outstanding shares of Common Stock in each instance shall remain subject to exercise at the same aggregate SAR Price; provided, however, that the number of shares of Common Stock (or other securities or property) subject to any Award shall always be a whole number. Notwithstanding the foregoing, no such adjustment shall be made or authorized to the extent that such adjustment would cause the Plan or any Stock Option to violate Section 422 of the Code or Section 409A of the Code. Such adjustments shall be made in accordance with the rules of any securities exchange, stock market, or stock quotation system to which the Company is subject.</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The computation of any adjustment under this Article 11 shall be conclusive and shall be binding upon each affected Participant and upon the occurrence of any such adjustment, the Company shall provide notice to each affected Participant of its computation of such adjustment.</w:t>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12.</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RECAPITALIZATION, MERGER AND CONSOLIDATION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12.1</w:t>
      </w:r>
    </w:p>
    <w:p>
      <w:pPr>
        <w:pStyle w:val="TextBody"/>
        <w:bidi w:val="0"/>
        <w:spacing w:before="0" w:after="240"/>
        <w:jc w:val="both"/>
        <w:rPr/>
      </w:pPr>
      <w:r>
        <w:rPr>
          <w:rFonts w:ascii="Times New Roman" w:hAnsi="Times New Roman"/>
          <w:b/>
          <w:color w:val="000000"/>
          <w:sz w:val="22"/>
        </w:rPr>
        <w:t>No Effect on Company’s Authority.</w:t>
      </w:r>
      <w:r>
        <w:rPr>
          <w:color w:val="000000"/>
        </w:rPr>
        <w:t xml:space="preserve"> </w:t>
      </w:r>
      <w:r>
        <w:rPr>
          <w:rFonts w:ascii="Times New Roman" w:hAnsi="Times New Roman"/>
          <w:color w:val="000000"/>
          <w:sz w:val="22"/>
        </w:rPr>
        <w:t>The existence of this Plan and Incentives granted hereunder shall not affect in any way the right or power of the Company or its stockholder</w:t>
      </w:r>
      <w:r>
        <w:rPr>
          <w:rFonts w:ascii="Times New Roman" w:hAnsi="Times New Roman"/>
          <w:b/>
          <w:color w:val="000000"/>
          <w:sz w:val="22"/>
        </w:rPr>
        <w:t>s</w:t>
      </w:r>
      <w:r>
        <w:rPr>
          <w:color w:val="000000"/>
        </w:rPr>
        <w:t xml:space="preserve"> </w:t>
      </w:r>
      <w:r>
        <w:rPr>
          <w:rFonts w:ascii="Times New Roman" w:hAnsi="Times New Roman"/>
          <w:color w:val="000000"/>
          <w:sz w:val="22"/>
        </w:rPr>
        <w:t>to make or authorize any or all adjustments, recapitalizations, reorganizations, or other changes in the Company’s capital structure and its business, or any Change in Control, or any merger or consolidation of the Company, or any issuance of bonds, debentures, preferred or preference stocks ranking prior to or otherwise affecting the Common Stock or the rights thereof (or any rights, options, or warrants to purchase same), or the dissolution or liquidation of the Company, or any sale or transfer of all or any part of its assets or business, or any other corporate act or proceeding, whether of a similar character or otherwise.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12.2</w:t>
      </w:r>
    </w:p>
    <w:p>
      <w:pPr>
        <w:pStyle w:val="TextBody"/>
        <w:bidi w:val="0"/>
        <w:spacing w:before="0" w:after="240"/>
        <w:jc w:val="both"/>
        <w:rPr/>
      </w:pPr>
      <w:r>
        <w:rPr>
          <w:rFonts w:ascii="Times New Roman" w:hAnsi="Times New Roman"/>
          <w:b/>
          <w:color w:val="000000"/>
          <w:sz w:val="22"/>
        </w:rPr>
        <w:t>Conversion of Incentives Where Company Survives.</w:t>
      </w:r>
      <w:r>
        <w:rPr>
          <w:color w:val="000000"/>
        </w:rPr>
        <w:t xml:space="preserve"> </w:t>
      </w:r>
      <w:r>
        <w:rPr>
          <w:rFonts w:ascii="Times New Roman" w:hAnsi="Times New Roman"/>
          <w:color w:val="000000"/>
          <w:sz w:val="22"/>
        </w:rPr>
        <w:t>Subject to any required action by the stockholder</w:t>
      </w:r>
      <w:r>
        <w:rPr>
          <w:rFonts w:ascii="Times New Roman" w:hAnsi="Times New Roman"/>
          <w:b/>
          <w:color w:val="000000"/>
          <w:sz w:val="22"/>
        </w:rPr>
        <w:t>s</w:t>
      </w:r>
      <w:r>
        <w:rPr>
          <w:color w:val="000000"/>
        </w:rPr>
        <w:t xml:space="preserve"> </w:t>
      </w:r>
      <w:r>
        <w:rPr>
          <w:rFonts w:ascii="Times New Roman" w:hAnsi="Times New Roman"/>
          <w:color w:val="000000"/>
          <w:sz w:val="22"/>
        </w:rPr>
        <w:t xml:space="preserve">and except as otherwise provided by </w:t>
      </w:r>
      <w:r>
        <w:rPr>
          <w:rFonts w:ascii="Times New Roman" w:hAnsi="Times New Roman"/>
          <w:color w:val="000000"/>
          <w:sz w:val="22"/>
          <w:u w:val="single"/>
        </w:rPr>
        <w:t>Section 12.4</w:t>
      </w:r>
      <w:r>
        <w:rPr>
          <w:color w:val="000000"/>
        </w:rPr>
        <w:t xml:space="preserve"> </w:t>
      </w:r>
      <w:r>
        <w:rPr>
          <w:rFonts w:ascii="Times New Roman" w:hAnsi="Times New Roman"/>
          <w:color w:val="000000"/>
          <w:sz w:val="22"/>
        </w:rPr>
        <w:t>hereof or as may be required to comply with Section 409A of the Code and the regulations or other guidance issued thereunder, if the Company shall be the surviving or resulting corporation in any merger, consolidation or share exchange, any Incentive granted hereunder shall pertain to and apply to the securities or rights (including cash, property, or assets) to which a holder of the number of shares of Common Stock subject to the Incentive would have been entitled.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12.3</w:t>
      </w:r>
    </w:p>
    <w:p>
      <w:pPr>
        <w:pStyle w:val="TextBody"/>
        <w:bidi w:val="0"/>
        <w:spacing w:before="0" w:after="240"/>
        <w:jc w:val="both"/>
        <w:rPr/>
      </w:pPr>
      <w:r>
        <w:rPr>
          <w:rFonts w:ascii="Times New Roman" w:hAnsi="Times New Roman"/>
          <w:b/>
          <w:color w:val="000000"/>
          <w:sz w:val="22"/>
        </w:rPr>
        <w:t xml:space="preserve">Exchange or Cancellation of Incentives Where Company Does Not Survive. </w:t>
      </w:r>
      <w:r>
        <w:rPr>
          <w:rFonts w:ascii="Times New Roman" w:hAnsi="Times New Roman"/>
          <w:color w:val="000000"/>
          <w:sz w:val="22"/>
        </w:rPr>
        <w:t xml:space="preserve">Except as otherwise provided by </w:t>
      </w:r>
      <w:r>
        <w:rPr>
          <w:rFonts w:ascii="Times New Roman" w:hAnsi="Times New Roman"/>
          <w:color w:val="000000"/>
          <w:sz w:val="22"/>
          <w:u w:val="single"/>
        </w:rPr>
        <w:t>Section 12.4</w:t>
      </w:r>
      <w:r>
        <w:rPr>
          <w:color w:val="000000"/>
        </w:rPr>
        <w:t xml:space="preserve"> </w:t>
      </w:r>
      <w:r>
        <w:rPr>
          <w:rFonts w:ascii="Times New Roman" w:hAnsi="Times New Roman"/>
          <w:color w:val="000000"/>
          <w:sz w:val="22"/>
        </w:rPr>
        <w:t>hereof or as may be required to comply with Section 409A of the Code and the regulations or other guidance issued thereunder, in the event of any merger, consolidation or share exchange pursuant to which the Company is not the surviving or resulting corporation, there shall be substituted for each share of Common Stock subject to the unexercised portions of outstanding Incentives, that number of shares of each class of stock or other securities or that amount of cash, property, or assets of the surviving, resulting or consolidated company which were distributed or distributable to the stockholder</w:t>
      </w:r>
      <w:r>
        <w:rPr>
          <w:rFonts w:ascii="Times New Roman" w:hAnsi="Times New Roman"/>
          <w:b/>
          <w:color w:val="000000"/>
          <w:sz w:val="22"/>
        </w:rPr>
        <w:t>s</w:t>
      </w:r>
      <w:r>
        <w:rPr>
          <w:color w:val="000000"/>
        </w:rPr>
        <w:t xml:space="preserve"> </w:t>
      </w:r>
      <w:r>
        <w:rPr>
          <w:rFonts w:ascii="Times New Roman" w:hAnsi="Times New Roman"/>
          <w:color w:val="000000"/>
          <w:sz w:val="22"/>
        </w:rPr>
        <w:t>of the Company in respect to each share of Common Stock held by them, such outstanding Incentives to be thereafter exercisable for such stock, securities, cash, or property in accordance with their terms.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12.4</w:t>
      </w:r>
    </w:p>
    <w:p>
      <w:pPr>
        <w:pStyle w:val="TextBody"/>
        <w:bidi w:val="0"/>
        <w:spacing w:before="0" w:after="240"/>
        <w:jc w:val="both"/>
        <w:rPr/>
      </w:pPr>
      <w:r>
        <w:rPr>
          <w:rFonts w:ascii="Times New Roman" w:hAnsi="Times New Roman"/>
          <w:b/>
          <w:color w:val="000000"/>
          <w:sz w:val="22"/>
        </w:rPr>
        <w:t xml:space="preserve">Cancellation of Incentives. </w:t>
      </w:r>
      <w:r>
        <w:rPr>
          <w:rFonts w:ascii="Times New Roman" w:hAnsi="Times New Roman"/>
          <w:color w:val="000000"/>
          <w:sz w:val="22"/>
        </w:rPr>
        <w:t xml:space="preserve">Notwithstanding the provisions of </w:t>
      </w:r>
      <w:r>
        <w:rPr>
          <w:rFonts w:ascii="Times New Roman" w:hAnsi="Times New Roman"/>
          <w:color w:val="000000"/>
          <w:sz w:val="22"/>
          <w:u w:val="single"/>
        </w:rPr>
        <w:t xml:space="preserve">Sections 12.2 and 12.3 </w:t>
      </w:r>
      <w:r>
        <w:rPr>
          <w:rFonts w:ascii="Times New Roman" w:hAnsi="Times New Roman"/>
          <w:color w:val="000000"/>
          <w:sz w:val="22"/>
        </w:rPr>
        <w:t xml:space="preserve">hereof, and except as may be required to comply with Section 409A of the Code and the regulations or other guidance issued thereunder, all Incentives granted hereunder may be canceled by the Company, in its sole discretion, as of the effective date of any Change in Control, merger, consolidation or share exchange, or any issuance of bonds, debentures, preferred or preference stocks ranking prior to or otherwise affecting the Common Stock or the rights </w:t>
      </w:r>
    </w:p>
    <w:p>
      <w:pPr>
        <w:pStyle w:val="TextBody"/>
        <w:bidi w:val="0"/>
        <w:jc w:val="center"/>
        <w:rPr>
          <w:rFonts w:ascii="Times New Roman" w:hAnsi="Times New Roman"/>
          <w:color w:val="000000"/>
          <w:sz w:val="22"/>
        </w:rPr>
      </w:pPr>
      <w:r>
        <w:rPr>
          <w:rFonts w:ascii="Times New Roman" w:hAnsi="Times New Roman"/>
          <w:color w:val="000000"/>
          <w:sz w:val="22"/>
        </w:rPr>
        <w:t>B-22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thereof (or any rights, options, or warrants to purchase same), or of any proposed sale of all or substantially all of the assets of the Company, or of any dissolution or liquidation of the Company, by either: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giving notice to each holder thereof or such holder’s personal representative of its intention to cancel those Incentives for which the issuance of shares of Common Stock involved payment by the Participant for such shares, and permitting the purchase during the 30 day period next preceding such effective date of any or all of the shares of Common Stock subject to such outstanding Incentives, including in the Board’s discretion some or all of the shares as to which such Incentives would not otherwise be vested and exercisable;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in the case of Incentives that are either (i) settled only in shares of Common Stock, or (ii) at the election of the Participant, settled in shares of Common Stock, paying the holder thereof an amount equal to a reasonable estimate of the difference between the net amount per share payable in such transaction or as a result of such transaction, and the price per share of such Incentive to be paid by the Participant (hereinafter the “</w:t>
      </w:r>
      <w:r>
        <w:rPr>
          <w:rFonts w:ascii="Times New Roman" w:hAnsi="Times New Roman"/>
          <w:b/>
          <w:i/>
          <w:color w:val="000000"/>
          <w:sz w:val="22"/>
        </w:rPr>
        <w:t>Spread</w:t>
      </w:r>
      <w:r>
        <w:rPr>
          <w:color w:val="000000"/>
        </w:rPr>
        <w:t>”</w:t>
      </w:r>
      <w:r>
        <w:rPr>
          <w:rFonts w:ascii="Times New Roman" w:hAnsi="Times New Roman"/>
          <w:color w:val="000000"/>
          <w:sz w:val="22"/>
        </w:rPr>
        <w:t>), multiplied by the number of shares subject to the Incentive. In cases where the shares constitute, or would after exercise, constitute Restricted Stock, the Company, in its discretion, may include some or all of those shares in the calculation of the amount payable hereunder. In estimating the Spread, appropriate adjustments to give effect to the existence of the Incentives shall be made, such as deeming the Incentives to have been exercised, with the Company receiving the exercise price payable thereunder, and treating the shares receivable upon exercise of the Incentives as being outstanding in determining the net amount per share. In cases where the proposed transaction consists of the acquisition of assets of the Company, the net amount per share shall be calculated on the basis of the net amount receivable with respect to shares of Common Stock upon a distribution and liquidation by the Company after giving effect to expenses and charges, including but not limited to taxes, payable by the Company before such liquidation could be completed.</w:t>
      </w:r>
    </w:p>
    <w:p>
      <w:pPr>
        <w:pStyle w:val="TextBody"/>
        <w:bidi w:val="0"/>
        <w:spacing w:before="0" w:after="480"/>
        <w:jc w:val="both"/>
        <w:rPr>
          <w:rFonts w:ascii="Times New Roman" w:hAnsi="Times New Roman"/>
          <w:sz w:val="20"/>
        </w:rPr>
      </w:pPr>
      <w:r>
        <w:rPr>
          <w:rFonts w:ascii="Times New Roman" w:hAnsi="Times New Roman"/>
          <w:color w:val="000000"/>
          <w:sz w:val="22"/>
        </w:rPr>
        <w:t xml:space="preserve">An Award that by its terms would be fully vested or exercisable upon a Change in Control will be considered vested or exercisable for purposes of </w:t>
      </w:r>
      <w:r>
        <w:rPr>
          <w:rFonts w:ascii="Times New Roman" w:hAnsi="Times New Roman"/>
          <w:color w:val="000000"/>
          <w:sz w:val="22"/>
          <w:u w:val="single"/>
        </w:rPr>
        <w:t>Section 12.4(a)</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13.</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LIQUIDATION OR DISSOLUTION</w:t>
      </w:r>
    </w:p>
    <w:p>
      <w:pPr>
        <w:pStyle w:val="TextBody"/>
        <w:bidi w:val="0"/>
        <w:spacing w:before="0" w:after="480"/>
        <w:jc w:val="both"/>
        <w:rPr>
          <w:rFonts w:ascii="Times New Roman" w:hAnsi="Times New Roman"/>
          <w:sz w:val="20"/>
        </w:rPr>
      </w:pPr>
      <w:r>
        <w:rPr>
          <w:rFonts w:ascii="Times New Roman" w:hAnsi="Times New Roman"/>
          <w:color w:val="000000"/>
          <w:sz w:val="22"/>
        </w:rPr>
        <w:t xml:space="preserve">Subject to </w:t>
      </w:r>
      <w:r>
        <w:rPr>
          <w:rFonts w:ascii="Times New Roman" w:hAnsi="Times New Roman"/>
          <w:color w:val="000000"/>
          <w:sz w:val="22"/>
          <w:u w:val="single"/>
        </w:rPr>
        <w:t>Section 12.4</w:t>
      </w:r>
      <w:r>
        <w:rPr>
          <w:rFonts w:ascii="Times New Roman" w:hAnsi="Times New Roman"/>
          <w:color w:val="000000"/>
          <w:sz w:val="20"/>
        </w:rPr>
        <w:t xml:space="preserve"> </w:t>
      </w:r>
      <w:r>
        <w:rPr>
          <w:rFonts w:ascii="Times New Roman" w:hAnsi="Times New Roman"/>
          <w:color w:val="000000"/>
          <w:sz w:val="22"/>
        </w:rPr>
        <w:t xml:space="preserve">hereof, in case the Company shall, at any time while any Incentive under this Plan shall be in force and remain unexpired, (a) sell all or substantially all of its property, or (b) dissolve, liquidate, or wind up its affairs, then each Participant shall be entitled to receive, in lieu of each share of Common Stock of the Company which such Participant would have been entitled to receive under the Incentive, the same kind and amount of any securities or assets as may be issuable, distributable, or payable upon any such sale, dissolution, liquidation, or winding up with respect to each share of Common Stock of the Company. If the Company shall, at any time prior to the expiration of any Incentive, make any partial distribution of its assets, in the nature of a partial liquidation, whether payable in cash or in kind (but excluding the distribution of a cash dividend payable out of earned surplus and designated as such) and an adjustment is determined by the Committee to be appropriate to prevent the dilution of the benefits or potential benefits intended to be made available under the Plan, then the Committee shall, in such manner as it may deem equitable, make such adjustment in accordance with the provisions of </w:t>
      </w:r>
      <w:r>
        <w:rPr>
          <w:rFonts w:ascii="Times New Roman" w:hAnsi="Times New Roman"/>
          <w:color w:val="000000"/>
          <w:sz w:val="22"/>
          <w:u w:val="single"/>
        </w:rPr>
        <w:t>Article 11</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14.</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INCENTIVES IN SUBSTITUTION FOR</w:t>
        <w:br/>
        <w:t>INCENTIVES GRANTED BY OTHER ENTITIES</w:t>
      </w:r>
    </w:p>
    <w:p>
      <w:pPr>
        <w:pStyle w:val="TextBody"/>
        <w:bidi w:val="0"/>
        <w:spacing w:before="0" w:after="480"/>
        <w:jc w:val="left"/>
        <w:rPr>
          <w:rFonts w:ascii="Times New Roman" w:hAnsi="Times New Roman"/>
          <w:sz w:val="20"/>
        </w:rPr>
      </w:pPr>
      <w:r>
        <w:rPr>
          <w:rFonts w:ascii="Times New Roman" w:hAnsi="Times New Roman"/>
          <w:color w:val="000000"/>
          <w:sz w:val="22"/>
        </w:rPr>
        <w:t>Incentives may be granted under the Plan from time to time in substitution for similar instruments held by employees, independent contractors or directors of a corporation, partnership, or limited liability company who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B-23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become or are about to become Employees, Contractors or Outside Directors of the Company or any Subsidiary as a result of a merger or consolidation of the employing corporation with the Company, the acquisition by the Company of equity of the employing entity, or any other similar transaction pursuant to which the Company becomes the successor employer. The terms and conditions of the substitute Incentives so granted may vary from the terms and conditions set forth in this Plan to such extent as the Committee at the time of grant may deem appropriate to conform, in whole or in part, to the provisions of the incentives in substitution for which they are granted.</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15.</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MISCELLANEOUS PROVISIONS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15.1</w:t>
      </w:r>
    </w:p>
    <w:p>
      <w:pPr>
        <w:pStyle w:val="TextBody"/>
        <w:bidi w:val="0"/>
        <w:spacing w:before="0" w:after="240"/>
        <w:jc w:val="both"/>
        <w:rPr/>
      </w:pPr>
      <w:r>
        <w:rPr>
          <w:rFonts w:ascii="Times New Roman" w:hAnsi="Times New Roman"/>
          <w:b/>
          <w:color w:val="000000"/>
          <w:sz w:val="22"/>
        </w:rPr>
        <w:t>Investment Intent.</w:t>
      </w:r>
      <w:r>
        <w:rPr>
          <w:color w:val="000000"/>
        </w:rPr>
        <w:t xml:space="preserve"> </w:t>
      </w:r>
      <w:r>
        <w:rPr>
          <w:rFonts w:ascii="Times New Roman" w:hAnsi="Times New Roman"/>
          <w:color w:val="000000"/>
          <w:sz w:val="22"/>
        </w:rPr>
        <w:t>The Company may require that there be presented to and filed with it by any Participant under the Plan, such evidence as it may deem necessary to establish that the Incentives granted or the shares of Common Stock to be purchased or transferred are being acquired for investment and not with a view to their distribution.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15.2</w:t>
      </w:r>
    </w:p>
    <w:p>
      <w:pPr>
        <w:pStyle w:val="TextBody"/>
        <w:bidi w:val="0"/>
        <w:spacing w:before="0" w:after="240"/>
        <w:jc w:val="both"/>
        <w:rPr/>
      </w:pPr>
      <w:r>
        <w:rPr>
          <w:rFonts w:ascii="Times New Roman" w:hAnsi="Times New Roman"/>
          <w:b/>
          <w:color w:val="000000"/>
          <w:sz w:val="22"/>
        </w:rPr>
        <w:t>No Right to Continued Employment.</w:t>
      </w:r>
      <w:r>
        <w:rPr>
          <w:color w:val="000000"/>
        </w:rPr>
        <w:t xml:space="preserve"> </w:t>
      </w:r>
      <w:r>
        <w:rPr>
          <w:rFonts w:ascii="Times New Roman" w:hAnsi="Times New Roman"/>
          <w:color w:val="000000"/>
          <w:sz w:val="22"/>
        </w:rPr>
        <w:t>Neither the Plan nor any Incentive granted under the Plan shall confer upon any Participant any right with respect to continuance of employment by the Company or any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15.3</w:t>
      </w:r>
    </w:p>
    <w:p>
      <w:pPr>
        <w:pStyle w:val="TextBody"/>
        <w:bidi w:val="0"/>
        <w:spacing w:before="0" w:after="240"/>
        <w:jc w:val="both"/>
        <w:rPr/>
      </w:pPr>
      <w:r>
        <w:rPr>
          <w:rFonts w:ascii="Times New Roman" w:hAnsi="Times New Roman"/>
          <w:b/>
          <w:color w:val="000000"/>
          <w:sz w:val="22"/>
        </w:rPr>
        <w:t>Indemnification of Board and Committee.</w:t>
      </w:r>
      <w:r>
        <w:rPr>
          <w:color w:val="000000"/>
        </w:rPr>
        <w:t xml:space="preserve"> </w:t>
      </w:r>
      <w:r>
        <w:rPr>
          <w:rFonts w:ascii="Times New Roman" w:hAnsi="Times New Roman"/>
          <w:color w:val="000000"/>
          <w:sz w:val="22"/>
        </w:rPr>
        <w:t>No member of the Board or the Committee, nor any officer or Employee of the Company acting on behalf of the Board or the Committee, shall be personally liable for any action, determination, or interpretation taken or made in good faith with respect to the Plan, and all members of the Board and the Committee, each officer of the Company, and each Employee of the Company acting on behalf of the Board or the Committee shall, to the extent permitted by law, be fully indemnified and protected by the Company in respect of any such action, determination, or interpretation to the fullest extent provided by law. Except to the extent required by any unwaiveable requirement under Applicable Law, no member of the Board or the Committee (and no Subsidiary of the Company) shall have any duties or liabilities, including without limitation any fiduciary duties, to any Participant (or any Person claiming by and through any Participant) as a result of this Plan, any Award Agreement or any Claim arising hereunder and, to the fullest extent permitted under Applicable Law, each Participant (as consideration for receiving and accepting an Award Agreement) irrevocably waives and releases any right or opportunity such Participant might have to assert (or participate or cooperate in) any Claim against any member of the Board or the Committee and any Subsidiary of the Company arising out of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15.4</w:t>
      </w:r>
    </w:p>
    <w:p>
      <w:pPr>
        <w:pStyle w:val="TextBody"/>
        <w:bidi w:val="0"/>
        <w:spacing w:before="0" w:after="240"/>
        <w:jc w:val="both"/>
        <w:rPr/>
      </w:pPr>
      <w:r>
        <w:rPr>
          <w:rFonts w:ascii="Times New Roman" w:hAnsi="Times New Roman"/>
          <w:b/>
          <w:color w:val="000000"/>
          <w:sz w:val="22"/>
        </w:rPr>
        <w:t>Effect of the Plan.</w:t>
      </w:r>
      <w:r>
        <w:rPr>
          <w:color w:val="000000"/>
        </w:rPr>
        <w:t xml:space="preserve"> </w:t>
      </w:r>
      <w:r>
        <w:rPr>
          <w:rFonts w:ascii="Times New Roman" w:hAnsi="Times New Roman"/>
          <w:color w:val="000000"/>
          <w:sz w:val="22"/>
        </w:rPr>
        <w:t>Neither the adoption of this Plan nor any action of the Board or the Committee shall be deemed to give any person any right to be granted an Award or any other rights except as may be evidenced by an Award Agreement, or any amendment thereto, duly authorized by the Committee and executed on behalf of the Company, and then only to the extent and upon the terms and conditions expressly set forth therein.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15.5</w:t>
      </w:r>
    </w:p>
    <w:p>
      <w:pPr>
        <w:pStyle w:val="TextBody"/>
        <w:bidi w:val="0"/>
        <w:spacing w:before="0" w:after="240"/>
        <w:jc w:val="both"/>
        <w:rPr/>
      </w:pPr>
      <w:r>
        <w:rPr>
          <w:rFonts w:ascii="Times New Roman" w:hAnsi="Times New Roman"/>
          <w:b/>
          <w:color w:val="000000"/>
          <w:sz w:val="22"/>
        </w:rPr>
        <w:t>Compliance with Other Laws and Regulations.</w:t>
      </w:r>
      <w:r>
        <w:rPr>
          <w:color w:val="000000"/>
        </w:rPr>
        <w:t xml:space="preserve"> </w:t>
      </w:r>
      <w:r>
        <w:rPr>
          <w:rFonts w:ascii="Times New Roman" w:hAnsi="Times New Roman"/>
          <w:color w:val="000000"/>
          <w:sz w:val="22"/>
        </w:rPr>
        <w:t>Notwithstanding anything contained herein to the contrary, the Company shall not be required to sell or issue shares of Common Stock under any Incentive if the issuance thereof would constitute a violation by the Participant or the Company of any provisions of any law or regulation of any governmental authority or any national securities exchange or inter-dealer quotation system or other forum in which shares of Common Stock are quoted or traded (including without limitation Section 16 of the Exchange Act); and, as a condition of any sale or issuance of shares of Common Stock under an Incentive, the Committee may require such agreements or undertakings, if any, as the Committee may deem necessary or advisable to assure compliance with any such law or regulation. The Plan, the grant and exercise of Incentives hereunder, and the obligation of the Company to sell and deliver shares of Common Stock, shall be subject to all applicable federal and state laws, rules and regulations and to such approvals by any government or regulatory agency as may be required.</w:t>
      </w:r>
    </w:p>
    <w:p>
      <w:pPr>
        <w:pStyle w:val="TextBody"/>
        <w:bidi w:val="0"/>
        <w:jc w:val="center"/>
        <w:rPr>
          <w:rFonts w:ascii="Times New Roman" w:hAnsi="Times New Roman"/>
          <w:color w:val="000000"/>
          <w:sz w:val="22"/>
        </w:rPr>
      </w:pPr>
      <w:r>
        <w:rPr>
          <w:rFonts w:ascii="Times New Roman" w:hAnsi="Times New Roman"/>
          <w:color w:val="000000"/>
          <w:sz w:val="22"/>
        </w:rPr>
        <w:t>B-24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15.6</w:t>
      </w:r>
    </w:p>
    <w:p>
      <w:pPr>
        <w:pStyle w:val="TextBody"/>
        <w:bidi w:val="0"/>
        <w:spacing w:before="0" w:after="240"/>
        <w:jc w:val="both"/>
        <w:rPr/>
      </w:pPr>
      <w:r>
        <w:rPr>
          <w:rFonts w:ascii="Times New Roman" w:hAnsi="Times New Roman"/>
          <w:b/>
          <w:color w:val="000000"/>
          <w:sz w:val="22"/>
        </w:rPr>
        <w:t>Foreign Participation.</w:t>
      </w:r>
      <w:r>
        <w:rPr>
          <w:color w:val="000000"/>
        </w:rPr>
        <w:t xml:space="preserve"> </w:t>
      </w:r>
      <w:r>
        <w:rPr>
          <w:rFonts w:ascii="Times New Roman" w:hAnsi="Times New Roman"/>
          <w:color w:val="000000"/>
          <w:sz w:val="22"/>
        </w:rPr>
        <w:t>To assure the viability of Awards granted to Participants employed in foreign countries, the Committee may provide for such special terms as it may consider necessary or appropriate to accommodate differences in local law, tax policy or custom. Moreover, the Committee may approve such supplements to, or amendments, restatements or alternative versions of, this Plan as it determines is necessary or appropriate for such purposes. Any such amendment, restatement or alternative versions that the Committee approves for purposes of using this Plan in a foreign country will not affect the terms of this Plan for any other country.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15.7</w:t>
      </w:r>
    </w:p>
    <w:p>
      <w:pPr>
        <w:pStyle w:val="TextBody"/>
        <w:bidi w:val="0"/>
        <w:spacing w:before="0" w:after="240"/>
        <w:jc w:val="both"/>
        <w:rPr/>
      </w:pPr>
      <w:r>
        <w:rPr>
          <w:rFonts w:ascii="Times New Roman" w:hAnsi="Times New Roman"/>
          <w:b/>
          <w:color w:val="000000"/>
          <w:sz w:val="22"/>
        </w:rPr>
        <w:t>Tax Requirements.</w:t>
      </w:r>
      <w:r>
        <w:rPr>
          <w:color w:val="000000"/>
        </w:rPr>
        <w:t xml:space="preserve"> </w:t>
      </w:r>
      <w:r>
        <w:rPr>
          <w:rFonts w:ascii="Times New Roman" w:hAnsi="Times New Roman"/>
          <w:color w:val="000000"/>
          <w:sz w:val="22"/>
        </w:rPr>
        <w:t xml:space="preserve">The Company or, if applicable, any Subsidiary (for purposes of this </w:t>
      </w:r>
      <w:r>
        <w:rPr>
          <w:rFonts w:ascii="Times New Roman" w:hAnsi="Times New Roman"/>
          <w:color w:val="000000"/>
          <w:sz w:val="22"/>
          <w:u w:val="single"/>
        </w:rPr>
        <w:t>Section 15.7</w:t>
      </w:r>
      <w:r>
        <w:rPr>
          <w:rFonts w:ascii="Times New Roman" w:hAnsi="Times New Roman"/>
          <w:color w:val="000000"/>
          <w:sz w:val="22"/>
        </w:rPr>
        <w:t>, the term “</w:t>
      </w:r>
      <w:r>
        <w:rPr>
          <w:rFonts w:ascii="Times New Roman" w:hAnsi="Times New Roman"/>
          <w:b/>
          <w:i/>
          <w:color w:val="000000"/>
          <w:sz w:val="22"/>
        </w:rPr>
        <w:t>Company</w:t>
      </w:r>
      <w:r>
        <w:rPr>
          <w:color w:val="000000"/>
        </w:rPr>
        <w:t xml:space="preserve">” </w:t>
      </w:r>
      <w:r>
        <w:rPr>
          <w:rFonts w:ascii="Times New Roman" w:hAnsi="Times New Roman"/>
          <w:color w:val="000000"/>
          <w:sz w:val="22"/>
        </w:rPr>
        <w:t>shall be deemed to include any applicable Subsidiary), shall have the right to deduct from all amounts paid in cash or other form in connection with the Plan, any federal, state, local, or other taxes required by law to be withheld in connection with an Award granted under this Plan. The Company may, in its sole discretion, also require the Participant receiving shares of Common Stock issued under the Plan to pay the Company the amount of any taxes that the Company is required to withhold in connection with the Participant’s income arising with respect to the Award. Such payments shall be required to be made when requested by the Company and may be required to be made prior to the registration of shares or delivery of any certificate representing shares of Common Stock. Such payment may be made by (a) the delivery of cash to the Company in an amount that equals or exceeds (to avoid the issuance of fractional shares under (c) below) the required tax withholding obligations of the Company; (b) if the Company, in its sole discretion, so consents in writing, the actual delivery by the exercising Participant to the Company of shares of Common Stock, which shares so delivered have an aggregate Fair Market Value that equals or exceeds (to avoid the issuance of fractional shares under (c) below) the required tax withholding payment; (c) if the Company, in its sole discretion, so consents in writing, the Company’s withholding of a number of shares to be delivered upon the vesting or exercise of the Award, which shares so withheld have an aggregate Fair Market Value that equals (but does not exceed) the required tax withholding payment; or (d) any combination of (a), (b), or (c). The Company may, in its sole discretion, withhold any such taxes from any other cash remuneration otherwise paid by the Company to the Participant. The Committee may in the Award Agreement impose any additional tax, social insurance, or fringe benefit requirements or provisions that the Committee deems necessary or desirable.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15.8</w:t>
      </w:r>
    </w:p>
    <w:p>
      <w:pPr>
        <w:pStyle w:val="TextBody"/>
        <w:bidi w:val="0"/>
        <w:spacing w:before="0" w:after="240"/>
        <w:jc w:val="both"/>
        <w:rPr/>
      </w:pPr>
      <w:r>
        <w:rPr>
          <w:rFonts w:ascii="Times New Roman" w:hAnsi="Times New Roman"/>
          <w:b/>
          <w:color w:val="000000"/>
          <w:sz w:val="22"/>
        </w:rPr>
        <w:t>Assignability.</w:t>
      </w:r>
      <w:r>
        <w:rPr>
          <w:color w:val="000000"/>
        </w:rPr>
        <w:t xml:space="preserve"> </w:t>
      </w:r>
      <w:r>
        <w:rPr>
          <w:rFonts w:ascii="Times New Roman" w:hAnsi="Times New Roman"/>
          <w:color w:val="000000"/>
          <w:sz w:val="22"/>
        </w:rPr>
        <w:t xml:space="preserve">Incentive Stock Options may not be transferred, assigned, pledged, hypothecated or otherwise conveyed or encumbered other than by will or the laws of descent and distribution and may be exercised during the lifetime of the Participant only by the Participant or the Participant’s legally authorized representative, and each Award Agreement in respect of an Incentive Stock Option shall so provide. The designation by a Participant of a beneficiary will not constitute a transfer of the Stock Option. The Committee may waive or modify any limitation contained in the preceding sentences of this </w:t>
      </w:r>
      <w:r>
        <w:rPr>
          <w:rFonts w:ascii="Times New Roman" w:hAnsi="Times New Roman"/>
          <w:color w:val="000000"/>
          <w:sz w:val="22"/>
          <w:u w:val="single"/>
        </w:rPr>
        <w:t>Section 15.8</w:t>
      </w:r>
      <w:r>
        <w:rPr>
          <w:color w:val="000000"/>
        </w:rPr>
        <w:t xml:space="preserve"> </w:t>
      </w:r>
      <w:r>
        <w:rPr>
          <w:rFonts w:ascii="Times New Roman" w:hAnsi="Times New Roman"/>
          <w:color w:val="000000"/>
          <w:sz w:val="22"/>
        </w:rPr>
        <w:t>that is not required for compliance with Section 422 of the Code.</w:t>
      </w:r>
    </w:p>
    <w:p>
      <w:pPr>
        <w:pStyle w:val="TextBody"/>
        <w:bidi w:val="0"/>
        <w:jc w:val="both"/>
        <w:rPr>
          <w:rFonts w:ascii="Times New Roman" w:hAnsi="Times New Roman"/>
          <w:sz w:val="20"/>
        </w:rPr>
      </w:pPr>
      <w:r>
        <w:rPr>
          <w:rFonts w:ascii="Times New Roman" w:hAnsi="Times New Roman"/>
          <w:color w:val="000000"/>
          <w:sz w:val="22"/>
        </w:rPr>
        <w:t>Except as otherwise provided herein, Awards may not be transferred, assigned, pledged, hypothecated or otherwise conveyed or encumbered other than by will or the laws of descent and distribution. Notwithstanding the foregoing, the Committee may, in its discretion, authorize all or a portion of an Award to be granted to a Participant on terms which permit transfer by such Participant to (a) the spouse (or former spouse), children or grandchildren of the Participant (“</w:t>
      </w:r>
      <w:r>
        <w:rPr>
          <w:rFonts w:ascii="Times New Roman" w:hAnsi="Times New Roman"/>
          <w:b/>
          <w:i/>
          <w:color w:val="000000"/>
          <w:sz w:val="22"/>
        </w:rPr>
        <w:t>Immediate Family Members</w:t>
      </w:r>
      <w:r>
        <w:rPr>
          <w:rFonts w:ascii="Times New Roman" w:hAnsi="Times New Roman"/>
          <w:color w:val="000000"/>
          <w:sz w:val="20"/>
        </w:rPr>
        <w:t>”</w:t>
      </w:r>
      <w:r>
        <w:rPr>
          <w:rFonts w:ascii="Times New Roman" w:hAnsi="Times New Roman"/>
          <w:color w:val="000000"/>
          <w:sz w:val="22"/>
        </w:rPr>
        <w:t xml:space="preserve">), (b) a trust or trusts for the exclusive benefit of such Immediate Family Members, (c) a partnership in which the only partners are (1) such Immediate Family Members and/or (2) entities which are controlled by the Participant and/or Immediate Family Members, (d) an entity exempt from federal income tax pursuant to Section 501(c)(3) of the Code or any successor provision, or (e) a split interest trust or pooled income fund described in Section 2522(c)(2) of the Code or any successor provision, </w:t>
      </w:r>
      <w:r>
        <w:rPr>
          <w:rFonts w:ascii="Times New Roman" w:hAnsi="Times New Roman"/>
          <w:color w:val="000000"/>
          <w:sz w:val="22"/>
          <w:u w:val="single"/>
        </w:rPr>
        <w:t>provided that</w:t>
      </w:r>
      <w:r>
        <w:rPr>
          <w:rFonts w:ascii="Times New Roman" w:hAnsi="Times New Roman"/>
          <w:color w:val="000000"/>
          <w:sz w:val="20"/>
        </w:rPr>
        <w:t xml:space="preserve"> </w:t>
      </w:r>
      <w:r>
        <w:rPr>
          <w:rFonts w:ascii="Times New Roman" w:hAnsi="Times New Roman"/>
          <w:color w:val="000000"/>
          <w:sz w:val="22"/>
        </w:rPr>
        <w:t>(x) there shall be no consideration for any such transfer, (y) the Award Agreement pursuant to which such Award is granted must be approved by the Committee and must expressly provide for transferability in a manner consistent with this Section, and (z) subsequent transfers of transferred Award shall be prohibited except those by will or the laws of descent and distribution.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Following any transfer, any such Award shall continue to be subject to the same terms and conditions as were applicable immediately prior to transfer, provided that for purposes of </w:t>
      </w:r>
      <w:r>
        <w:rPr>
          <w:rFonts w:ascii="Times New Roman" w:hAnsi="Times New Roman"/>
          <w:color w:val="000000"/>
          <w:sz w:val="22"/>
          <w:u w:val="single"/>
        </w:rPr>
        <w:t>Articles 8, 9, 11, 13 and 15</w:t>
      </w:r>
      <w:r>
        <w:rPr>
          <w:rFonts w:ascii="Times New Roman" w:hAnsi="Times New Roman"/>
          <w:color w:val="000000"/>
          <w:sz w:val="20"/>
        </w:rPr>
        <w:t xml:space="preserve"> </w:t>
      </w:r>
      <w:r>
        <w:rPr>
          <w:rFonts w:ascii="Times New Roman" w:hAnsi="Times New Roman"/>
          <w:color w:val="000000"/>
          <w:sz w:val="22"/>
        </w:rPr>
        <w:t>hereof the term “</w:t>
      </w:r>
      <w:r>
        <w:rPr>
          <w:rFonts w:ascii="Times New Roman" w:hAnsi="Times New Roman"/>
          <w:b/>
          <w:i/>
          <w:color w:val="000000"/>
          <w:sz w:val="22"/>
        </w:rPr>
        <w:t>Participant</w:t>
      </w:r>
      <w:r>
        <w:rPr>
          <w:rFonts w:ascii="Times New Roman" w:hAnsi="Times New Roman"/>
          <w:color w:val="000000"/>
          <w:sz w:val="20"/>
        </w:rPr>
        <w:t xml:space="preserve">” </w:t>
      </w:r>
      <w:r>
        <w:rPr>
          <w:rFonts w:ascii="Times New Roman" w:hAnsi="Times New Roman"/>
          <w:color w:val="000000"/>
          <w:sz w:val="22"/>
        </w:rPr>
        <w:t>shall be deemed to include the transferee. The events of Termination of Service shall continue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B-25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to be applied with respect to the original Participant, following which the Award shall be transferable, exercisable or convertible by the transferee only to the extent and for the periods specified in the Award Agreement. The Committee and the Company shall have no obligation to inform any transferee of an Award of any expiration, termination, lapse or acceleration of such Award. The Company shall have no obligation to register with any federal or state securities commission or agency any Common Stock issuable or issued under an Award that has been transferred by a Participant under this </w:t>
      </w:r>
      <w:r>
        <w:rPr>
          <w:rFonts w:ascii="Times New Roman" w:hAnsi="Times New Roman"/>
          <w:color w:val="000000"/>
          <w:sz w:val="22"/>
          <w:u w:val="single"/>
        </w:rPr>
        <w:t>Section 15.8</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15.9</w:t>
      </w:r>
    </w:p>
    <w:p>
      <w:pPr>
        <w:pStyle w:val="TextBody"/>
        <w:bidi w:val="0"/>
        <w:spacing w:before="0" w:after="240"/>
        <w:jc w:val="both"/>
        <w:rPr/>
      </w:pPr>
      <w:r>
        <w:rPr>
          <w:rFonts w:ascii="Times New Roman" w:hAnsi="Times New Roman"/>
          <w:b/>
          <w:color w:val="000000"/>
          <w:sz w:val="22"/>
        </w:rPr>
        <w:t>Use of Proceeds.</w:t>
      </w:r>
      <w:r>
        <w:rPr>
          <w:color w:val="000000"/>
        </w:rPr>
        <w:t xml:space="preserve"> </w:t>
      </w:r>
      <w:r>
        <w:rPr>
          <w:rFonts w:ascii="Times New Roman" w:hAnsi="Times New Roman"/>
          <w:color w:val="000000"/>
          <w:sz w:val="22"/>
        </w:rPr>
        <w:t>Proceeds from the sale of shares of Common Stock pursuant to Incentives granted under this Plan shall constitute general funds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15.10</w:t>
      </w:r>
    </w:p>
    <w:p>
      <w:pPr>
        <w:pStyle w:val="TextBody"/>
        <w:bidi w:val="0"/>
        <w:spacing w:before="0" w:after="240"/>
        <w:jc w:val="both"/>
        <w:rPr/>
      </w:pPr>
      <w:r>
        <w:rPr>
          <w:rFonts w:ascii="Times New Roman" w:hAnsi="Times New Roman"/>
          <w:b/>
          <w:color w:val="000000"/>
          <w:sz w:val="22"/>
        </w:rPr>
        <w:t>Legend.</w:t>
      </w:r>
      <w:r>
        <w:rPr>
          <w:color w:val="000000"/>
        </w:rPr>
        <w:t xml:space="preserve"> </w:t>
      </w:r>
      <w:r>
        <w:rPr>
          <w:rFonts w:ascii="Times New Roman" w:hAnsi="Times New Roman"/>
          <w:color w:val="000000"/>
          <w:sz w:val="22"/>
        </w:rPr>
        <w:t xml:space="preserve">The shares of Common Stock or other securities of the Company delivered pursuant to an Award shall be subject to such stop transfer orders and other restrictions as the Committee may deem advisable under the Plan or the rules, regulations, and other requirements of the Securities and Exchange Commission, any stock exchange upon which such Common Stock or other securities are then listed, and any applicable federal, state or other laws, and the Committee may cause a legend or legends to be inscribed on any such certificates to make appropriate reference to such restrictions.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15.11</w:t>
      </w:r>
    </w:p>
    <w:p>
      <w:pPr>
        <w:pStyle w:val="TextBody"/>
        <w:bidi w:val="0"/>
        <w:spacing w:before="0" w:after="240"/>
        <w:jc w:val="both"/>
        <w:rPr/>
      </w:pPr>
      <w:r>
        <w:rPr>
          <w:rFonts w:ascii="Times New Roman" w:hAnsi="Times New Roman"/>
          <w:b/>
          <w:color w:val="000000"/>
          <w:sz w:val="22"/>
        </w:rPr>
        <w:t>Governing Law.</w:t>
      </w:r>
      <w:r>
        <w:rPr>
          <w:color w:val="000000"/>
        </w:rPr>
        <w:t xml:space="preserve"> </w:t>
      </w:r>
      <w:r>
        <w:rPr>
          <w:rFonts w:ascii="Times New Roman" w:hAnsi="Times New Roman"/>
          <w:color w:val="000000"/>
          <w:sz w:val="22"/>
        </w:rPr>
        <w:t xml:space="preserve">The Plan shall be governed by, construed, and enforced in accordance with the laws of the State of Delaware (excluding any conflict of laws, rule or principle of Delaware law that might refer the governance, construction, or interpretation of this Plan to the laws of another state). A Participant’s sole remedy for any Claim shall be against the Company, and no Participant shall have any claim or right of any nature against any Subsidiary of the Company or any stockholder or existing or former director, officer or Employee of the Company or any Subsidiary of the Company. The individuals and entities described above in this </w:t>
      </w:r>
      <w:r>
        <w:rPr>
          <w:rFonts w:ascii="Times New Roman" w:hAnsi="Times New Roman"/>
          <w:color w:val="000000"/>
          <w:sz w:val="22"/>
          <w:u w:val="single"/>
        </w:rPr>
        <w:t>Section 15.11</w:t>
      </w:r>
      <w:r>
        <w:rPr>
          <w:color w:val="000000"/>
        </w:rPr>
        <w:t xml:space="preserve"> </w:t>
      </w:r>
      <w:r>
        <w:rPr>
          <w:rFonts w:ascii="Times New Roman" w:hAnsi="Times New Roman"/>
          <w:color w:val="000000"/>
          <w:sz w:val="22"/>
        </w:rPr>
        <w:t xml:space="preserve">(other than the Company) shall be third-party beneficiaries of this Plan for purposes of enforcing the terms of this </w:t>
      </w:r>
      <w:r>
        <w:rPr>
          <w:rFonts w:ascii="Times New Roman" w:hAnsi="Times New Roman"/>
          <w:color w:val="000000"/>
          <w:sz w:val="22"/>
          <w:u w:val="single"/>
        </w:rPr>
        <w:t>Section 15.11</w:t>
      </w:r>
      <w:r>
        <w:rPr>
          <w:rFonts w:ascii="Times New Roman" w:hAnsi="Times New Roman"/>
          <w:color w:val="000000"/>
          <w:sz w:val="22"/>
        </w:rPr>
        <w:t>.</w:t>
      </w:r>
    </w:p>
    <w:p>
      <w:pPr>
        <w:pStyle w:val="TextBody"/>
        <w:bidi w:val="0"/>
        <w:spacing w:before="0" w:after="480"/>
        <w:jc w:val="center"/>
        <w:rPr>
          <w:rFonts w:ascii="Times New Roman" w:hAnsi="Times New Roman"/>
          <w:sz w:val="20"/>
        </w:rPr>
      </w:pPr>
      <w:r>
        <w:rPr>
          <w:rFonts w:ascii="Times New Roman" w:hAnsi="Times New Roman"/>
          <w:color w:val="000000"/>
          <w:sz w:val="22"/>
        </w:rPr>
        <w:t>A copy of this Plan shall be kept on file in the principal office of the Company in Dallas, Texas.</w:t>
      </w:r>
      <w:r>
        <w:rPr>
          <w:rFonts w:ascii="Times New Roman" w:hAnsi="Times New Roman"/>
          <w:color w:val="000000"/>
          <w:sz w:val="20"/>
        </w:rPr>
        <w:t xml:space="preserve"> </w:t>
      </w:r>
    </w:p>
    <w:p>
      <w:pPr>
        <w:pStyle w:val="TextBody"/>
        <w:bidi w:val="0"/>
        <w:spacing w:before="0" w:after="480"/>
        <w:jc w:val="center"/>
        <w:rPr>
          <w:rFonts w:ascii="Times New Roman" w:hAnsi="Times New Roman"/>
          <w:color w:val="000000"/>
          <w:sz w:val="22"/>
        </w:rPr>
      </w:pP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B-26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IN WITNESS WHEREOF, the Company has caused this instrument to be executed as of May 15, 2025, by its Chief Executive Officer pursuant to prior action taken by the Board.</w:t>
      </w:r>
    </w:p>
    <w:p>
      <w:pPr>
        <w:pStyle w:val="TextBody"/>
        <w:bidi w:val="0"/>
        <w:spacing w:before="0" w:after="720"/>
        <w:jc w:val="left"/>
        <w:rPr>
          <w:rFonts w:ascii="Times New Roman" w:hAnsi="Times New Roman"/>
          <w:sz w:val="20"/>
        </w:rPr>
      </w:pPr>
      <w:r>
        <w:rPr>
          <w:rFonts w:ascii="Times New Roman" w:hAnsi="Times New Roman"/>
          <w:b/>
          <w:caps/>
          <w:color w:val="000000"/>
          <w:sz w:val="22"/>
        </w:rPr>
        <w:t>LSB INDUSTRIES, INC.</w:t>
      </w:r>
      <w:r>
        <w:rPr>
          <w:rFonts w:ascii="Times New Roman" w:hAnsi="Times New Roman"/>
          <w:caps/>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 xml:space="preserve">By: </w:t>
      </w:r>
    </w:p>
    <w:p>
      <w:pPr>
        <w:pStyle w:val="TextBody"/>
        <w:bidi w:val="0"/>
        <w:jc w:val="left"/>
        <w:rPr>
          <w:rFonts w:ascii="Times New Roman" w:hAnsi="Times New Roman"/>
          <w:color w:val="000000"/>
          <w:sz w:val="22"/>
        </w:rPr>
      </w:pPr>
      <w:r>
        <w:rPr>
          <w:rFonts w:ascii="Times New Roman" w:hAnsi="Times New Roman"/>
          <w:color w:val="000000"/>
          <w:sz w:val="22"/>
        </w:rPr>
        <w:t xml:space="preserve">Name: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Title: Chief Executive Officer</w:t>
      </w:r>
    </w:p>
    <w:p>
      <w:pPr>
        <w:pStyle w:val="TextBody"/>
        <w:bidi w:val="0"/>
        <w:jc w:val="center"/>
        <w:rPr>
          <w:rFonts w:ascii="Times New Roman" w:hAnsi="Times New Roman"/>
          <w:color w:val="000000"/>
          <w:sz w:val="22"/>
        </w:rPr>
      </w:pPr>
      <w:r>
        <w:rPr>
          <w:rFonts w:ascii="Times New Roman" w:hAnsi="Times New Roman"/>
          <w:color w:val="000000"/>
          <w:sz w:val="22"/>
        </w:rPr>
        <w:t>B-27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7" w:name="lxu-ex10_4.htm"/>
      <w:bookmarkStart w:id="28" w:name="kslxuex10_4"/>
      <w:bookmarkEnd w:id="27"/>
      <w:bookmarkEnd w:id="28"/>
      <w:r>
        <w:rPr>
          <w:rFonts w:ascii="Times New Roman" w:hAnsi="Times New Roman"/>
          <w:color w:val="000000"/>
          <w:sz w:val="20"/>
        </w:rPr>
        <w:t>Exhibit 10.4</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RSU AWARD AGREEMENT</w:t>
      </w:r>
    </w:p>
    <w:p>
      <w:pPr>
        <w:pStyle w:val="TextBody"/>
        <w:bidi w:val="0"/>
        <w:jc w:val="center"/>
        <w:rPr>
          <w:rFonts w:ascii="Times New Roman" w:hAnsi="Times New Roman"/>
          <w:b/>
          <w:color w:val="000000"/>
          <w:sz w:val="22"/>
        </w:rPr>
      </w:pPr>
      <w:r>
        <w:rPr>
          <w:rFonts w:ascii="Times New Roman" w:hAnsi="Times New Roman"/>
          <w:b/>
          <w:color w:val="000000"/>
          <w:sz w:val="22"/>
        </w:rPr>
        <w:t>LSB INDUSTRIES, INC.</w:t>
      </w:r>
    </w:p>
    <w:p>
      <w:pPr>
        <w:pStyle w:val="TextBody"/>
        <w:bidi w:val="0"/>
        <w:jc w:val="center"/>
        <w:rPr>
          <w:rFonts w:ascii="Times New Roman" w:hAnsi="Times New Roman"/>
          <w:b/>
          <w:color w:val="000000"/>
          <w:sz w:val="22"/>
        </w:rPr>
      </w:pPr>
      <w:r>
        <w:rPr>
          <w:rFonts w:ascii="Times New Roman" w:hAnsi="Times New Roman"/>
          <w:b/>
          <w:color w:val="000000"/>
          <w:sz w:val="22"/>
        </w:rPr>
        <w:t>2025 LONG TERM INCENTIVE PLAN</w:t>
      </w:r>
    </w:p>
    <w:p>
      <w:pPr>
        <w:pStyle w:val="TextBody"/>
        <w:bidi w:val="0"/>
        <w:jc w:val="center"/>
        <w:rPr/>
      </w:pPr>
      <w:r>
        <w:rPr/>
        <w:t> </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LSB Industries, Inc.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grants to the Participant named below (“</w:t>
      </w:r>
      <w:r>
        <w:rPr>
          <w:rFonts w:ascii="Times New Roman" w:hAnsi="Times New Roman"/>
          <w:color w:val="000000"/>
          <w:sz w:val="22"/>
          <w:u w:val="single"/>
        </w:rPr>
        <w:t>you</w:t>
      </w:r>
      <w:r>
        <w:rPr>
          <w:rFonts w:ascii="Times New Roman" w:hAnsi="Times New Roman"/>
          <w:color w:val="000000"/>
          <w:sz w:val="20"/>
        </w:rPr>
        <w:t>”</w:t>
      </w:r>
      <w:r>
        <w:rPr>
          <w:rFonts w:ascii="Times New Roman" w:hAnsi="Times New Roman"/>
          <w:color w:val="000000"/>
          <w:sz w:val="22"/>
        </w:rPr>
        <w:t>) the number of Restricted Stock Units (“</w:t>
      </w:r>
      <w:r>
        <w:rPr>
          <w:rFonts w:ascii="Times New Roman" w:hAnsi="Times New Roman"/>
          <w:color w:val="000000"/>
          <w:sz w:val="22"/>
          <w:u w:val="single"/>
        </w:rPr>
        <w:t>RSUs</w:t>
      </w:r>
      <w:r>
        <w:rPr>
          <w:rFonts w:ascii="Times New Roman" w:hAnsi="Times New Roman"/>
          <w:color w:val="000000"/>
          <w:sz w:val="20"/>
        </w:rPr>
        <w:t>”</w:t>
      </w:r>
      <w:r>
        <w:rPr>
          <w:rFonts w:ascii="Times New Roman" w:hAnsi="Times New Roman"/>
          <w:color w:val="000000"/>
          <w:sz w:val="22"/>
        </w:rPr>
        <w:t>) set forth below (the “</w:t>
      </w:r>
      <w:r>
        <w:rPr>
          <w:rFonts w:ascii="Times New Roman" w:hAnsi="Times New Roman"/>
          <w:color w:val="000000"/>
          <w:sz w:val="22"/>
          <w:u w:val="single"/>
        </w:rPr>
        <w:t>Award</w:t>
      </w:r>
      <w:r>
        <w:rPr>
          <w:rFonts w:ascii="Times New Roman" w:hAnsi="Times New Roman"/>
          <w:color w:val="000000"/>
          <w:sz w:val="20"/>
        </w:rPr>
        <w:t>”</w:t>
      </w:r>
      <w:r>
        <w:rPr>
          <w:rFonts w:ascii="Times New Roman" w:hAnsi="Times New Roman"/>
          <w:color w:val="000000"/>
          <w:sz w:val="22"/>
        </w:rPr>
        <w:t>), under this RSU Award Agreement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w:t>
      </w:r>
    </w:p>
    <w:tbl>
      <w:tblPr>
        <w:tblW w:w="10205" w:type="dxa"/>
        <w:jc w:val="left"/>
        <w:tblInd w:w="0" w:type="dxa"/>
        <w:tblLayout w:type="fixed"/>
        <w:tblCellMar>
          <w:top w:w="28" w:type="dxa"/>
          <w:left w:w="28" w:type="dxa"/>
          <w:bottom w:w="28" w:type="dxa"/>
          <w:right w:w="28" w:type="dxa"/>
        </w:tblCellMar>
      </w:tblPr>
      <w:tblGrid>
        <w:gridCol w:w="1932"/>
        <w:gridCol w:w="8273"/>
      </w:tblGrid>
      <w:tr>
        <w:trPr/>
        <w:tc>
          <w:tcPr>
            <w:tcW w:w="1932" w:type="dxa"/>
            <w:tcBorders/>
            <w:vAlign w:val="center"/>
          </w:tcPr>
          <w:p>
            <w:pPr>
              <w:pStyle w:val="TableContents"/>
              <w:bidi w:val="0"/>
              <w:spacing w:before="0" w:after="283"/>
              <w:jc w:val="left"/>
              <w:rPr>
                <w:sz w:val="4"/>
                <w:szCs w:val="4"/>
              </w:rPr>
            </w:pPr>
            <w:r>
              <w:rPr>
                <w:sz w:val="4"/>
                <w:szCs w:val="4"/>
              </w:rPr>
            </w:r>
          </w:p>
        </w:tc>
        <w:tc>
          <w:tcPr>
            <w:tcW w:w="8273" w:type="dxa"/>
            <w:tcBorders/>
            <w:vAlign w:val="center"/>
          </w:tcPr>
          <w:p>
            <w:pPr>
              <w:pStyle w:val="TableContents"/>
              <w:bidi w:val="0"/>
              <w:spacing w:before="0" w:after="283"/>
              <w:jc w:val="left"/>
              <w:rPr>
                <w:sz w:val="4"/>
                <w:szCs w:val="4"/>
              </w:rPr>
            </w:pPr>
            <w:r>
              <w:rPr>
                <w:sz w:val="4"/>
                <w:szCs w:val="4"/>
              </w:rPr>
            </w:r>
          </w:p>
        </w:tc>
      </w:tr>
      <w:tr>
        <w:trPr/>
        <w:tc>
          <w:tcPr>
            <w:tcW w:w="193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Participant:</w:t>
            </w:r>
          </w:p>
        </w:tc>
        <w:tc>
          <w:tcPr>
            <w:tcW w:w="827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[Name]</w:t>
            </w:r>
          </w:p>
        </w:tc>
      </w:tr>
      <w:tr>
        <w:trPr/>
        <w:tc>
          <w:tcPr>
            <w:tcW w:w="193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Grant Date:</w:t>
            </w:r>
          </w:p>
        </w:tc>
        <w:tc>
          <w:tcPr>
            <w:tcW w:w="82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[Date]</w:t>
            </w:r>
          </w:p>
        </w:tc>
      </w:tr>
      <w:tr>
        <w:trPr/>
        <w:tc>
          <w:tcPr>
            <w:tcW w:w="193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Total Number of RSUs:</w:t>
            </w:r>
          </w:p>
        </w:tc>
        <w:tc>
          <w:tcPr>
            <w:tcW w:w="82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[Number]</w:t>
            </w:r>
          </w:p>
        </w:tc>
      </w:tr>
      <w:tr>
        <w:trPr/>
        <w:tc>
          <w:tcPr>
            <w:tcW w:w="193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Definition of RSU:</w:t>
            </w:r>
          </w:p>
        </w:tc>
        <w:tc>
          <w:tcPr>
            <w:tcW w:w="82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sz w:val="22"/>
              </w:rPr>
            </w:pPr>
            <w:r>
              <w:rPr>
                <w:rFonts w:ascii="Times New Roman" w:hAnsi="Times New Roman"/>
                <w:color w:val="000000"/>
                <w:sz w:val="22"/>
              </w:rPr>
              <w:t>Each RSU entitles you to earn and receive 1 share of Stock (a “</w:t>
            </w:r>
            <w:r>
              <w:rPr>
                <w:rFonts w:ascii="Times New Roman" w:hAnsi="Times New Roman"/>
                <w:color w:val="000000"/>
                <w:sz w:val="22"/>
                <w:u w:val="single"/>
              </w:rPr>
              <w:t>Share</w:t>
            </w:r>
            <w:r>
              <w:rPr>
                <w:rFonts w:ascii="Times New Roman" w:hAnsi="Times New Roman"/>
                <w:color w:val="000000"/>
                <w:sz w:val="22"/>
              </w:rPr>
              <w:t xml:space="preserve">”)—or a cash amount equal to the Fair Market Value of 1 Share—in the future, in each case subject to the terms of this Agreement. </w:t>
            </w:r>
          </w:p>
        </w:tc>
      </w:tr>
      <w:tr>
        <w:trPr/>
        <w:tc>
          <w:tcPr>
            <w:tcW w:w="193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Plan:</w:t>
            </w:r>
          </w:p>
        </w:tc>
        <w:tc>
          <w:tcPr>
            <w:tcW w:w="82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sz w:val="22"/>
              </w:rPr>
            </w:pPr>
            <w:r>
              <w:rPr>
                <w:rFonts w:ascii="Times New Roman" w:hAnsi="Times New Roman"/>
                <w:color w:val="000000"/>
                <w:sz w:val="22"/>
              </w:rPr>
              <w:t xml:space="preserve">LSB Industries, Inc. 2025 Long Term Incentive, attached hereto as </w:t>
            </w:r>
            <w:r>
              <w:rPr>
                <w:rFonts w:ascii="Times New Roman" w:hAnsi="Times New Roman"/>
                <w:b/>
                <w:color w:val="000000"/>
                <w:sz w:val="22"/>
                <w:u w:val="single"/>
              </w:rPr>
              <w:t>Exhibit B</w:t>
            </w:r>
          </w:p>
        </w:tc>
      </w:tr>
      <w:tr>
        <w:trPr/>
        <w:tc>
          <w:tcPr>
            <w:tcW w:w="193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Defined Terms:</w:t>
            </w:r>
          </w:p>
        </w:tc>
        <w:tc>
          <w:tcPr>
            <w:tcW w:w="82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As set forth in the Plan, unless otherwise defined in this Agreement</w:t>
            </w:r>
          </w:p>
        </w:tc>
      </w:tr>
      <w:tr>
        <w:trPr/>
        <w:tc>
          <w:tcPr>
            <w:tcW w:w="193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Earning and Payment Terms:</w:t>
            </w:r>
          </w:p>
        </w:tc>
        <w:tc>
          <w:tcPr>
            <w:tcW w:w="827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left"/>
              <w:rPr>
                <w:rFonts w:ascii="Times New Roman" w:hAnsi="Times New Roman"/>
                <w:sz w:val="22"/>
              </w:rPr>
            </w:pPr>
            <w:r>
              <w:rPr>
                <w:rFonts w:ascii="Times New Roman" w:hAnsi="Times New Roman"/>
                <w:color w:val="000000"/>
                <w:sz w:val="22"/>
              </w:rPr>
              <w:t xml:space="preserve">See </w:t>
            </w:r>
            <w:r>
              <w:rPr>
                <w:rFonts w:ascii="Times New Roman" w:hAnsi="Times New Roman"/>
                <w:b/>
                <w:color w:val="000000"/>
                <w:sz w:val="22"/>
                <w:u w:val="single"/>
              </w:rPr>
              <w:t>Exhibit A</w:t>
            </w:r>
            <w:r>
              <w:rPr>
                <w:rFonts w:ascii="Times New Roman" w:hAnsi="Times New Roman"/>
                <w:color w:val="000000"/>
                <w:sz w:val="22"/>
              </w:rPr>
              <w:t> attached hereto.</w:t>
            </w:r>
          </w:p>
        </w:tc>
      </w:tr>
    </w:tbl>
    <w:p>
      <w:pPr>
        <w:pStyle w:val="TextBody"/>
        <w:bidi w:val="0"/>
        <w:spacing w:before="48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480" w:after="240"/>
        <w:jc w:val="center"/>
        <w:rPr>
          <w:rFonts w:ascii="Times New Roman" w:hAnsi="Times New Roman"/>
          <w:b/>
          <w:color w:val="000000"/>
          <w:sz w:val="22"/>
        </w:rPr>
      </w:pPr>
      <w:r>
        <w:rPr>
          <w:rFonts w:ascii="Times New Roman" w:hAnsi="Times New Roman"/>
          <w:b/>
          <w:color w:val="000000"/>
          <w:sz w:val="22"/>
        </w:rPr>
        <w:t>RSU TERMS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Grant of RSUs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The Award is subject to the terms of the Plan. The terms of the Plan are incorporated into this Agreement by this reference.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You must accept the terms of this Agreement within 10 business days after the Agreement is presented to you for by returning a signed copy of this Agreement to the Company in accordance with such procedures as the Company may establish. The Committee may unilaterally cancel and forfeit all or a portion of the Award if you do not timely accept the terms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Restrictions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You will have no rights or privileges of a Stockholder as to any Shares underlying the RSUs before settlement under </w:t>
      </w:r>
      <w:r>
        <w:rPr>
          <w:rFonts w:ascii="Times New Roman" w:hAnsi="Times New Roman"/>
          <w:color w:val="000000"/>
          <w:sz w:val="22"/>
          <w:u w:val="single"/>
        </w:rPr>
        <w:t>Section 6</w:t>
      </w:r>
      <w:r>
        <w:rPr>
          <w:rFonts w:ascii="Times New Roman" w:hAnsi="Times New Roman"/>
          <w:color w:val="000000"/>
          <w:sz w:val="20"/>
        </w:rPr>
        <w:t xml:space="preserve"> </w:t>
      </w:r>
      <w:r>
        <w:rPr>
          <w:rFonts w:ascii="Times New Roman" w:hAnsi="Times New Roman"/>
          <w:color w:val="000000"/>
          <w:sz w:val="22"/>
        </w:rPr>
        <w:t>below (“</w:t>
      </w:r>
      <w:r>
        <w:rPr>
          <w:rFonts w:ascii="Times New Roman" w:hAnsi="Times New Roman"/>
          <w:color w:val="000000"/>
          <w:sz w:val="22"/>
          <w:u w:val="single"/>
        </w:rPr>
        <w:t>Settlement</w:t>
      </w:r>
      <w:r>
        <w:rPr>
          <w:rFonts w:ascii="Times New Roman" w:hAnsi="Times New Roman"/>
          <w:color w:val="000000"/>
          <w:sz w:val="20"/>
        </w:rPr>
        <w:t>”</w:t>
      </w:r>
      <w:r>
        <w:rPr>
          <w:rFonts w:ascii="Times New Roman" w:hAnsi="Times New Roman"/>
          <w:color w:val="000000"/>
          <w:sz w:val="22"/>
        </w:rPr>
        <w:t>), including no right to vote or receive dividends or other distributions; in addition, the following terms will apply: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 you will not be entitled to delivery of any Share certificates for the RSUs until Settlement (if at all), and upon the satisfaction of all other terms;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(ii) you may not sell, transfer (other than by will or the laws of descent and distribution), assign, pledge, or otherwise encumber or dispose of the RSUs or any rights under the RSUs before Settlement;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you will forfeit all of the RSUs and all of your rights under the RSUs will terminate in their entirety on the terms set forth in </w:t>
      </w:r>
      <w:r>
        <w:rPr>
          <w:rFonts w:ascii="Times New Roman" w:hAnsi="Times New Roman"/>
          <w:color w:val="000000"/>
          <w:sz w:val="22"/>
          <w:u w:val="single"/>
        </w:rPr>
        <w:t>Section 5</w:t>
      </w:r>
      <w:r>
        <w:rPr>
          <w:rFonts w:ascii="Times New Roman" w:hAnsi="Times New Roman"/>
          <w:color w:val="000000"/>
          <w:sz w:val="20"/>
        </w:rPr>
        <w:t xml:space="preserve"> </w:t>
      </w:r>
      <w:r>
        <w:rPr>
          <w:rFonts w:ascii="Times New Roman" w:hAnsi="Times New Roman"/>
          <w:color w:val="000000"/>
          <w:sz w:val="22"/>
        </w:rPr>
        <w:t xml:space="preserve">below and </w:t>
      </w:r>
      <w:r>
        <w:rPr>
          <w:rFonts w:ascii="Times New Roman" w:hAnsi="Times New Roman"/>
          <w:color w:val="000000"/>
          <w:sz w:val="22"/>
          <w:u w:val="single"/>
        </w:rPr>
        <w:t>Section 11(j)</w:t>
      </w:r>
      <w:r>
        <w:rPr>
          <w:rFonts w:ascii="Times New Roman" w:hAnsi="Times New Roman"/>
          <w:color w:val="000000"/>
          <w:sz w:val="20"/>
        </w:rPr>
        <w:t xml:space="preserve"> </w:t>
      </w:r>
      <w:r>
        <w:rPr>
          <w:rFonts w:ascii="Times New Roman" w:hAnsi="Times New Roman"/>
          <w:color w:val="000000"/>
          <w:sz w:val="22"/>
        </w:rPr>
        <w:t>below;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(iv) no Share underlying an RSU will be considered earned until the end of the Restricted Period applicable to the RSU.</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Any attempt to dispose of the RSUs, any interest in the RSUs, or any Shares in respect of the RSUs in a manner contrary to the terms of this Agreement will be void and of no effect.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Restricted Period</w:t>
      </w:r>
      <w:r>
        <w:rPr>
          <w:rFonts w:ascii="Times New Roman" w:hAnsi="Times New Roman"/>
          <w:color w:val="000000"/>
          <w:sz w:val="22"/>
        </w:rPr>
        <w:t>. The “</w:t>
      </w:r>
      <w:r>
        <w:rPr>
          <w:rFonts w:ascii="Times New Roman" w:hAnsi="Times New Roman"/>
          <w:color w:val="000000"/>
          <w:sz w:val="22"/>
          <w:u w:val="single"/>
        </w:rPr>
        <w:t>Restricted Period</w:t>
      </w:r>
      <w:r>
        <w:rPr>
          <w:rFonts w:ascii="Times New Roman" w:hAnsi="Times New Roman"/>
          <w:color w:val="000000"/>
          <w:sz w:val="20"/>
        </w:rPr>
        <w:t xml:space="preserve">” </w:t>
      </w:r>
      <w:r>
        <w:rPr>
          <w:rFonts w:ascii="Times New Roman" w:hAnsi="Times New Roman"/>
          <w:color w:val="000000"/>
          <w:sz w:val="22"/>
        </w:rPr>
        <w:t xml:space="preserve">is the period beginning on the Grant Date and ending on the date the RSUs, or such applicable portion of the RSUs, are deemed earned and payable under the terms set forth in </w:t>
      </w:r>
      <w:r>
        <w:rPr>
          <w:rFonts w:ascii="Times New Roman" w:hAnsi="Times New Roman"/>
          <w:b/>
          <w:color w:val="000000"/>
          <w:sz w:val="22"/>
          <w:u w:val="single"/>
        </w:rPr>
        <w:t>Exhibit A</w:t>
      </w:r>
      <w:r>
        <w:rPr>
          <w:rFonts w:ascii="Times New Roman" w:hAnsi="Times New Roman"/>
          <w:color w:val="000000"/>
          <w:sz w:val="20"/>
        </w:rPr>
        <w:t xml:space="preserve"> </w:t>
      </w:r>
      <w:r>
        <w:rPr>
          <w:rFonts w:ascii="Times New Roman" w:hAnsi="Times New Roman"/>
          <w:color w:val="000000"/>
          <w:sz w:val="22"/>
        </w:rPr>
        <w:t>attached hereto.</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Dividend Equivalents</w:t>
      </w:r>
      <w:r>
        <w:rPr>
          <w:rFonts w:ascii="Times New Roman" w:hAnsi="Times New Roman"/>
          <w:color w:val="000000"/>
          <w:sz w:val="22"/>
        </w:rPr>
        <w:t>. Each RSU will be credited with any cash and stock dividends paid by the Company in respect of 1 Share (“</w:t>
      </w:r>
      <w:r>
        <w:rPr>
          <w:rFonts w:ascii="Times New Roman" w:hAnsi="Times New Roman"/>
          <w:color w:val="000000"/>
          <w:sz w:val="22"/>
          <w:u w:val="single"/>
        </w:rPr>
        <w:t>Dividend Equivalents</w:t>
      </w:r>
      <w:r>
        <w:rPr>
          <w:rFonts w:ascii="Times New Roman" w:hAnsi="Times New Roman"/>
          <w:color w:val="000000"/>
          <w:sz w:val="20"/>
        </w:rPr>
        <w:t>”</w:t>
      </w:r>
      <w:r>
        <w:rPr>
          <w:rFonts w:ascii="Times New Roman" w:hAnsi="Times New Roman"/>
          <w:color w:val="000000"/>
          <w:sz w:val="22"/>
        </w:rPr>
        <w:t>). Dividend Equivalents will be accrued by the Company and credited to you and will not bear interest. Dividend Equivalents credited to you and attributable to any particular RSU will be distributed to you in cash (or, if determined by the Committee, in Shares having a Fair Market Value equal to the amount of such Dividend Equivalents) upon Settlement of the RSU to which the Dividend Equivalent is attributable and, if the RSU is forfeited, you will have no right to such Dividend Equivalent.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Forfeiture</w:t>
      </w:r>
      <w:r>
        <w:rPr>
          <w:rFonts w:ascii="Times New Roman" w:hAnsi="Times New Roman"/>
          <w:color w:val="000000"/>
          <w:sz w:val="22"/>
        </w:rPr>
        <w:t xml:space="preserve">. If, during the Restricted Period, (a) you incur a Separation from Service (for the avoidance of doubt, which does not otherwise result in the immediate or continued earning and payment of the RSUs), (b) you materially breach this Agreement, or (c) you fail to meet the tax withholding obligations described in </w:t>
      </w:r>
      <w:r>
        <w:rPr>
          <w:rFonts w:ascii="Times New Roman" w:hAnsi="Times New Roman"/>
          <w:color w:val="000000"/>
          <w:sz w:val="22"/>
          <w:u w:val="single"/>
        </w:rPr>
        <w:t>Section 7</w:t>
      </w:r>
      <w:r>
        <w:rPr>
          <w:rFonts w:ascii="Times New Roman" w:hAnsi="Times New Roman"/>
          <w:color w:val="000000"/>
          <w:sz w:val="20"/>
        </w:rPr>
        <w:t xml:space="preserve"> </w:t>
      </w:r>
      <w:r>
        <w:rPr>
          <w:rFonts w:ascii="Times New Roman" w:hAnsi="Times New Roman"/>
          <w:color w:val="000000"/>
          <w:sz w:val="22"/>
        </w:rPr>
        <w:t>below, you will immediately and automatically forfeit all of your rights in respect of the RSUs.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Settlement of RSUs</w:t>
      </w:r>
      <w:r>
        <w:rPr>
          <w:rFonts w:ascii="Times New Roman" w:hAnsi="Times New Roman"/>
          <w:color w:val="000000"/>
          <w:sz w:val="22"/>
        </w:rPr>
        <w:t>. Settlement of RSUs under this Agreement will be subject to the following: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 xml:space="preserve">Page </w:t>
      </w:r>
      <w:r>
        <w:rPr>
          <w:rFonts w:ascii="Times New Roman" w:hAnsi="Times New Roman"/>
          <w:b/>
          <w:color w:val="000000"/>
          <w:sz w:val="24"/>
        </w:rPr>
        <w:t>2</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b/>
          <w:color w:val="000000"/>
          <w:sz w:val="24"/>
        </w:rPr>
        <w:t>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Company will deliver to you 1 Share—or a cash amount equal to the Fair Market Value of 1 Share—for each RSU that has become earned and payable as soon as administratively practicable after the end of the applicable Restricted Period.</w:t>
      </w:r>
    </w:p>
    <w:p>
      <w:pPr>
        <w:pStyle w:val="TextBody"/>
        <w:bidi w:val="0"/>
        <w:spacing w:before="0" w:after="240"/>
        <w:jc w:val="both"/>
        <w:rPr>
          <w:rFonts w:ascii="Times New Roman" w:hAnsi="Times New Roman"/>
          <w:sz w:val="20"/>
        </w:rPr>
      </w:pPr>
      <w:r>
        <w:rPr>
          <w:rFonts w:ascii="Times New Roman" w:hAnsi="Times New Roman"/>
          <w:color w:val="000000"/>
          <w:sz w:val="22"/>
        </w:rPr>
        <w:t>(b) Any issuance of Shares under the Award may be effected on a non-certificated basis, to the extent not prohibited by Applicable Law.</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2"/>
        </w:rPr>
        <w:t>(c) If a certificate for Shares is delivered to you under the Award, the certificate may bear the following or a similar legend as determined by the Company:</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ownership and transferability of this certificate and the shares of stock represented hereby are subject to the terms (including forfeiture) of the LSB Industries, Inc. 2025 Long Term Incentive Plan and an RSU award agreement entered into between the registered owner and LSB Industries, Inc. Copies of such plan and agreement are on file in the executive offices of LSB Industries, Inc.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addition, any stock certificates for Shares will be subject to any stop-transfer orders and other restrictions as the Company may deem advisable under applicable law, and the Company may cause a legend or legends to be placed on any certificates to make appropriate reference to these restrictions.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7. </w:t>
      </w:r>
      <w:r>
        <w:rPr>
          <w:rFonts w:ascii="Times New Roman" w:hAnsi="Times New Roman"/>
          <w:color w:val="000000"/>
          <w:sz w:val="22"/>
          <w:u w:val="single"/>
        </w:rPr>
        <w:t>Taxes</w:t>
      </w:r>
      <w:r>
        <w:rPr>
          <w:rFonts w:ascii="Times New Roman" w:hAnsi="Times New Roman"/>
          <w:color w:val="000000"/>
          <w:sz w:val="22"/>
        </w:rPr>
        <w:t>. Regardless of any action the Company may take that is related to any or all income tax, payroll tax, or other tax-related withholding under the Plan (“</w:t>
      </w:r>
      <w:r>
        <w:rPr>
          <w:rFonts w:ascii="Times New Roman" w:hAnsi="Times New Roman"/>
          <w:color w:val="000000"/>
          <w:sz w:val="22"/>
          <w:u w:val="single"/>
        </w:rPr>
        <w:t>Tax-Related Items</w:t>
      </w:r>
      <w:r>
        <w:rPr>
          <w:rFonts w:ascii="Times New Roman" w:hAnsi="Times New Roman"/>
          <w:color w:val="000000"/>
          <w:sz w:val="20"/>
        </w:rPr>
        <w:t>”</w:t>
      </w:r>
      <w:r>
        <w:rPr>
          <w:rFonts w:ascii="Times New Roman" w:hAnsi="Times New Roman"/>
          <w:color w:val="000000"/>
          <w:sz w:val="22"/>
        </w:rPr>
        <w:t xml:space="preserve">), the ultimate liability for all Tax-Related Items owed by you is and will remain your responsibility. The Company (a) makes no representations or undertakings regarding the treatment of any Tax-Related Items and (b) does not commit to structure the terms of the Award to reduce or eliminate your liability for Tax-Related Items. You will be required to meet any applicable tax withholding obligation in accordance with the tax withholding terms of </w:t>
      </w:r>
      <w:r>
        <w:rPr>
          <w:rFonts w:ascii="Times New Roman" w:hAnsi="Times New Roman"/>
          <w:color w:val="000000"/>
          <w:sz w:val="22"/>
          <w:u w:val="single"/>
        </w:rPr>
        <w:t>Section 7 of the Plan</w:t>
      </w:r>
      <w:r>
        <w:rPr>
          <w:rFonts w:ascii="Times New Roman" w:hAnsi="Times New Roman"/>
          <w:color w:val="000000"/>
          <w:sz w:val="20"/>
        </w:rPr>
        <w:t xml:space="preserve"> </w:t>
      </w:r>
      <w:r>
        <w:rPr>
          <w:rFonts w:ascii="Times New Roman" w:hAnsi="Times New Roman"/>
          <w:color w:val="000000"/>
          <w:sz w:val="22"/>
        </w:rPr>
        <w:t xml:space="preserve">(and any successor terms). The RSUs are intended to be exempt from Section 409A, and this Agreement will be administered and interpreted consistently with that intent and with the terms of </w:t>
      </w:r>
      <w:r>
        <w:rPr>
          <w:rFonts w:ascii="Times New Roman" w:hAnsi="Times New Roman"/>
          <w:color w:val="000000"/>
          <w:sz w:val="22"/>
          <w:u w:val="single"/>
        </w:rPr>
        <w:t>Section 19 of the Plan</w:t>
      </w:r>
      <w:r>
        <w:rPr>
          <w:rFonts w:ascii="Times New Roman" w:hAnsi="Times New Roman"/>
          <w:color w:val="000000"/>
          <w:sz w:val="20"/>
        </w:rPr>
        <w:t xml:space="preserve"> </w:t>
      </w:r>
      <w:r>
        <w:rPr>
          <w:rFonts w:ascii="Times New Roman" w:hAnsi="Times New Roman"/>
          <w:color w:val="000000"/>
          <w:sz w:val="22"/>
        </w:rPr>
        <w:t>(and any successor terms).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Adjustment</w:t>
      </w:r>
      <w:r>
        <w:rPr>
          <w:rFonts w:ascii="Times New Roman" w:hAnsi="Times New Roman"/>
          <w:color w:val="000000"/>
          <w:sz w:val="22"/>
        </w:rPr>
        <w:t xml:space="preserve">. Upon any event described in </w:t>
      </w:r>
      <w:r>
        <w:rPr>
          <w:rFonts w:ascii="Times New Roman" w:hAnsi="Times New Roman"/>
          <w:color w:val="000000"/>
          <w:sz w:val="22"/>
          <w:u w:val="single"/>
        </w:rPr>
        <w:t>Section 8 of the Plan</w:t>
      </w:r>
      <w:r>
        <w:rPr>
          <w:rFonts w:ascii="Times New Roman" w:hAnsi="Times New Roman"/>
          <w:color w:val="000000"/>
          <w:sz w:val="20"/>
        </w:rPr>
        <w:t xml:space="preserve"> </w:t>
      </w:r>
      <w:r>
        <w:rPr>
          <w:rFonts w:ascii="Times New Roman" w:hAnsi="Times New Roman"/>
          <w:color w:val="000000"/>
          <w:sz w:val="22"/>
        </w:rPr>
        <w:t>(and any successor terms) occurring after the Grant Date, the adjustment terms of that section will apply to the Award.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Bound by Plan and Committee Decisions</w:t>
      </w:r>
      <w:r>
        <w:rPr>
          <w:rFonts w:ascii="Times New Roman" w:hAnsi="Times New Roman"/>
          <w:color w:val="000000"/>
          <w:sz w:val="22"/>
        </w:rPr>
        <w:t>. By accepting the Award, you acknowledge that you have received a copy of the Plan and have had an opportunity to review the Plan, and you agree to be bound by all of the terms of the Plan. If there is any conflict between this Agreement and the Plan, the Plan will control. The authority to manage and control the operation and administration of this Agreement and the Plan is vested in the Committee. The Committee has all powers under this Agreement that it has under the Plan. Any interpretation of this Agreement or the Plan by the Committee and any decision made by the Committee related to the Agreement or the Plan will be final and binding on all Persons.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10. </w:t>
      </w:r>
      <w:r>
        <w:rPr>
          <w:rFonts w:ascii="Times New Roman" w:hAnsi="Times New Roman"/>
          <w:color w:val="000000"/>
          <w:sz w:val="22"/>
          <w:u w:val="single"/>
        </w:rPr>
        <w:t>Regulatory and Other Limitations</w:t>
      </w:r>
      <w:r>
        <w:rPr>
          <w:rFonts w:ascii="Times New Roman" w:hAnsi="Times New Roman"/>
          <w:color w:val="000000"/>
          <w:sz w:val="22"/>
        </w:rPr>
        <w:t>. Notwithstanding anything else in this Agreement, the Committee may impose conditions, restrictions, and limitations on the issuance of Shares under the Award unless and until the Committee determines that the issuance complies with (a) all registration requirements under the Securities Act, (b) all listing requirements of any securities exchange or similar entity on which the Shares are listed, (c) all Company policies and administrative rules, and (d) all applicable laws.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Miscellaneous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Notices</w:t>
      </w:r>
      <w:r>
        <w:rPr>
          <w:rFonts w:ascii="Times New Roman" w:hAnsi="Times New Roman"/>
          <w:color w:val="000000"/>
          <w:sz w:val="22"/>
        </w:rPr>
        <w:t>. Any notice that may be required or permitted under this Agreement must be in writing and may be delivered personally, by intraoffice mail, or by electronic mail or via a postal service (postage prepaid) to the electronic mail or postal address and directed to the person as the receiving party may designate in writing from time to time.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4"/>
        </w:rPr>
        <w:t xml:space="preserve">Page </w:t>
      </w:r>
      <w:r>
        <w:rPr>
          <w:rFonts w:ascii="Times New Roman" w:hAnsi="Times New Roman"/>
          <w:b/>
          <w:color w:val="000000"/>
          <w:sz w:val="24"/>
        </w:rPr>
        <w:t>3</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b/>
          <w:color w:val="000000"/>
          <w:sz w:val="24"/>
        </w:rPr>
        <w:t>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Waiver</w:t>
      </w:r>
      <w:r>
        <w:rPr>
          <w:rFonts w:ascii="Times New Roman" w:hAnsi="Times New Roman"/>
          <w:color w:val="000000"/>
          <w:sz w:val="22"/>
        </w:rPr>
        <w:t>. The waiver by any party to this Agreement of a breach of any term of the Agreement will not operate or be construed as a waiver of any other or subsequent breach.</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Entire Agreement</w:t>
      </w:r>
      <w:r>
        <w:rPr>
          <w:rFonts w:ascii="Times New Roman" w:hAnsi="Times New Roman"/>
          <w:color w:val="000000"/>
          <w:sz w:val="22"/>
        </w:rPr>
        <w:t>. This Agreement and the Plan constitute the entire agreement between you and the Company related to the Award. Any prior agreements, commitments, or negotiations related the Award are superseded.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Binding Effect; Successors</w:t>
      </w:r>
      <w:r>
        <w:rPr>
          <w:rFonts w:ascii="Times New Roman" w:hAnsi="Times New Roman"/>
          <w:color w:val="000000"/>
          <w:sz w:val="22"/>
        </w:rPr>
        <w:t>. The obligations and rights of the Company under this Agreement will be binding upon and inure to the benefit of the Company and any successor corporation or organization resulting from the merger, consolidation, sale, or other reorganization of the Company, or upon any successor corporation or organization succeeding to substantially all of the assets and business of the Company. Your obligations and rights under this Agreement will be binding upon and inure to your benefit and the benefit of your beneficiaries, executors, administrators, heirs, and successors.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Governing Law; Jurisdiction</w:t>
      </w:r>
      <w:r>
        <w:rPr>
          <w:rFonts w:ascii="Times New Roman" w:hAnsi="Times New Roman"/>
          <w:color w:val="000000"/>
          <w:sz w:val="22"/>
        </w:rPr>
        <w:t xml:space="preserve">. You acknowledge and expressly agree to the governing law and jurisdiction terms of </w:t>
      </w:r>
      <w:r>
        <w:rPr>
          <w:rFonts w:ascii="Times New Roman" w:hAnsi="Times New Roman"/>
          <w:color w:val="000000"/>
          <w:sz w:val="22"/>
          <w:u w:val="single"/>
        </w:rPr>
        <w:t>Section 9(c) of the Plan</w:t>
      </w:r>
      <w:r>
        <w:rPr>
          <w:rFonts w:ascii="Times New Roman" w:hAnsi="Times New Roman"/>
          <w:color w:val="000000"/>
          <w:sz w:val="20"/>
        </w:rPr>
        <w:t xml:space="preserve"> </w:t>
      </w:r>
      <w:r>
        <w:rPr>
          <w:rFonts w:ascii="Times New Roman" w:hAnsi="Times New Roman"/>
          <w:color w:val="000000"/>
          <w:sz w:val="22"/>
        </w:rPr>
        <w:t>(and any successor terms).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Amendment</w:t>
      </w:r>
      <w:r>
        <w:rPr>
          <w:rFonts w:ascii="Times New Roman" w:hAnsi="Times New Roman"/>
          <w:color w:val="000000"/>
          <w:sz w:val="22"/>
        </w:rPr>
        <w:t>. This Agreement may be amended at any time by the Committee, except that no amendment may, without your consent, materially and adversely affect your rights under the Award.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Severability</w:t>
      </w:r>
      <w:r>
        <w:rPr>
          <w:rFonts w:ascii="Times New Roman" w:hAnsi="Times New Roman"/>
          <w:color w:val="000000"/>
          <w:sz w:val="22"/>
        </w:rPr>
        <w:t>. The invalidity or unenforceability of any term of the Plan or this Agreement will not affect the validity or enforceability of any other term of the Plan or this Agreement, and each other term of the Plan and this Agreement will be severable and enforceable to the extent permitted by applicable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(h) </w:t>
      </w:r>
      <w:r>
        <w:rPr>
          <w:rFonts w:ascii="Times New Roman" w:hAnsi="Times New Roman"/>
          <w:color w:val="000000"/>
          <w:sz w:val="22"/>
          <w:u w:val="single"/>
        </w:rPr>
        <w:t>No Rights to Service; No Impact on Other Benefits</w:t>
      </w:r>
      <w:r>
        <w:rPr>
          <w:rFonts w:ascii="Times New Roman" w:hAnsi="Times New Roman"/>
          <w:color w:val="000000"/>
          <w:sz w:val="22"/>
        </w:rPr>
        <w:t>. Nothing in this Agreement will be construed as giving you any right to be retained in any position with the Company or its Affiliates. Nothing in this Agreement will interfere with or restrict the rights of the Company or its Affiliates—which are expressly reserved—to remove, terminate, or discharge you at any time for any reason whatsoever or for no reason, subject to the Company’s certificate of incorporation, bylaws, and other similar governing documents and applicable law. The value of the RSUs is not part of your normal or expected compensation for purposes of calculating any severance, retirement, welfare, insurance, or similar employee benefit. The grant of the RSUs does not create any right to receive any future awards.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w:t>
      </w:r>
      <w:r>
        <w:rPr>
          <w:rFonts w:ascii="Times New Roman" w:hAnsi="Times New Roman"/>
          <w:color w:val="000000"/>
          <w:sz w:val="22"/>
          <w:u w:val="single"/>
        </w:rPr>
        <w:t>Further Assurances</w:t>
      </w:r>
      <w:r>
        <w:rPr>
          <w:rFonts w:ascii="Times New Roman" w:hAnsi="Times New Roman"/>
          <w:color w:val="000000"/>
          <w:sz w:val="22"/>
        </w:rPr>
        <w:t>. You must, upon request of the Company, do all acts and execute, deliver, and perform all additional documents, instruments, and agreements that may be reasonably required by the Company to implement this Agreement.</w:t>
      </w:r>
      <w:r>
        <w:rPr>
          <w:rFonts w:ascii="Times New Roman" w:hAnsi="Times New Roman"/>
          <w:color w:val="000000"/>
          <w:sz w:val="20"/>
        </w:rPr>
        <w:t xml:space="preserve"> </w:t>
      </w:r>
    </w:p>
    <w:p>
      <w:pPr>
        <w:pStyle w:val="TextBody"/>
        <w:bidi w:val="0"/>
        <w:spacing w:before="0" w:after="240"/>
        <w:jc w:val="both"/>
        <w:rPr/>
      </w:pPr>
      <w:r>
        <w:rPr/>
        <w:t> </w:t>
      </w:r>
    </w:p>
    <w:p>
      <w:pPr>
        <w:pStyle w:val="TextBody"/>
        <w:bidi w:val="0"/>
        <w:jc w:val="center"/>
        <w:rPr>
          <w:rFonts w:ascii="Times New Roman" w:hAnsi="Times New Roman"/>
          <w:sz w:val="20"/>
        </w:rPr>
      </w:pPr>
      <w:r>
        <w:rPr>
          <w:rFonts w:ascii="Times New Roman" w:hAnsi="Times New Roman"/>
          <w:color w:val="000000"/>
          <w:sz w:val="24"/>
        </w:rPr>
        <w:t xml:space="preserve">Page </w:t>
      </w:r>
      <w:r>
        <w:rPr>
          <w:rFonts w:ascii="Times New Roman" w:hAnsi="Times New Roman"/>
          <w:b/>
          <w:color w:val="000000"/>
          <w:sz w:val="24"/>
        </w:rPr>
        <w:t>4</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b/>
          <w:color w:val="000000"/>
          <w:sz w:val="24"/>
        </w:rPr>
        <w:t>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(j) </w:t>
      </w:r>
      <w:r>
        <w:rPr>
          <w:rFonts w:ascii="Times New Roman" w:hAnsi="Times New Roman"/>
          <w:color w:val="000000"/>
          <w:sz w:val="22"/>
          <w:u w:val="single"/>
        </w:rPr>
        <w:t>Clawback</w:t>
      </w:r>
      <w:r>
        <w:rPr>
          <w:rFonts w:ascii="Times New Roman" w:hAnsi="Times New Roman"/>
          <w:color w:val="000000"/>
          <w:sz w:val="22"/>
        </w:rPr>
        <w:t xml:space="preserve">. You acknowledge and consent to </w:t>
      </w:r>
      <w:r>
        <w:rPr>
          <w:rFonts w:ascii="Times New Roman" w:hAnsi="Times New Roman"/>
          <w:color w:val="000000"/>
          <w:sz w:val="22"/>
          <w:u w:val="single"/>
        </w:rPr>
        <w:t>Section 9(l) of the Plan</w:t>
      </w:r>
      <w:r>
        <w:rPr>
          <w:rFonts w:ascii="Times New Roman" w:hAnsi="Times New Roman"/>
          <w:color w:val="000000"/>
          <w:sz w:val="20"/>
        </w:rPr>
        <w:t xml:space="preserve"> </w:t>
      </w:r>
      <w:r>
        <w:rPr>
          <w:rFonts w:ascii="Times New Roman" w:hAnsi="Times New Roman"/>
          <w:color w:val="000000"/>
          <w:sz w:val="22"/>
        </w:rPr>
        <w:t>regarding clawbacks, and to the Company’s application, implementation, and enforcement of any applicable Company clawback or similar policy that may apply to you, whether adopted before or after the Grant Date, and any term of applicable law relating to clawback, cancellation, recoupment, rescission, payback, or reduction of compensation, and the Company may take such actions as may be necessary to effectuate any such policy or applicable law, without further consideration or 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(k) </w:t>
      </w:r>
      <w:r>
        <w:rPr>
          <w:rFonts w:ascii="Times New Roman" w:hAnsi="Times New Roman"/>
          <w:color w:val="000000"/>
          <w:sz w:val="22"/>
          <w:u w:val="single"/>
        </w:rPr>
        <w:t>Electronic Delivery and Acceptance</w:t>
      </w:r>
      <w:r>
        <w:rPr>
          <w:rFonts w:ascii="Times New Roman" w:hAnsi="Times New Roman"/>
          <w:color w:val="000000"/>
          <w:sz w:val="22"/>
        </w:rPr>
        <w:t>. The Company may deliver any documents related to current or future participation in the Plan by electronic means. You consent to receive those documents by electronic delivery and to participate in the Plan through any on-line or electronic system established and maintained by the Company or a third party designated by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12. </w:t>
      </w:r>
      <w:r>
        <w:rPr>
          <w:rFonts w:ascii="Times New Roman" w:hAnsi="Times New Roman"/>
          <w:color w:val="000000"/>
          <w:sz w:val="22"/>
          <w:u w:val="single"/>
        </w:rPr>
        <w:t>Your Representations</w:t>
      </w:r>
      <w:r>
        <w:rPr>
          <w:rFonts w:ascii="Times New Roman" w:hAnsi="Times New Roman"/>
          <w:color w:val="000000"/>
          <w:sz w:val="22"/>
        </w:rPr>
        <w:t>. You represent to the Company that you have read and fully understand this Agreement and the Plan and that your decision to participate in the Plan is completely voluntary. You also acknowledge that you are relying solely on your own advisors regarding the tax consequences of the Award.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EXECUTED effective as of the Grant Date.</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LSB INDUSTRIES, INC., a Delaware corporation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Michael J. Foster</w:t>
      </w:r>
    </w:p>
    <w:p>
      <w:pPr>
        <w:pStyle w:val="TextBody"/>
        <w:bidi w:val="0"/>
        <w:jc w:val="left"/>
        <w:rPr>
          <w:rFonts w:ascii="Times New Roman" w:hAnsi="Times New Roman"/>
          <w:color w:val="000000"/>
          <w:sz w:val="24"/>
        </w:rPr>
      </w:pPr>
      <w:r>
        <w:rPr>
          <w:rFonts w:ascii="Times New Roman" w:hAnsi="Times New Roman"/>
          <w:color w:val="000000"/>
          <w:sz w:val="24"/>
        </w:rPr>
        <w:t>Title: Executive Vice President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PARTICIPANT</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[Name]</w:t>
      </w:r>
    </w:p>
    <w:p>
      <w:pPr>
        <w:pStyle w:val="TextBody"/>
        <w:bidi w:val="0"/>
        <w:jc w:val="center"/>
        <w:rPr>
          <w:rFonts w:ascii="Times New Roman" w:hAnsi="Times New Roman"/>
          <w:i/>
          <w:color w:val="000000"/>
          <w:sz w:val="24"/>
        </w:rPr>
      </w:pPr>
      <w:r>
        <w:rPr>
          <w:rFonts w:ascii="Times New Roman" w:hAnsi="Times New Roman"/>
          <w:i/>
          <w:color w:val="000000"/>
          <w:sz w:val="24"/>
        </w:rPr>
        <w:t>Signature Page to</w:t>
      </w:r>
    </w:p>
    <w:p>
      <w:pPr>
        <w:pStyle w:val="TextBody"/>
        <w:bidi w:val="0"/>
        <w:jc w:val="center"/>
        <w:rPr>
          <w:rFonts w:ascii="Times New Roman" w:hAnsi="Times New Roman"/>
          <w:i/>
          <w:color w:val="000000"/>
          <w:sz w:val="24"/>
        </w:rPr>
      </w:pPr>
      <w:r>
        <w:rPr>
          <w:rFonts w:ascii="Times New Roman" w:hAnsi="Times New Roman"/>
          <w:i/>
          <w:color w:val="000000"/>
          <w:sz w:val="24"/>
        </w:rPr>
        <w:t>RSU Award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0" w:after="480"/>
        <w:jc w:val="center"/>
        <w:rPr>
          <w:rFonts w:ascii="Times New Roman" w:hAnsi="Times New Roman"/>
          <w:b/>
          <w:color w:val="000000"/>
          <w:sz w:val="22"/>
        </w:rPr>
      </w:pPr>
      <w:r>
        <w:rPr>
          <w:rFonts w:ascii="Times New Roman" w:hAnsi="Times New Roman"/>
          <w:b/>
          <w:color w:val="000000"/>
          <w:sz w:val="22"/>
        </w:rPr>
        <w:t>TIME-BASED VESTING RSUs</w:t>
      </w:r>
    </w:p>
    <w:tbl>
      <w:tblPr>
        <w:tblW w:w="10205" w:type="dxa"/>
        <w:jc w:val="left"/>
        <w:tblInd w:w="0" w:type="dxa"/>
        <w:tblLayout w:type="fixed"/>
        <w:tblCellMar>
          <w:top w:w="28" w:type="dxa"/>
          <w:left w:w="28" w:type="dxa"/>
          <w:bottom w:w="28" w:type="dxa"/>
          <w:right w:w="28" w:type="dxa"/>
        </w:tblCellMar>
      </w:tblPr>
      <w:tblGrid>
        <w:gridCol w:w="1351"/>
        <w:gridCol w:w="8854"/>
      </w:tblGrid>
      <w:tr>
        <w:trPr/>
        <w:tc>
          <w:tcPr>
            <w:tcW w:w="1351" w:type="dxa"/>
            <w:tcBorders/>
            <w:vAlign w:val="center"/>
          </w:tcPr>
          <w:p>
            <w:pPr>
              <w:pStyle w:val="TableContents"/>
              <w:bidi w:val="0"/>
              <w:spacing w:before="0" w:after="283"/>
              <w:jc w:val="left"/>
              <w:rPr>
                <w:sz w:val="4"/>
                <w:szCs w:val="4"/>
              </w:rPr>
            </w:pPr>
            <w:r>
              <w:rPr>
                <w:sz w:val="4"/>
                <w:szCs w:val="4"/>
              </w:rPr>
            </w:r>
          </w:p>
        </w:tc>
        <w:tc>
          <w:tcPr>
            <w:tcW w:w="8854" w:type="dxa"/>
            <w:tcBorders/>
            <w:vAlign w:val="center"/>
          </w:tcPr>
          <w:p>
            <w:pPr>
              <w:pStyle w:val="TableContents"/>
              <w:bidi w:val="0"/>
              <w:spacing w:before="0" w:after="283"/>
              <w:jc w:val="left"/>
              <w:rPr>
                <w:sz w:val="4"/>
                <w:szCs w:val="4"/>
              </w:rPr>
            </w:pPr>
            <w:r>
              <w:rPr>
                <w:sz w:val="4"/>
                <w:szCs w:val="4"/>
              </w:rPr>
            </w:r>
          </w:p>
        </w:tc>
      </w:tr>
      <w:tr>
        <w:trPr/>
        <w:tc>
          <w:tcPr>
            <w:tcW w:w="13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Earning and Payment of RSUs:</w:t>
            </w:r>
          </w:p>
        </w:tc>
        <w:tc>
          <w:tcPr>
            <w:tcW w:w="885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jc w:val="both"/>
              <w:rPr>
                <w:rFonts w:ascii="Times New Roman" w:hAnsi="Times New Roman"/>
                <w:sz w:val="22"/>
              </w:rPr>
            </w:pPr>
            <w:r>
              <w:rPr>
                <w:rFonts w:ascii="Times New Roman" w:hAnsi="Times New Roman"/>
                <w:color w:val="000000"/>
                <w:sz w:val="22"/>
              </w:rPr>
              <w:t xml:space="preserve">Subject to </w:t>
            </w:r>
            <w:r>
              <w:rPr>
                <w:rFonts w:ascii="Times New Roman" w:hAnsi="Times New Roman"/>
                <w:b/>
                <w:color w:val="000000"/>
                <w:sz w:val="22"/>
              </w:rPr>
              <w:t>Accelerated Payment Events for RSUs</w:t>
            </w:r>
            <w:r>
              <w:rPr>
                <w:rFonts w:ascii="Times New Roman" w:hAnsi="Times New Roman"/>
                <w:color w:val="000000"/>
                <w:sz w:val="22"/>
              </w:rPr>
              <w:t xml:space="preserve"> below, the RSUs will become earned and payable as follows, as long as you do not have a Separation from Service before the applicable date: </w:t>
            </w:r>
          </w:p>
          <w:p>
            <w:pPr>
              <w:pStyle w:val="TableContents"/>
              <w:bidi w:val="0"/>
              <w:spacing w:before="0" w:after="240"/>
              <w:jc w:val="both"/>
              <w:rPr/>
            </w:pPr>
            <w:r>
              <w:rPr/>
              <w:drawing>
                <wp:inline distT="0" distB="0" distL="0" distR="0">
                  <wp:extent cx="4733925" cy="704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4733925" cy="704850"/>
                          </a:xfrm>
                          <a:prstGeom prst="rect">
                            <a:avLst/>
                          </a:prstGeom>
                        </pic:spPr>
                      </pic:pic>
                    </a:graphicData>
                  </a:graphic>
                </wp:inline>
              </w:drawing>
            </w:r>
          </w:p>
          <w:p>
            <w:pPr>
              <w:pStyle w:val="TableContents"/>
              <w:bidi w:val="0"/>
              <w:spacing w:before="0" w:after="240"/>
              <w:jc w:val="both"/>
              <w:rPr>
                <w:rFonts w:ascii="Times New Roman" w:hAnsi="Times New Roman"/>
                <w:i/>
                <w:color w:val="000000"/>
                <w:sz w:val="20"/>
              </w:rPr>
            </w:pPr>
            <w:r>
              <w:rPr>
                <w:rFonts w:ascii="Times New Roman" w:hAnsi="Times New Roman"/>
                <w:i/>
                <w:color w:val="000000"/>
                <w:sz w:val="20"/>
              </w:rPr>
              <w:t>*Any resultant fractional RSUs will not become earned or payable and will instead be subject to the next earning and payment date.</w:t>
            </w:r>
          </w:p>
        </w:tc>
      </w:tr>
      <w:tr>
        <w:trPr/>
        <w:tc>
          <w:tcPr>
            <w:tcW w:w="135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Accelerated Payment Events for RSUs:</w:t>
            </w:r>
          </w:p>
        </w:tc>
        <w:tc>
          <w:tcPr>
            <w:tcW w:w="885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As long as (i) you do not incur a Separation from Service until immediately before the occurrence of any of the events listed below and (ii) you hold RSUs at such time:</w:t>
            </w:r>
          </w:p>
          <w:p>
            <w:pPr>
              <w:pStyle w:val="TableContents"/>
              <w:bidi w:val="0"/>
              <w:spacing w:before="0" w:after="240"/>
              <w:jc w:val="both"/>
              <w:rPr>
                <w:rFonts w:ascii="Times New Roman" w:hAnsi="Times New Roman"/>
                <w:sz w:val="22"/>
              </w:rPr>
            </w:pPr>
            <w:r>
              <w:rPr>
                <w:rFonts w:ascii="Times New Roman" w:hAnsi="Times New Roman"/>
                <w:color w:val="000000"/>
                <w:sz w:val="22"/>
              </w:rPr>
              <w:t>(a) in connection with a Change of Control (“</w:t>
            </w:r>
            <w:r>
              <w:rPr>
                <w:rFonts w:ascii="Times New Roman" w:hAnsi="Times New Roman"/>
                <w:color w:val="000000"/>
                <w:sz w:val="22"/>
                <w:u w:val="single"/>
              </w:rPr>
              <w:t>CoC</w:t>
            </w:r>
            <w:r>
              <w:rPr>
                <w:rFonts w:ascii="Times New Roman" w:hAnsi="Times New Roman"/>
                <w:color w:val="000000"/>
                <w:sz w:val="22"/>
              </w:rPr>
              <w:t xml:space="preserve">”), the RSUs may be assumed or substituted pursuant to </w:t>
            </w:r>
            <w:r>
              <w:rPr>
                <w:rFonts w:ascii="Times New Roman" w:hAnsi="Times New Roman"/>
                <w:color w:val="000000"/>
                <w:sz w:val="22"/>
                <w:u w:val="single"/>
              </w:rPr>
              <w:t>Section 8(f)(v)(x) of the Plan</w:t>
            </w:r>
            <w:r>
              <w:rPr>
                <w:rFonts w:ascii="Times New Roman" w:hAnsi="Times New Roman"/>
                <w:color w:val="000000"/>
                <w:sz w:val="22"/>
              </w:rPr>
              <w:t xml:space="preserve"> for a Replacement Award (as defined below), in which case the RSUs will continue to vest in accordance with </w:t>
            </w:r>
            <w:r>
              <w:rPr>
                <w:rFonts w:ascii="Times New Roman" w:hAnsi="Times New Roman"/>
                <w:b/>
                <w:color w:val="000000"/>
                <w:sz w:val="22"/>
              </w:rPr>
              <w:t>Earning and Payment of RSUs</w:t>
            </w:r>
            <w:r>
              <w:rPr>
                <w:rFonts w:ascii="Times New Roman" w:hAnsi="Times New Roman"/>
                <w:color w:val="000000"/>
                <w:sz w:val="22"/>
              </w:rPr>
              <w:t xml:space="preserve"> above, subject to the terms of this </w:t>
            </w:r>
            <w:r>
              <w:rPr>
                <w:rFonts w:ascii="Times New Roman" w:hAnsi="Times New Roman"/>
                <w:b/>
                <w:color w:val="000000"/>
                <w:sz w:val="22"/>
              </w:rPr>
              <w:t>Accelerated Payment Events for RSUs</w:t>
            </w:r>
            <w:r>
              <w:rPr>
                <w:rFonts w:ascii="Times New Roman" w:hAnsi="Times New Roman"/>
                <w:color w:val="000000"/>
                <w:sz w:val="22"/>
              </w:rPr>
              <w:t xml:space="preserve">; </w:t>
            </w:r>
            <w:r>
              <w:rPr>
                <w:rFonts w:ascii="Times New Roman" w:hAnsi="Times New Roman"/>
                <w:color w:val="000000"/>
                <w:sz w:val="22"/>
                <w:u w:val="single"/>
              </w:rPr>
              <w:t>provided</w:t>
            </w:r>
            <w:r>
              <w:rPr>
                <w:rFonts w:ascii="Times New Roman" w:hAnsi="Times New Roman"/>
                <w:color w:val="000000"/>
                <w:sz w:val="22"/>
              </w:rPr>
              <w:t> that if a Replacement Award is issued and after the CoC the securities underlying the Replacement Award cease to be publicly traded on an established securities market, the Replacement Award will vest in full immediately before such securities cease to be publicly traded on an established securities market;</w:t>
            </w:r>
          </w:p>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(b) if any outstanding RSUs are not assumed or substituted in connection with a CoC for a Replacement Award, all such RSUs will vest in full upon the CoC;</w:t>
            </w:r>
          </w:p>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(c) all outstanding RSUs will vest in full if you have a Qualifying Separation from Service (as defined below) either (i) within 90 days before the date a definitive agreement is executed that results in a CoC within 180 days after the date the definitive agreement is executed or (ii) on or within 180 days after the date a definitive agreement is executed that results in a CoC within 180 days after the date the definitive agreement is executed;</w:t>
            </w:r>
          </w:p>
          <w:p>
            <w:pPr>
              <w:pStyle w:val="TableContents"/>
              <w:bidi w:val="0"/>
              <w:spacing w:before="0" w:after="240"/>
              <w:jc w:val="both"/>
              <w:rPr>
                <w:rFonts w:ascii="Times New Roman" w:hAnsi="Times New Roman"/>
                <w:sz w:val="22"/>
              </w:rPr>
            </w:pPr>
            <w:r>
              <w:rPr>
                <w:rFonts w:ascii="Times New Roman" w:hAnsi="Times New Roman"/>
                <w:color w:val="000000"/>
                <w:sz w:val="22"/>
              </w:rPr>
              <w:t xml:space="preserve">(d) all outstanding RSUs (other than under any Replacement Award) that are scheduled to vest under </w:t>
            </w:r>
            <w:r>
              <w:rPr>
                <w:rFonts w:ascii="Times New Roman" w:hAnsi="Times New Roman"/>
                <w:b/>
                <w:color w:val="000000"/>
                <w:sz w:val="22"/>
              </w:rPr>
              <w:t>Earning and Payment of RSUs</w:t>
            </w:r>
            <w:r>
              <w:rPr>
                <w:rFonts w:ascii="Times New Roman" w:hAnsi="Times New Roman"/>
                <w:color w:val="000000"/>
                <w:sz w:val="22"/>
              </w:rPr>
              <w:t> above during the 18-month period after your Separation from Service will vest in full if you have a Qualifying Separation from Service before a CoC, and all remaining RSUs will remain outstanding and eligible to vest pursuant to (c) immediately above, and if no definitive agreement is entered into within 90 days after such Separation from Service as provided in (c), then all such RSUs (other than under any Replacement Award) will be immediately forfeited;</w:t>
            </w:r>
          </w:p>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 xml:space="preserve">(e) a pro-rata portion of the RSUs and each Replacement Award, as applicable, will vest upon your Separation from Service due to your Disability or death, calculated by multiplying the number of RSUs or shares underlying any Replacement Award </w:t>
            </w:r>
          </w:p>
        </w:tc>
      </w:tr>
    </w:tbl>
    <w:p>
      <w:pPr>
        <w:pStyle w:val="TextBody"/>
        <w:bidi w:val="0"/>
        <w:jc w:val="center"/>
        <w:rPr>
          <w:rFonts w:ascii="Times New Roman" w:hAnsi="Times New Roman"/>
          <w:color w:val="000000"/>
          <w:sz w:val="22"/>
        </w:rPr>
      </w:pPr>
      <w:r>
        <w:rPr>
          <w:rFonts w:ascii="Times New Roman" w:hAnsi="Times New Roman"/>
          <w:color w:val="000000"/>
          <w:sz w:val="22"/>
        </w:rPr>
        <w:t>A-1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7"/>
        <w:gridCol w:w="9698"/>
      </w:tblGrid>
      <w:tr>
        <w:trPr/>
        <w:tc>
          <w:tcPr>
            <w:tcW w:w="507" w:type="dxa"/>
            <w:tcBorders/>
            <w:vAlign w:val="center"/>
          </w:tcPr>
          <w:p>
            <w:pPr>
              <w:pStyle w:val="TableContents"/>
              <w:bidi w:val="0"/>
              <w:spacing w:before="0" w:after="283"/>
              <w:jc w:val="left"/>
              <w:rPr>
                <w:sz w:val="4"/>
                <w:szCs w:val="4"/>
              </w:rPr>
            </w:pPr>
            <w:r>
              <w:rPr>
                <w:sz w:val="4"/>
                <w:szCs w:val="4"/>
              </w:rPr>
            </w:r>
          </w:p>
        </w:tc>
        <w:tc>
          <w:tcPr>
            <w:tcW w:w="9698" w:type="dxa"/>
            <w:tcBorders/>
            <w:vAlign w:val="center"/>
          </w:tcPr>
          <w:p>
            <w:pPr>
              <w:pStyle w:val="TableContents"/>
              <w:bidi w:val="0"/>
              <w:spacing w:before="0" w:after="283"/>
              <w:jc w:val="left"/>
              <w:rPr>
                <w:sz w:val="4"/>
                <w:szCs w:val="4"/>
              </w:rPr>
            </w:pPr>
            <w:r>
              <w:rPr>
                <w:sz w:val="4"/>
                <w:szCs w:val="4"/>
              </w:rPr>
            </w:r>
          </w:p>
        </w:tc>
      </w:tr>
      <w:tr>
        <w:trPr/>
        <w:tc>
          <w:tcPr>
            <w:tcW w:w="50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ind w:left="0" w:right="0" w:firstLine="346"/>
              <w:jc w:val="left"/>
              <w:rPr/>
            </w:pPr>
            <w:r>
              <w:rPr/>
              <w:t> </w:t>
            </w:r>
          </w:p>
        </w:tc>
        <w:tc>
          <w:tcPr>
            <w:tcW w:w="969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40"/>
              <w:ind w:left="0" w:right="0" w:firstLine="346"/>
              <w:jc w:val="both"/>
              <w:rPr>
                <w:rFonts w:ascii="Times New Roman" w:hAnsi="Times New Roman"/>
                <w:color w:val="000000"/>
                <w:sz w:val="22"/>
              </w:rPr>
            </w:pPr>
            <w:r>
              <w:rPr>
                <w:rFonts w:ascii="Times New Roman" w:hAnsi="Times New Roman"/>
                <w:color w:val="000000"/>
                <w:sz w:val="22"/>
              </w:rPr>
              <w:t>scheduled to vest on the anniversary of the Grant Date immediately after your Separation from Service by a fraction, the numerator of which is the number of days that have elapsed from the last anniversary of the Grant Date (or if the Separation from Service occurs before the 1st anniversary of the Grant Date, then the number of days that have elapsed from the Grant Date) through your Separation from Service, and the denominator of which will be 365; and</w:t>
            </w:r>
          </w:p>
          <w:p>
            <w:pPr>
              <w:pStyle w:val="TableContents"/>
              <w:bidi w:val="0"/>
              <w:spacing w:before="0" w:after="240"/>
              <w:ind w:left="0" w:right="0" w:firstLine="346"/>
              <w:jc w:val="both"/>
              <w:rPr>
                <w:rFonts w:ascii="Times New Roman" w:hAnsi="Times New Roman"/>
                <w:color w:val="000000"/>
                <w:sz w:val="22"/>
              </w:rPr>
            </w:pPr>
            <w:r>
              <w:rPr>
                <w:rFonts w:ascii="Times New Roman" w:hAnsi="Times New Roman"/>
                <w:color w:val="000000"/>
                <w:sz w:val="22"/>
              </w:rPr>
              <w:t>(f) all Replacement Awards will vest in full upon your Qualifying Separation from Service.</w:t>
            </w:r>
          </w:p>
          <w:p>
            <w:pPr>
              <w:pStyle w:val="TableContents"/>
              <w:bidi w:val="0"/>
              <w:ind w:left="0" w:right="0" w:firstLine="346"/>
              <w:jc w:val="both"/>
              <w:rPr/>
            </w:pPr>
            <w:r>
              <w:rPr>
                <w:color w:val="000000"/>
              </w:rPr>
              <w:t>“</w:t>
            </w:r>
            <w:r>
              <w:rPr>
                <w:rFonts w:ascii="Times New Roman" w:hAnsi="Times New Roman"/>
                <w:color w:val="000000"/>
                <w:sz w:val="22"/>
                <w:u w:val="single"/>
              </w:rPr>
              <w:t>Change of Control</w:t>
            </w:r>
            <w:r>
              <w:rPr>
                <w:rFonts w:ascii="Times New Roman" w:hAnsi="Times New Roman"/>
                <w:color w:val="000000"/>
                <w:sz w:val="22"/>
              </w:rPr>
              <w:t xml:space="preserve">” shall have the meaning set forth in the Plan, provided that for purposes of this Agreement, all references in Section 2(f)(ii) of the Plan to “30% or more” shall be replaced with “more than 50%” for purposes of determining whether a Change of Control has occurred. </w:t>
            </w:r>
          </w:p>
          <w:p>
            <w:pPr>
              <w:pStyle w:val="TableContents"/>
              <w:bidi w:val="0"/>
              <w:ind w:left="0" w:right="0" w:firstLine="346"/>
              <w:jc w:val="both"/>
              <w:rPr/>
            </w:pPr>
            <w:r>
              <w:rPr/>
              <w:t> </w:t>
            </w:r>
          </w:p>
          <w:p>
            <w:pPr>
              <w:pStyle w:val="TableContents"/>
              <w:bidi w:val="0"/>
              <w:ind w:left="0" w:right="0" w:firstLine="346"/>
              <w:jc w:val="both"/>
              <w:rPr/>
            </w:pPr>
            <w:r>
              <w:rPr>
                <w:color w:val="000000"/>
              </w:rPr>
              <w:t>“</w:t>
            </w:r>
            <w:r>
              <w:rPr>
                <w:rFonts w:ascii="Times New Roman" w:hAnsi="Times New Roman"/>
                <w:color w:val="000000"/>
                <w:sz w:val="22"/>
                <w:u w:val="single"/>
              </w:rPr>
              <w:t>Replacement Award</w:t>
            </w:r>
            <w:r>
              <w:rPr>
                <w:rFonts w:ascii="Times New Roman" w:hAnsi="Times New Roman"/>
                <w:color w:val="000000"/>
                <w:sz w:val="22"/>
              </w:rPr>
              <w:t>” means an award of restricted stock units in respect of common stock that is publicly traded on an established securities market with substantially equivalent terms as the replaced RSUs, including vesting terms and dividend equivalent rights, issued by the surviving or successor company or a parent or subsidiary of such company.</w:t>
            </w:r>
          </w:p>
          <w:p>
            <w:pPr>
              <w:pStyle w:val="TableContents"/>
              <w:bidi w:val="0"/>
              <w:ind w:left="0" w:right="0" w:firstLine="346"/>
              <w:jc w:val="both"/>
              <w:rPr/>
            </w:pPr>
            <w:r>
              <w:rPr/>
              <w:t> </w:t>
            </w:r>
          </w:p>
          <w:p>
            <w:pPr>
              <w:pStyle w:val="TableContents"/>
              <w:bidi w:val="0"/>
              <w:spacing w:before="0" w:after="240"/>
              <w:ind w:left="0" w:right="0" w:firstLine="346"/>
              <w:jc w:val="both"/>
              <w:rPr/>
            </w:pPr>
            <w:r>
              <w:rPr>
                <w:color w:val="000000"/>
              </w:rPr>
              <w:t>“</w:t>
            </w:r>
            <w:r>
              <w:rPr>
                <w:rFonts w:ascii="Times New Roman" w:hAnsi="Times New Roman"/>
                <w:color w:val="000000"/>
                <w:sz w:val="22"/>
                <w:u w:val="single"/>
              </w:rPr>
              <w:t>Qualifying Separation from Service</w:t>
            </w:r>
            <w:r>
              <w:rPr>
                <w:rFonts w:ascii="Times New Roman" w:hAnsi="Times New Roman"/>
                <w:color w:val="000000"/>
                <w:sz w:val="22"/>
              </w:rPr>
              <w:t>” means a Separation from Service by the Company without Cause.</w:t>
            </w:r>
          </w:p>
          <w:p>
            <w:pPr>
              <w:pStyle w:val="TableContents"/>
              <w:bidi w:val="0"/>
              <w:spacing w:before="0" w:after="240"/>
              <w:ind w:left="0" w:right="0" w:firstLine="346"/>
              <w:jc w:val="both"/>
              <w:rPr/>
            </w:pPr>
            <w:r>
              <w:rPr>
                <w:color w:val="000000"/>
              </w:rPr>
              <w:t>“</w:t>
            </w:r>
            <w:r>
              <w:rPr>
                <w:rFonts w:ascii="Times New Roman" w:hAnsi="Times New Roman"/>
                <w:color w:val="000000"/>
                <w:sz w:val="22"/>
                <w:u w:val="single"/>
              </w:rPr>
              <w:t>Cause</w:t>
            </w:r>
            <w:r>
              <w:rPr>
                <w:rFonts w:ascii="Times New Roman" w:hAnsi="Times New Roman"/>
                <w:color w:val="000000"/>
                <w:sz w:val="22"/>
              </w:rPr>
              <w:t>” means (a) “cause” as defined in your employment agreement, or (b) in the absence of such an agreement or such a definition, (i) your violation of the Company’s substance abuse policy; (ii) your refusal or inability (other than by reason of death or Disability) to perform the duties assigned to you by the Company or your unacceptable performance of the same; (iii) acts or omissions evidencing a violation of your duties of loyalty and good faith, candor, fair and honest dealing, integrity, or full disclosure to the Company, as well as any acts or omissions by you that constitute self-dealing; (iv) disobedience of orders, policies, regulations, or directives issued to you by the Company, including policies related to sexual harassment, discrimination, computer use, or the like; (v) your conviction for or commission of a felony, a crime of moral turpitude, or a crime that could reasonably be expected to impair your ability to perform your job duties; (vi) revocation or suspension of any license or certification necessary for you to perform your duties to the Company; (vii) your willful generation of materially incorrect financial or engineering projections, compilations, or reports; or (viii) a false statement by you to obtain your position.</w:t>
            </w:r>
          </w:p>
          <w:p>
            <w:pPr>
              <w:pStyle w:val="TableContents"/>
              <w:bidi w:val="0"/>
              <w:spacing w:before="0" w:after="240"/>
              <w:ind w:left="0" w:right="0" w:firstLine="346"/>
              <w:jc w:val="both"/>
              <w:rPr/>
            </w:pPr>
            <w:r>
              <w:rPr>
                <w:color w:val="000000"/>
              </w:rPr>
              <w:t>“</w:t>
            </w:r>
            <w:r>
              <w:rPr>
                <w:rFonts w:ascii="Times New Roman" w:hAnsi="Times New Roman"/>
                <w:color w:val="000000"/>
                <w:sz w:val="22"/>
                <w:u w:val="single"/>
              </w:rPr>
              <w:t>Disability</w:t>
            </w:r>
            <w:r>
              <w:rPr>
                <w:rFonts w:ascii="Times New Roman" w:hAnsi="Times New Roman"/>
                <w:color w:val="000000"/>
                <w:sz w:val="22"/>
              </w:rPr>
              <w:t>” means (a) “disability” as defined in your employment agreement, or (b) in the absence of such an agreement or such a definition, (i) you are unable to engage in any substantial gainful activity by reason of any medically determinable physical or mental impairment that can be expected to result in death or can be expected to last for a continuous period of not less than 12 months, or (b) you are, by reason of any medically determinable physical or mental impairment that can be expected to result in death or can be expected to last for a continuous period of not less than 12 months, receiving income replacement benefits for a period of not less than 3 months under an accident and health plan covering employees of the Company..</w:t>
            </w:r>
          </w:p>
        </w:tc>
      </w:tr>
    </w:tbl>
    <w:p>
      <w:pPr>
        <w:pStyle w:val="TextBody"/>
        <w:bidi w:val="0"/>
        <w:jc w:val="left"/>
        <w:rPr/>
      </w:pPr>
      <w:r>
        <w:rPr/>
        <w:t> </w:t>
      </w:r>
    </w:p>
    <w:p>
      <w:pPr>
        <w:pStyle w:val="TextBody"/>
        <w:bidi w:val="0"/>
        <w:spacing w:before="0" w:after="24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jc w:val="center"/>
        <w:rPr>
          <w:rFonts w:ascii="Times New Roman" w:hAnsi="Times New Roman"/>
          <w:b/>
          <w:color w:val="000000"/>
          <w:sz w:val="22"/>
          <w:u w:val="single"/>
        </w:rPr>
      </w:pPr>
      <w:r>
        <w:rPr>
          <w:rFonts w:ascii="Times New Roman" w:hAnsi="Times New Roman"/>
          <w:b/>
          <w:color w:val="000000"/>
          <w:sz w:val="22"/>
          <w:u w:val="single"/>
        </w:rPr>
        <w:t>Exhibit B</w:t>
      </w:r>
    </w:p>
    <w:p>
      <w:pPr>
        <w:pStyle w:val="TextBody"/>
        <w:bidi w:val="0"/>
        <w:jc w:val="center"/>
        <w:rPr>
          <w:rFonts w:ascii="Times New Roman" w:hAnsi="Times New Roman"/>
          <w:sz w:val="20"/>
        </w:rPr>
      </w:pPr>
      <w:r>
        <w:rPr>
          <w:rFonts w:ascii="Times New Roman" w:hAnsi="Times New Roman"/>
          <w:b/>
          <w:caps/>
          <w:color w:val="000000"/>
          <w:sz w:val="22"/>
        </w:rPr>
        <w:t xml:space="preserve">LSB Industries, Inc. </w:t>
      </w:r>
      <w:r>
        <w:rPr>
          <w:rFonts w:ascii="Times New Roman" w:hAnsi="Times New Roman"/>
          <w:b/>
          <w:color w:val="000000"/>
          <w:sz w:val="22"/>
        </w:rPr>
        <w:br/>
        <w:t>2025 LONG-TERM INCENTIVE PLAN</w:t>
      </w:r>
    </w:p>
    <w:p>
      <w:pPr>
        <w:pStyle w:val="TextBody"/>
        <w:bidi w:val="0"/>
        <w:jc w:val="center"/>
        <w:rPr/>
      </w:pPr>
      <w:r>
        <w:rPr/>
        <w:t> </w:t>
      </w:r>
    </w:p>
    <w:p>
      <w:pPr>
        <w:pStyle w:val="TextBody"/>
        <w:bidi w:val="0"/>
        <w:spacing w:before="0" w:after="480"/>
        <w:jc w:val="both"/>
        <w:rPr>
          <w:rFonts w:ascii="Times New Roman" w:hAnsi="Times New Roman"/>
          <w:sz w:val="20"/>
        </w:rPr>
      </w:pPr>
      <w:r>
        <w:rPr>
          <w:rFonts w:ascii="Times New Roman" w:hAnsi="Times New Roman"/>
          <w:color w:val="000000"/>
          <w:sz w:val="22"/>
        </w:rPr>
        <w:t>The LSB Industries, Inc. 2025 Long-Term Incentive Plan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was adopted by the Board of Directors of LSB Industries, Inc.,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effective as of April 9,</w:t>
      </w:r>
      <w:r>
        <w:rPr>
          <w:rFonts w:ascii="Times New Roman" w:hAnsi="Times New Roman"/>
          <w:color w:val="000000"/>
          <w:sz w:val="20"/>
        </w:rPr>
        <w:t xml:space="preserve"> </w:t>
      </w:r>
      <w:r>
        <w:rPr>
          <w:rFonts w:ascii="Times New Roman" w:hAnsi="Times New Roman"/>
          <w:color w:val="000000"/>
          <w:sz w:val="22"/>
        </w:rPr>
        <w:t>2025 (the “</w:t>
      </w:r>
      <w:r>
        <w:rPr>
          <w:rFonts w:ascii="Times New Roman" w:hAnsi="Times New Roman"/>
          <w:b/>
          <w:i/>
          <w:color w:val="000000"/>
          <w:sz w:val="22"/>
        </w:rPr>
        <w:t>Board Approval Date</w:t>
      </w:r>
      <w:r>
        <w:rPr>
          <w:rFonts w:ascii="Times New Roman" w:hAnsi="Times New Roman"/>
          <w:color w:val="000000"/>
          <w:sz w:val="20"/>
        </w:rPr>
        <w:t>”</w:t>
      </w:r>
      <w:r>
        <w:rPr>
          <w:rFonts w:ascii="Times New Roman" w:hAnsi="Times New Roman"/>
          <w:color w:val="000000"/>
          <w:sz w:val="22"/>
        </w:rPr>
        <w:t>) to be effective as of the date the Plan is approved by the Company’s stockholders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PURPOSE</w:t>
      </w:r>
    </w:p>
    <w:p>
      <w:pPr>
        <w:pStyle w:val="TextBody"/>
        <w:bidi w:val="0"/>
        <w:jc w:val="both"/>
        <w:rPr>
          <w:rFonts w:ascii="Times New Roman" w:hAnsi="Times New Roman"/>
          <w:color w:val="000000"/>
          <w:sz w:val="22"/>
        </w:rPr>
      </w:pPr>
      <w:r>
        <w:rPr>
          <w:rFonts w:ascii="Times New Roman" w:hAnsi="Times New Roman"/>
          <w:color w:val="000000"/>
          <w:sz w:val="22"/>
        </w:rPr>
        <w:t>The purpose of the Plan is to attract and retain the services of key Employees, key Contractors, and Outside Directors of the Company and its Subsidiaries and to provide such persons with a proprietary interest in the Company through the granting of Incentive Stock Options, Nonqualified Stock Options, Stock Appreciation Rights, Restricted Stock, Restricted Stock Units, Performance Awards, Dividend Equivalent Rights, Other Awards, and Tandem Awards, whether granted singly, or in combination, or in tandem, that will: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increase the interest of such persons in the Company’s welfare;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furnish an incentive to such persons to continue their services for the Company or its Subsidiaries;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provide a means through which the Company may attract able persons as Employees, Contractors, and Outside Directors.</w:t>
      </w:r>
    </w:p>
    <w:p>
      <w:pPr>
        <w:pStyle w:val="TextBody"/>
        <w:bidi w:val="0"/>
        <w:spacing w:before="0" w:after="480"/>
        <w:jc w:val="both"/>
        <w:rPr>
          <w:rFonts w:ascii="Times New Roman" w:hAnsi="Times New Roman"/>
          <w:sz w:val="20"/>
        </w:rPr>
      </w:pPr>
      <w:r>
        <w:rPr>
          <w:rFonts w:ascii="Times New Roman" w:hAnsi="Times New Roman"/>
          <w:color w:val="000000"/>
          <w:sz w:val="22"/>
        </w:rPr>
        <w:t xml:space="preserve">With respect to Reporting Participants, the Plan and all transactions under the Plan are intended to comply with all applicable conditions of Rule 16b-3 promulgated under the Exchange Act. To the extent any provision of the Plan or action by the Committee fails to so comply, such provision or action shall be deemed null and void </w:t>
      </w:r>
      <w:r>
        <w:rPr>
          <w:rFonts w:ascii="Times New Roman" w:hAnsi="Times New Roman"/>
          <w:i/>
          <w:color w:val="000000"/>
          <w:sz w:val="22"/>
        </w:rPr>
        <w:t>ab initio</w:t>
      </w:r>
      <w:r>
        <w:rPr>
          <w:rFonts w:ascii="Times New Roman" w:hAnsi="Times New Roman"/>
          <w:color w:val="000000"/>
          <w:sz w:val="22"/>
        </w:rPr>
        <w:t>, to the extent permitted by law and deemed advisable by the Committee.</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2.</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DEFINITIONS</w:t>
      </w:r>
    </w:p>
    <w:p>
      <w:pPr>
        <w:pStyle w:val="TextBody"/>
        <w:bidi w:val="0"/>
        <w:jc w:val="left"/>
        <w:rPr>
          <w:rFonts w:ascii="Times New Roman" w:hAnsi="Times New Roman"/>
          <w:color w:val="000000"/>
          <w:sz w:val="22"/>
        </w:rPr>
      </w:pPr>
      <w:r>
        <w:rPr>
          <w:rFonts w:ascii="Times New Roman" w:hAnsi="Times New Roman"/>
          <w:color w:val="000000"/>
          <w:sz w:val="22"/>
        </w:rPr>
        <w:t>For the purpose of the Plan, unless the context requires otherwise, the following terms shall have the meanings indicated: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240"/>
        <w:jc w:val="both"/>
        <w:rPr/>
      </w:pPr>
      <w:r>
        <w:rPr>
          <w:color w:val="000000"/>
        </w:rPr>
        <w:t>“</w:t>
      </w:r>
      <w:r>
        <w:rPr>
          <w:rFonts w:ascii="Times New Roman" w:hAnsi="Times New Roman"/>
          <w:b/>
          <w:i/>
          <w:color w:val="000000"/>
          <w:sz w:val="22"/>
        </w:rPr>
        <w:t>Applicable Law</w:t>
      </w:r>
      <w:r>
        <w:rPr>
          <w:color w:val="000000"/>
        </w:rPr>
        <w:t xml:space="preserve">” </w:t>
      </w:r>
      <w:r>
        <w:rPr>
          <w:rFonts w:ascii="Times New Roman" w:hAnsi="Times New Roman"/>
          <w:color w:val="000000"/>
          <w:sz w:val="22"/>
        </w:rPr>
        <w:t>means all legal requirements relating to the administration of equity incentive plans and the issuance and distribution of shares of Common Stock, if any, under applicable corporate laws, applicable securities laws, the rules of any exchange or inter-dealer quotation system upon which the Company’s securities are listed or quoted, the rules of any foreign jurisdiction applicable to Incentives granted to residents therein, and any other applicable law, rule or restriction.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w:t>
      </w:r>
    </w:p>
    <w:p>
      <w:pPr>
        <w:pStyle w:val="TextBody"/>
        <w:bidi w:val="0"/>
        <w:spacing w:before="0" w:after="240"/>
        <w:jc w:val="both"/>
        <w:rPr/>
      </w:pPr>
      <w:r>
        <w:rPr>
          <w:color w:val="000000"/>
        </w:rPr>
        <w:t>“</w:t>
      </w:r>
      <w:r>
        <w:rPr>
          <w:rFonts w:ascii="Times New Roman" w:hAnsi="Times New Roman"/>
          <w:b/>
          <w:i/>
          <w:color w:val="000000"/>
          <w:sz w:val="22"/>
        </w:rPr>
        <w:t>Authorized Officer</w:t>
      </w:r>
      <w:r>
        <w:rPr>
          <w:color w:val="000000"/>
        </w:rPr>
        <w:t xml:space="preserve">” </w:t>
      </w:r>
      <w:r>
        <w:rPr>
          <w:rFonts w:ascii="Times New Roman" w:hAnsi="Times New Roman"/>
          <w:color w:val="000000"/>
          <w:sz w:val="22"/>
        </w:rPr>
        <w:t xml:space="preserve">is defined in </w:t>
      </w:r>
      <w:r>
        <w:rPr>
          <w:rFonts w:ascii="Times New Roman" w:hAnsi="Times New Roman"/>
          <w:color w:val="000000"/>
          <w:sz w:val="22"/>
          <w:u w:val="single"/>
        </w:rPr>
        <w:t>Section 3.2(b)</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w:t>
      </w:r>
    </w:p>
    <w:p>
      <w:pPr>
        <w:pStyle w:val="TextBody"/>
        <w:bidi w:val="0"/>
        <w:spacing w:before="0" w:after="240"/>
        <w:jc w:val="both"/>
        <w:rPr/>
      </w:pPr>
      <w:r>
        <w:rPr>
          <w:color w:val="000000"/>
        </w:rPr>
        <w:t>“</w:t>
      </w:r>
      <w:r>
        <w:rPr>
          <w:rFonts w:ascii="Times New Roman" w:hAnsi="Times New Roman"/>
          <w:b/>
          <w:i/>
          <w:color w:val="000000"/>
          <w:sz w:val="22"/>
        </w:rPr>
        <w:t>Award</w:t>
      </w:r>
      <w:r>
        <w:rPr>
          <w:color w:val="000000"/>
        </w:rPr>
        <w:t xml:space="preserve">” </w:t>
      </w:r>
      <w:r>
        <w:rPr>
          <w:rFonts w:ascii="Times New Roman" w:hAnsi="Times New Roman"/>
          <w:color w:val="000000"/>
          <w:sz w:val="22"/>
        </w:rPr>
        <w:t>means the grant of any Incentive Stock Option, Nonqualified Stock Option, Restricted Stock, SAR, Restricted Stock Unit, Performance Award, Dividend Equivalent Right or Other Award, whether granted singly or in combination or in tandem (each individually referred to herein as an “</w:t>
      </w:r>
      <w:r>
        <w:rPr>
          <w:rFonts w:ascii="Times New Roman" w:hAnsi="Times New Roman"/>
          <w:b/>
          <w:i/>
          <w:color w:val="000000"/>
          <w:sz w:val="22"/>
        </w:rPr>
        <w:t>Incentive</w:t>
      </w:r>
      <w:r>
        <w:rPr>
          <w:color w:val="00000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w:t>
      </w:r>
    </w:p>
    <w:p>
      <w:pPr>
        <w:pStyle w:val="TextBody"/>
        <w:bidi w:val="0"/>
        <w:spacing w:before="0" w:after="240"/>
        <w:jc w:val="both"/>
        <w:rPr/>
      </w:pPr>
      <w:r>
        <w:rPr>
          <w:color w:val="000000"/>
        </w:rPr>
        <w:t>“</w:t>
      </w:r>
      <w:r>
        <w:rPr>
          <w:rFonts w:ascii="Times New Roman" w:hAnsi="Times New Roman"/>
          <w:b/>
          <w:i/>
          <w:color w:val="000000"/>
          <w:sz w:val="22"/>
        </w:rPr>
        <w:t>Award Agreement</w:t>
      </w:r>
      <w:r>
        <w:rPr>
          <w:color w:val="000000"/>
        </w:rPr>
        <w:t xml:space="preserve">” </w:t>
      </w:r>
      <w:r>
        <w:rPr>
          <w:rFonts w:ascii="Times New Roman" w:hAnsi="Times New Roman"/>
          <w:color w:val="000000"/>
          <w:sz w:val="22"/>
        </w:rPr>
        <w:t>means a written agreement between a Participant and the Company which sets out the terms of the grant of an Award.</w:t>
      </w:r>
    </w:p>
    <w:p>
      <w:pPr>
        <w:pStyle w:val="TextBody"/>
        <w:bidi w:val="0"/>
        <w:jc w:val="center"/>
        <w:rPr>
          <w:rFonts w:ascii="Times New Roman" w:hAnsi="Times New Roman"/>
          <w:color w:val="000000"/>
          <w:sz w:val="22"/>
        </w:rPr>
      </w:pPr>
      <w:r>
        <w:rPr>
          <w:rFonts w:ascii="Times New Roman" w:hAnsi="Times New Roman"/>
          <w:color w:val="000000"/>
          <w:sz w:val="22"/>
        </w:rPr>
        <w:t>B-1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2.5</w:t>
      </w:r>
    </w:p>
    <w:p>
      <w:pPr>
        <w:pStyle w:val="TextBody"/>
        <w:bidi w:val="0"/>
        <w:spacing w:before="0" w:after="240"/>
        <w:jc w:val="both"/>
        <w:rPr/>
      </w:pPr>
      <w:r>
        <w:rPr>
          <w:color w:val="000000"/>
        </w:rPr>
        <w:t>“</w:t>
      </w:r>
      <w:r>
        <w:rPr>
          <w:rFonts w:ascii="Times New Roman" w:hAnsi="Times New Roman"/>
          <w:b/>
          <w:i/>
          <w:color w:val="000000"/>
          <w:sz w:val="22"/>
        </w:rPr>
        <w:t>Award Period</w:t>
      </w:r>
      <w:r>
        <w:rPr>
          <w:color w:val="000000"/>
        </w:rPr>
        <w:t xml:space="preserve">” </w:t>
      </w:r>
      <w:r>
        <w:rPr>
          <w:rFonts w:ascii="Times New Roman" w:hAnsi="Times New Roman"/>
          <w:color w:val="000000"/>
          <w:sz w:val="22"/>
        </w:rPr>
        <w:t>means the period set forth in the Award Agreement during which one or more Incentives granted under an Award may be exercised.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2.6</w:t>
      </w:r>
    </w:p>
    <w:p>
      <w:pPr>
        <w:pStyle w:val="TextBody"/>
        <w:bidi w:val="0"/>
        <w:spacing w:before="0" w:after="240"/>
        <w:jc w:val="both"/>
        <w:rPr/>
      </w:pPr>
      <w:r>
        <w:rPr>
          <w:color w:val="000000"/>
        </w:rPr>
        <w:t>“</w:t>
      </w:r>
      <w:r>
        <w:rPr>
          <w:rFonts w:ascii="Times New Roman" w:hAnsi="Times New Roman"/>
          <w:b/>
          <w:i/>
          <w:color w:val="000000"/>
          <w:sz w:val="22"/>
        </w:rPr>
        <w:t>Board</w:t>
      </w:r>
      <w:r>
        <w:rPr>
          <w:color w:val="000000"/>
        </w:rPr>
        <w:t xml:space="preserve">” </w:t>
      </w:r>
      <w:r>
        <w:rPr>
          <w:rFonts w:ascii="Times New Roman" w:hAnsi="Times New Roman"/>
          <w:color w:val="000000"/>
          <w:sz w:val="22"/>
        </w:rPr>
        <w:t>means the board of directors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2.7</w:t>
      </w:r>
    </w:p>
    <w:p>
      <w:pPr>
        <w:pStyle w:val="TextBody"/>
        <w:bidi w:val="0"/>
        <w:spacing w:before="0" w:after="240"/>
        <w:jc w:val="both"/>
        <w:rPr/>
      </w:pPr>
      <w:r>
        <w:rPr>
          <w:color w:val="000000"/>
        </w:rPr>
        <w:t>“</w:t>
      </w:r>
      <w:r>
        <w:rPr>
          <w:rFonts w:ascii="Times New Roman" w:hAnsi="Times New Roman"/>
          <w:b/>
          <w:i/>
          <w:color w:val="000000"/>
          <w:sz w:val="22"/>
        </w:rPr>
        <w:t>Change in Control</w:t>
      </w:r>
      <w:r>
        <w:rPr>
          <w:color w:val="000000"/>
        </w:rPr>
        <w:t xml:space="preserve">” </w:t>
      </w:r>
      <w:r>
        <w:rPr>
          <w:rFonts w:ascii="Times New Roman" w:hAnsi="Times New Roman"/>
          <w:color w:val="000000"/>
          <w:sz w:val="22"/>
        </w:rPr>
        <w:t>means the occurrence of an event set forth in any one of the following paragraphs, except as otherwise provided 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any Person, or more than one Person acting as a “group” (as defined in Section 13(d) of the Exchange Act) acquires (or has acquired during the 12-month period ending on the date of the most recent acquisition by such Person or Persons) and becomes the Beneficial Owner, directly or indirectly, of securities of the Company representing more than 50% of the combined voting power of the Company’s then outstanding securities, excluding any acquisition by an employee benefit plan (or related trust) sponsored or maintained by the Company or any entity controlled by the Company; provided, however, a Change in Control shall not occur if such Person or Persons acting as a group already own more than 50% of the Company’s securities and acquire additional Company securities;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the following individuals cease for any reason to constitute a majority of the number of directors then serving: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w:t>
      </w:r>
      <w:r>
        <w:rPr>
          <w:color w:val="000000"/>
        </w:rPr>
        <w:t xml:space="preserve"> </w:t>
      </w:r>
      <w:r>
        <w:rPr>
          <w:rFonts w:ascii="Times New Roman" w:hAnsi="Times New Roman"/>
          <w:color w:val="000000"/>
          <w:sz w:val="22"/>
        </w:rPr>
        <w:t>was approved or recommended by a vote of at least the majority of the directors then still in office who either were directors on the Effective Date or whose appointment, election or nomination for election was previously so approved or recommended;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Person, or more than one Person acting as a “group” (as defined in Section 13(d) of the Exchange Act), acquires (or has acquired during the 12-month period ending on the date of the most recent acquisition by such Person or Persons) all or substantially all of the Company’s assets that have a total Gross Fair Market Value equal to more than 50% of the total Gross Fair Market Value of the Company’s assets immediately prior to such acquisition(s).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For purposes hereof:</w:t>
      </w:r>
    </w:p>
    <w:p>
      <w:pPr>
        <w:pStyle w:val="TextBody"/>
        <w:bidi w:val="0"/>
        <w:spacing w:before="0" w:after="240"/>
        <w:jc w:val="left"/>
        <w:rPr/>
      </w:pPr>
      <w:r>
        <w:rPr>
          <w:color w:val="000000"/>
        </w:rPr>
        <w:t>“</w:t>
      </w:r>
      <w:r>
        <w:rPr>
          <w:rFonts w:ascii="Times New Roman" w:hAnsi="Times New Roman"/>
          <w:b/>
          <w:i/>
          <w:color w:val="000000"/>
          <w:sz w:val="22"/>
        </w:rPr>
        <w:t>Affiliate</w:t>
      </w:r>
      <w:r>
        <w:rPr>
          <w:rFonts w:ascii="Times New Roman" w:hAnsi="Times New Roman"/>
          <w:color w:val="000000"/>
          <w:sz w:val="20"/>
        </w:rPr>
        <w:t xml:space="preserve">” </w:t>
      </w:r>
      <w:r>
        <w:rPr>
          <w:rFonts w:ascii="Times New Roman" w:hAnsi="Times New Roman"/>
          <w:color w:val="000000"/>
          <w:sz w:val="22"/>
        </w:rPr>
        <w:t>shall have the meaning set forth in Rule 12b-2 promulgated under Section 12 of the Exchange Act.</w:t>
      </w:r>
    </w:p>
    <w:p>
      <w:pPr>
        <w:pStyle w:val="TextBody"/>
        <w:bidi w:val="0"/>
        <w:spacing w:before="0" w:after="240"/>
        <w:jc w:val="both"/>
        <w:rPr/>
      </w:pPr>
      <w:r>
        <w:rPr>
          <w:color w:val="000000"/>
        </w:rPr>
        <w:t>“</w:t>
      </w:r>
      <w:r>
        <w:rPr>
          <w:rFonts w:ascii="Times New Roman" w:hAnsi="Times New Roman"/>
          <w:b/>
          <w:i/>
          <w:color w:val="000000"/>
          <w:sz w:val="22"/>
        </w:rPr>
        <w:t>Beneficial Owner</w:t>
      </w:r>
      <w:r>
        <w:rPr>
          <w:rFonts w:ascii="Times New Roman" w:hAnsi="Times New Roman"/>
          <w:color w:val="000000"/>
          <w:sz w:val="20"/>
        </w:rPr>
        <w:t xml:space="preserve">” </w:t>
      </w:r>
      <w:r>
        <w:rPr>
          <w:rFonts w:ascii="Times New Roman" w:hAnsi="Times New Roman"/>
          <w:color w:val="000000"/>
          <w:sz w:val="22"/>
        </w:rPr>
        <w:t>shall have the meaning set forth in Rule 13d-3 under the Exchange Act except that a Person shall be deemed to be the “Beneficial Owner” of all shares that any such Person has the right to acquire pursuant to any agreement or arrangement or upon exercise of conversion rights, warrants, options or otherwise, without regard to the 60-day period referred to in such rule).</w:t>
      </w:r>
    </w:p>
    <w:p>
      <w:pPr>
        <w:pStyle w:val="TextBody"/>
        <w:bidi w:val="0"/>
        <w:spacing w:before="0" w:after="240"/>
        <w:jc w:val="both"/>
        <w:rPr/>
      </w:pPr>
      <w:r>
        <w:rPr>
          <w:color w:val="000000"/>
        </w:rPr>
        <w:t>“</w:t>
      </w:r>
      <w:r>
        <w:rPr>
          <w:rFonts w:ascii="Times New Roman" w:hAnsi="Times New Roman"/>
          <w:b/>
          <w:i/>
          <w:color w:val="000000"/>
          <w:sz w:val="22"/>
        </w:rPr>
        <w:t>Company</w:t>
      </w:r>
      <w:r>
        <w:rPr>
          <w:rFonts w:ascii="Times New Roman" w:hAnsi="Times New Roman"/>
          <w:color w:val="000000"/>
          <w:sz w:val="20"/>
        </w:rPr>
        <w:t xml:space="preserve">” </w:t>
      </w:r>
      <w:r>
        <w:rPr>
          <w:rFonts w:ascii="Times New Roman" w:hAnsi="Times New Roman"/>
          <w:color w:val="000000"/>
          <w:sz w:val="22"/>
        </w:rPr>
        <w:t xml:space="preserve">shall mean, unless as otherwise provided in an Award Agreement, (i) the Company, as defined in </w:t>
      </w:r>
      <w:r>
        <w:rPr>
          <w:rFonts w:ascii="Times New Roman" w:hAnsi="Times New Roman"/>
          <w:color w:val="000000"/>
          <w:sz w:val="22"/>
          <w:u w:val="single"/>
        </w:rPr>
        <w:t>Section 2.12;</w:t>
      </w:r>
      <w:r>
        <w:rPr>
          <w:rFonts w:ascii="Times New Roman" w:hAnsi="Times New Roman"/>
          <w:color w:val="000000"/>
          <w:sz w:val="20"/>
        </w:rPr>
        <w:t xml:space="preserve"> </w:t>
      </w:r>
      <w:r>
        <w:rPr>
          <w:rFonts w:ascii="Times New Roman" w:hAnsi="Times New Roman"/>
          <w:color w:val="000000"/>
          <w:sz w:val="22"/>
        </w:rPr>
        <w:t>(ii) the entity for whom a Participant performs services for which an Award is granted; and (iii) an entity that is a stockholder owning more than 50% of the total number of outstanding shares of Common Stock (or other equity interests) and total voting power (</w:t>
      </w:r>
      <w:r>
        <w:rPr>
          <w:rFonts w:ascii="Times New Roman" w:hAnsi="Times New Roman"/>
          <w:i/>
          <w:color w:val="000000"/>
          <w:sz w:val="22"/>
        </w:rPr>
        <w:t>i.e.</w:t>
      </w:r>
      <w:r>
        <w:rPr>
          <w:rFonts w:ascii="Times New Roman" w:hAnsi="Times New Roman"/>
          <w:color w:val="000000"/>
          <w:sz w:val="22"/>
        </w:rPr>
        <w:t>, a majority stockholder) of the Company or entity identified in (ii), or any entity in a chain of entities in which each entity is a majority stockholder of another entity in the chain, ending on the Company or the entity identified in (ii).</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B-2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i/>
          <w:color w:val="000000"/>
          <w:sz w:val="22"/>
        </w:rPr>
        <w:t>Gross Fair Market Value</w:t>
      </w:r>
      <w:r>
        <w:rPr>
          <w:rFonts w:ascii="Times New Roman" w:hAnsi="Times New Roman"/>
          <w:color w:val="000000"/>
          <w:sz w:val="20"/>
        </w:rPr>
        <w:t xml:space="preserve">” </w:t>
      </w:r>
      <w:r>
        <w:rPr>
          <w:rFonts w:ascii="Times New Roman" w:hAnsi="Times New Roman"/>
          <w:color w:val="000000"/>
          <w:sz w:val="22"/>
        </w:rPr>
        <w:t>shall mean the value of the Company’s assets or the value of the assets being disposed of, determined without regard to any liabilities associated with such assets.</w:t>
      </w:r>
    </w:p>
    <w:p>
      <w:pPr>
        <w:pStyle w:val="TextBody"/>
        <w:bidi w:val="0"/>
        <w:spacing w:before="0" w:after="240"/>
        <w:jc w:val="both"/>
        <w:rPr/>
      </w:pPr>
      <w:r>
        <w:rPr>
          <w:color w:val="000000"/>
        </w:rPr>
        <w:t>“</w:t>
      </w:r>
      <w:r>
        <w:rPr>
          <w:rFonts w:ascii="Times New Roman" w:hAnsi="Times New Roman"/>
          <w:b/>
          <w:i/>
          <w:color w:val="000000"/>
          <w:sz w:val="22"/>
        </w:rPr>
        <w:t>Person</w:t>
      </w:r>
      <w:r>
        <w:rPr>
          <w:rFonts w:ascii="Times New Roman" w:hAnsi="Times New Roman"/>
          <w:color w:val="000000"/>
          <w:sz w:val="20"/>
        </w:rPr>
        <w:t xml:space="preserve">” </w:t>
      </w:r>
      <w:r>
        <w:rPr>
          <w:rFonts w:ascii="Times New Roman" w:hAnsi="Times New Roman"/>
          <w:color w:val="000000"/>
          <w:sz w:val="22"/>
        </w:rPr>
        <w:t>means any person or entity of any nature whatsoever, specifically including an individual, a firm, a company, a corporation, a partnership, a limited liability company, a trust or other entity; a Person, together with that Person’s Affiliates and Associates (as those terms are defined in Rule 12b-2 under the Exchange Act, provided that “registrant” as used in Rule 12b-2 shall mean the Company), and any Persons acting as a partnership, limited partnership, joint venture, association, syndicate or other group (whether or not formally organized), or otherwise acting jointly or in concert or in a coordinated or consciously parallel manner (whether or not pursuant to any express agreement), for the purpose of acquiring, holding, voting or disposing of securities of the Company with such Person, shall be deemed a single “Person.”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Notwithstanding the foregoing, no transaction or series of transactions shall be deemed to constitute a Change in Control unless and to the extent such transaction or transactions constitute a change in ownership or control under Section 409A of the Code. Additionally, for purposes of this </w:t>
      </w:r>
      <w:r>
        <w:rPr>
          <w:rFonts w:ascii="Times New Roman" w:hAnsi="Times New Roman"/>
          <w:color w:val="000000"/>
          <w:sz w:val="22"/>
          <w:u w:val="single"/>
        </w:rPr>
        <w:t>Section 2.7</w:t>
      </w:r>
      <w:r>
        <w:rPr>
          <w:rFonts w:ascii="Times New Roman" w:hAnsi="Times New Roman"/>
          <w:color w:val="000000"/>
          <w:sz w:val="22"/>
        </w:rPr>
        <w:t>, Section 318(a) of the Code, regarding constructive ownership, shall apply to determine stock ownership; provided, however, that any stock underlying unvested Nonqualified Stock Options or Incentive Stock Options shall not be treated as owned by such Participant who owns such Nonqualified Stock Option or Incentive Stock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2.8</w:t>
      </w:r>
    </w:p>
    <w:p>
      <w:pPr>
        <w:pStyle w:val="TextBody"/>
        <w:bidi w:val="0"/>
        <w:spacing w:before="0" w:after="240"/>
        <w:jc w:val="both"/>
        <w:rPr/>
      </w:pPr>
      <w:r>
        <w:rPr>
          <w:color w:val="000000"/>
        </w:rPr>
        <w:t>“</w:t>
      </w:r>
      <w:r>
        <w:rPr>
          <w:rFonts w:ascii="Times New Roman" w:hAnsi="Times New Roman"/>
          <w:b/>
          <w:i/>
          <w:color w:val="000000"/>
          <w:sz w:val="22"/>
        </w:rPr>
        <w:t>Claim</w:t>
      </w:r>
      <w:r>
        <w:rPr>
          <w:color w:val="000000"/>
        </w:rPr>
        <w:t xml:space="preserve">” </w:t>
      </w:r>
      <w:r>
        <w:rPr>
          <w:rFonts w:ascii="Times New Roman" w:hAnsi="Times New Roman"/>
          <w:color w:val="000000"/>
          <w:sz w:val="22"/>
        </w:rPr>
        <w:t>means any claim, liability or obligation of any nature, arising out of or relating to this Plan or an alleged breach of this Plan or an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2.9</w:t>
      </w:r>
    </w:p>
    <w:p>
      <w:pPr>
        <w:pStyle w:val="TextBody"/>
        <w:bidi w:val="0"/>
        <w:spacing w:before="0" w:after="240"/>
        <w:jc w:val="both"/>
        <w:rPr/>
      </w:pPr>
      <w:r>
        <w:rPr>
          <w:color w:val="000000"/>
        </w:rPr>
        <w:t>“</w:t>
      </w:r>
      <w:r>
        <w:rPr>
          <w:rFonts w:ascii="Times New Roman" w:hAnsi="Times New Roman"/>
          <w:b/>
          <w:i/>
          <w:color w:val="000000"/>
          <w:sz w:val="22"/>
        </w:rPr>
        <w:t>Code</w:t>
      </w:r>
      <w:r>
        <w:rPr>
          <w:color w:val="000000"/>
        </w:rPr>
        <w:t xml:space="preserve">” </w:t>
      </w:r>
      <w:r>
        <w:rPr>
          <w:rFonts w:ascii="Times New Roman" w:hAnsi="Times New Roman"/>
          <w:color w:val="000000"/>
          <w:sz w:val="22"/>
        </w:rPr>
        <w:t>means the United States Internal Revenue Code of 1986, as amended.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2.10</w:t>
      </w:r>
    </w:p>
    <w:p>
      <w:pPr>
        <w:pStyle w:val="TextBody"/>
        <w:bidi w:val="0"/>
        <w:spacing w:before="0" w:after="240"/>
        <w:jc w:val="both"/>
        <w:rPr/>
      </w:pPr>
      <w:r>
        <w:rPr>
          <w:color w:val="000000"/>
        </w:rPr>
        <w:t>“</w:t>
      </w:r>
      <w:r>
        <w:rPr>
          <w:rFonts w:ascii="Times New Roman" w:hAnsi="Times New Roman"/>
          <w:b/>
          <w:i/>
          <w:color w:val="000000"/>
          <w:sz w:val="22"/>
        </w:rPr>
        <w:t>Committee</w:t>
      </w:r>
      <w:r>
        <w:rPr>
          <w:color w:val="000000"/>
        </w:rPr>
        <w:t xml:space="preserve">” </w:t>
      </w:r>
      <w:r>
        <w:rPr>
          <w:rFonts w:ascii="Times New Roman" w:hAnsi="Times New Roman"/>
          <w:color w:val="000000"/>
          <w:sz w:val="22"/>
        </w:rPr>
        <w:t xml:space="preserve">means the committee appointed or designated by the Board to administer the Plan in accordance with </w:t>
      </w:r>
      <w:r>
        <w:rPr>
          <w:rFonts w:ascii="Times New Roman" w:hAnsi="Times New Roman"/>
          <w:color w:val="000000"/>
          <w:sz w:val="22"/>
          <w:u w:val="single"/>
        </w:rPr>
        <w:t>Article 3</w:t>
      </w:r>
      <w:r>
        <w:rPr>
          <w:color w:val="000000"/>
        </w:rPr>
        <w:t xml:space="preserve"> </w:t>
      </w:r>
      <w:r>
        <w:rPr>
          <w:rFonts w:ascii="Times New Roman" w:hAnsi="Times New Roman"/>
          <w:color w:val="000000"/>
          <w:sz w:val="22"/>
        </w:rPr>
        <w:t>of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2.11</w:t>
      </w:r>
    </w:p>
    <w:p>
      <w:pPr>
        <w:pStyle w:val="TextBody"/>
        <w:bidi w:val="0"/>
        <w:spacing w:before="0" w:after="240"/>
        <w:jc w:val="both"/>
        <w:rPr/>
      </w:pPr>
      <w:r>
        <w:rPr>
          <w:color w:val="000000"/>
        </w:rPr>
        <w:t>“</w:t>
      </w:r>
      <w:r>
        <w:rPr>
          <w:rFonts w:ascii="Times New Roman" w:hAnsi="Times New Roman"/>
          <w:b/>
          <w:i/>
          <w:color w:val="000000"/>
          <w:sz w:val="22"/>
        </w:rPr>
        <w:t>Common Stock</w:t>
      </w:r>
      <w:r>
        <w:rPr>
          <w:color w:val="000000"/>
        </w:rPr>
        <w:t xml:space="preserve">” </w:t>
      </w:r>
      <w:r>
        <w:rPr>
          <w:rFonts w:ascii="Times New Roman" w:hAnsi="Times New Roman"/>
          <w:color w:val="000000"/>
          <w:sz w:val="22"/>
        </w:rPr>
        <w:t>means the common stock, par value $0.10 per share, which the Company is currently authorized to issue or may in the future be authorized to issue, or any securities into which or for which the common stock of the Company may be converted or exchanged, as the case may be, pursuant to the terms of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2.12</w:t>
      </w:r>
    </w:p>
    <w:p>
      <w:pPr>
        <w:pStyle w:val="TextBody"/>
        <w:bidi w:val="0"/>
        <w:spacing w:before="0" w:after="240"/>
        <w:jc w:val="both"/>
        <w:rPr/>
      </w:pPr>
      <w:r>
        <w:rPr>
          <w:color w:val="000000"/>
        </w:rPr>
        <w:t>“</w:t>
      </w:r>
      <w:r>
        <w:rPr>
          <w:rFonts w:ascii="Times New Roman" w:hAnsi="Times New Roman"/>
          <w:b/>
          <w:i/>
          <w:color w:val="000000"/>
          <w:sz w:val="22"/>
        </w:rPr>
        <w:t>Company</w:t>
      </w:r>
      <w:r>
        <w:rPr>
          <w:color w:val="000000"/>
        </w:rPr>
        <w:t xml:space="preserve">” </w:t>
      </w:r>
      <w:r>
        <w:rPr>
          <w:rFonts w:ascii="Times New Roman" w:hAnsi="Times New Roman"/>
          <w:color w:val="000000"/>
          <w:sz w:val="22"/>
        </w:rPr>
        <w:t>means LSB Industries, Inc., a Delaware corporation, and any successor entity.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2.13</w:t>
      </w:r>
    </w:p>
    <w:p>
      <w:pPr>
        <w:pStyle w:val="TextBody"/>
        <w:bidi w:val="0"/>
        <w:spacing w:before="0" w:after="240"/>
        <w:jc w:val="both"/>
        <w:rPr/>
      </w:pPr>
      <w:r>
        <w:rPr>
          <w:color w:val="000000"/>
        </w:rPr>
        <w:t>“</w:t>
      </w:r>
      <w:r>
        <w:rPr>
          <w:rFonts w:ascii="Times New Roman" w:hAnsi="Times New Roman"/>
          <w:b/>
          <w:i/>
          <w:color w:val="000000"/>
          <w:sz w:val="22"/>
        </w:rPr>
        <w:t>Contractor</w:t>
      </w:r>
      <w:r>
        <w:rPr>
          <w:color w:val="000000"/>
        </w:rPr>
        <w:t xml:space="preserve">” </w:t>
      </w:r>
      <w:r>
        <w:rPr>
          <w:rFonts w:ascii="Times New Roman" w:hAnsi="Times New Roman"/>
          <w:color w:val="000000"/>
          <w:sz w:val="22"/>
        </w:rPr>
        <w:t xml:space="preserve">means any natural person (or a wholly owned alter ego entity of the natural person providing such services of which such person is an employee, stockholder, or partner),, who is not an Employee, rendering </w:t>
      </w:r>
      <w:r>
        <w:rPr>
          <w:rFonts w:ascii="Times New Roman" w:hAnsi="Times New Roman"/>
          <w:i/>
          <w:color w:val="000000"/>
          <w:sz w:val="22"/>
        </w:rPr>
        <w:t>bona fide</w:t>
      </w:r>
      <w:r>
        <w:rPr>
          <w:color w:val="000000"/>
        </w:rPr>
        <w:t xml:space="preserve"> </w:t>
      </w:r>
      <w:r>
        <w:rPr>
          <w:rFonts w:ascii="Times New Roman" w:hAnsi="Times New Roman"/>
          <w:color w:val="000000"/>
          <w:sz w:val="22"/>
        </w:rPr>
        <w:t xml:space="preserve">services to the Company or a Subsidiary, with compensation, pursuant to a written independent contractor agreement between such person and the Company or a Subsidiary, </w:t>
      </w:r>
      <w:r>
        <w:rPr>
          <w:rFonts w:ascii="Times New Roman" w:hAnsi="Times New Roman"/>
          <w:i/>
          <w:color w:val="000000"/>
          <w:sz w:val="22"/>
        </w:rPr>
        <w:t>provided that</w:t>
      </w:r>
      <w:r>
        <w:rPr>
          <w:color w:val="000000"/>
        </w:rPr>
        <w:t xml:space="preserve"> </w:t>
      </w:r>
      <w:r>
        <w:rPr>
          <w:rFonts w:ascii="Times New Roman" w:hAnsi="Times New Roman"/>
          <w:color w:val="000000"/>
          <w:sz w:val="22"/>
        </w:rPr>
        <w:t>such services are not rendered in connection with the offer or sale of securities in a capital raising transaction and do not directly or indirectly promote or maintain a market for the Company’s securities.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2.14</w:t>
      </w:r>
    </w:p>
    <w:p>
      <w:pPr>
        <w:pStyle w:val="TextBody"/>
        <w:bidi w:val="0"/>
        <w:spacing w:before="0" w:after="240"/>
        <w:jc w:val="both"/>
        <w:rPr/>
      </w:pPr>
      <w:r>
        <w:rPr>
          <w:color w:val="000000"/>
        </w:rPr>
        <w:t>“</w:t>
      </w:r>
      <w:r>
        <w:rPr>
          <w:rFonts w:ascii="Times New Roman" w:hAnsi="Times New Roman"/>
          <w:b/>
          <w:i/>
          <w:color w:val="000000"/>
          <w:sz w:val="22"/>
        </w:rPr>
        <w:t>Corporation</w:t>
      </w:r>
      <w:r>
        <w:rPr>
          <w:color w:val="000000"/>
        </w:rPr>
        <w:t xml:space="preserve">” </w:t>
      </w:r>
      <w:r>
        <w:rPr>
          <w:rFonts w:ascii="Times New Roman" w:hAnsi="Times New Roman"/>
          <w:color w:val="000000"/>
          <w:sz w:val="22"/>
        </w:rPr>
        <w:t>means any entity that (a) is defined as a corporation under Section 7701 of the Code and (b) is the Company or is in an unbroken chain of corporations (other than the Company) beginning with the Company, if each of the corporations other than the last corporation in the unbroken chain owns stock possessing a majority of the total combined voting power of all classes of stock in one of the other corporations in the chain. For purposes of clause (b) hereof, an entity shall be treated as a “corporation” if it satisfies the definition of a corporation under Section 7701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2.15</w:t>
      </w:r>
    </w:p>
    <w:p>
      <w:pPr>
        <w:pStyle w:val="TextBody"/>
        <w:bidi w:val="0"/>
        <w:spacing w:before="0" w:after="240"/>
        <w:jc w:val="both"/>
        <w:rPr/>
      </w:pPr>
      <w:r>
        <w:rPr>
          <w:color w:val="000000"/>
        </w:rPr>
        <w:t>“</w:t>
      </w:r>
      <w:r>
        <w:rPr>
          <w:rFonts w:ascii="Times New Roman" w:hAnsi="Times New Roman"/>
          <w:b/>
          <w:i/>
          <w:color w:val="000000"/>
          <w:sz w:val="22"/>
        </w:rPr>
        <w:t>Date of Grant</w:t>
      </w:r>
      <w:r>
        <w:rPr>
          <w:color w:val="000000"/>
        </w:rPr>
        <w:t xml:space="preserve">” </w:t>
      </w:r>
      <w:r>
        <w:rPr>
          <w:rFonts w:ascii="Times New Roman" w:hAnsi="Times New Roman"/>
          <w:color w:val="000000"/>
          <w:sz w:val="22"/>
        </w:rPr>
        <w:t xml:space="preserve">means the effective date on which an Award is made to a Participant as set forth in the applicable Award Agreement; </w:t>
      </w:r>
      <w:r>
        <w:rPr>
          <w:rFonts w:ascii="Times New Roman" w:hAnsi="Times New Roman"/>
          <w:i/>
          <w:color w:val="000000"/>
          <w:sz w:val="22"/>
        </w:rPr>
        <w:t>provided, however</w:t>
      </w:r>
      <w:r>
        <w:rPr>
          <w:rFonts w:ascii="Times New Roman" w:hAnsi="Times New Roman"/>
          <w:color w:val="000000"/>
          <w:sz w:val="22"/>
        </w:rPr>
        <w:t xml:space="preserve">, that solely for purposes of Section 16 of the Exchange Act </w:t>
      </w:r>
    </w:p>
    <w:p>
      <w:pPr>
        <w:pStyle w:val="TextBody"/>
        <w:bidi w:val="0"/>
        <w:jc w:val="center"/>
        <w:rPr>
          <w:rFonts w:ascii="Times New Roman" w:hAnsi="Times New Roman"/>
          <w:color w:val="000000"/>
          <w:sz w:val="22"/>
        </w:rPr>
      </w:pPr>
      <w:r>
        <w:rPr>
          <w:rFonts w:ascii="Times New Roman" w:hAnsi="Times New Roman"/>
          <w:color w:val="000000"/>
          <w:sz w:val="22"/>
        </w:rPr>
        <w:t>B-3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and the rules and regulations promulgated thereunder, the Date of Grant of an Award shall be the date of stockholder approval of the Plan if such date is later than the effective date of such Award as set forth in the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2.16</w:t>
      </w:r>
    </w:p>
    <w:p>
      <w:pPr>
        <w:pStyle w:val="TextBody"/>
        <w:bidi w:val="0"/>
        <w:spacing w:before="0" w:after="240"/>
        <w:jc w:val="both"/>
        <w:rPr/>
      </w:pPr>
      <w:r>
        <w:rPr>
          <w:color w:val="000000"/>
        </w:rPr>
        <w:t>“</w:t>
      </w:r>
      <w:r>
        <w:rPr>
          <w:rFonts w:ascii="Times New Roman" w:hAnsi="Times New Roman"/>
          <w:b/>
          <w:i/>
          <w:color w:val="000000"/>
          <w:sz w:val="22"/>
        </w:rPr>
        <w:t>Dividend Equivalent Right</w:t>
      </w:r>
      <w:r>
        <w:rPr>
          <w:color w:val="000000"/>
        </w:rPr>
        <w:t xml:space="preserve">” </w:t>
      </w:r>
      <w:r>
        <w:rPr>
          <w:rFonts w:ascii="Times New Roman" w:hAnsi="Times New Roman"/>
          <w:color w:val="000000"/>
          <w:sz w:val="22"/>
        </w:rPr>
        <w:t>means the right of the holder thereof to receive credits based on the cash dividends that would have been paid on the shares of Common Stock specified in the Award if such shares were held by the Participant to whom the Award is made.</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2.17</w:t>
      </w:r>
    </w:p>
    <w:p>
      <w:pPr>
        <w:pStyle w:val="TextBody"/>
        <w:bidi w:val="0"/>
        <w:spacing w:before="0" w:after="0"/>
        <w:jc w:val="both"/>
        <w:rPr/>
      </w:pPr>
      <w:r>
        <w:rPr>
          <w:color w:val="000000"/>
        </w:rPr>
        <w:t>“</w:t>
      </w:r>
      <w:r>
        <w:rPr>
          <w:rFonts w:ascii="Times New Roman" w:hAnsi="Times New Roman"/>
          <w:b/>
          <w:i/>
          <w:color w:val="000000"/>
          <w:sz w:val="22"/>
        </w:rPr>
        <w:t>Employee</w:t>
      </w:r>
      <w:r>
        <w:rPr>
          <w:color w:val="000000"/>
        </w:rPr>
        <w:t xml:space="preserve">” </w:t>
      </w:r>
      <w:r>
        <w:rPr>
          <w:rFonts w:ascii="Times New Roman" w:hAnsi="Times New Roman"/>
          <w:color w:val="000000"/>
          <w:sz w:val="22"/>
        </w:rPr>
        <w:t>means a common law employee (as defined in accordance with the Regulations and Revenue Rulings then applicable under Section 3401(c) of the Code) of the Company or any Subsidiary of the Company; provided, however, in the case of individuals whose employment status, by virtue of their employer or residence, is not determined under Section 3401(c) of the Code, “Employee” shall mean an individual treated as an employee for local payroll tax or employment purposes by the applicable employer under Applicable Law for the relevant period. An employee on leave of absence may be considered as still in the employ of the Company or its Subsidiaries for purposes of eligibility for participation in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2.18</w:t>
      </w:r>
    </w:p>
    <w:p>
      <w:pPr>
        <w:pStyle w:val="TextBody"/>
        <w:bidi w:val="0"/>
        <w:spacing w:before="0" w:after="240"/>
        <w:jc w:val="both"/>
        <w:rPr/>
      </w:pPr>
      <w:r>
        <w:rPr>
          <w:color w:val="000000"/>
        </w:rPr>
        <w:t>“</w:t>
      </w:r>
      <w:r>
        <w:rPr>
          <w:rFonts w:ascii="Times New Roman" w:hAnsi="Times New Roman"/>
          <w:b/>
          <w:i/>
          <w:color w:val="000000"/>
          <w:sz w:val="22"/>
        </w:rPr>
        <w:t>Exchange Act</w:t>
      </w:r>
      <w:r>
        <w:rPr>
          <w:color w:val="000000"/>
        </w:rPr>
        <w:t xml:space="preserve">” </w:t>
      </w:r>
      <w:r>
        <w:rPr>
          <w:rFonts w:ascii="Times New Roman" w:hAnsi="Times New Roman"/>
          <w:color w:val="000000"/>
          <w:sz w:val="22"/>
        </w:rPr>
        <w:t>means the United States Securities Exchange Act of 1934, as amended.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2.19</w:t>
      </w:r>
    </w:p>
    <w:p>
      <w:pPr>
        <w:pStyle w:val="TextBody"/>
        <w:bidi w:val="0"/>
        <w:spacing w:before="0" w:after="240"/>
        <w:jc w:val="both"/>
        <w:rPr/>
      </w:pPr>
      <w:r>
        <w:rPr>
          <w:color w:val="000000"/>
        </w:rPr>
        <w:t>“</w:t>
      </w:r>
      <w:r>
        <w:rPr>
          <w:rFonts w:ascii="Times New Roman" w:hAnsi="Times New Roman"/>
          <w:b/>
          <w:i/>
          <w:color w:val="000000"/>
          <w:sz w:val="22"/>
        </w:rPr>
        <w:t>Exercise Date</w:t>
      </w:r>
      <w:r>
        <w:rPr>
          <w:color w:val="000000"/>
        </w:rPr>
        <w:t xml:space="preserve">” </w:t>
      </w:r>
      <w:r>
        <w:rPr>
          <w:rFonts w:ascii="Times New Roman" w:hAnsi="Times New Roman"/>
          <w:color w:val="000000"/>
          <w:sz w:val="22"/>
        </w:rPr>
        <w:t>is the date (i) with respect to any Stock Option, that the Participant has delivered both the Exercise Notice and consideration to the Company with a value equal to the total Option Price of the shares to be purchased (plus any income and/or employment tax withholding or other tax payment due with respect to such Award); and (ii) with respect to any SAR, that the Participant has delivered both the Exercise Notice and consideration to the Company with a value equal to any income and/or employment tax withholding or other tax payment due with respect to such SAR.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2.20</w:t>
      </w:r>
    </w:p>
    <w:p>
      <w:pPr>
        <w:pStyle w:val="TextBody"/>
        <w:bidi w:val="0"/>
        <w:spacing w:before="0" w:after="240"/>
        <w:jc w:val="both"/>
        <w:rPr/>
      </w:pPr>
      <w:r>
        <w:rPr>
          <w:color w:val="000000"/>
        </w:rPr>
        <w:t>“</w:t>
      </w:r>
      <w:r>
        <w:rPr>
          <w:rFonts w:ascii="Times New Roman" w:hAnsi="Times New Roman"/>
          <w:b/>
          <w:i/>
          <w:color w:val="000000"/>
          <w:sz w:val="22"/>
        </w:rPr>
        <w:t>Exercise Notice</w:t>
      </w:r>
      <w:r>
        <w:rPr>
          <w:color w:val="000000"/>
        </w:rPr>
        <w:t xml:space="preserve">” </w:t>
      </w:r>
      <w:r>
        <w:rPr>
          <w:rFonts w:ascii="Times New Roman" w:hAnsi="Times New Roman"/>
          <w:color w:val="000000"/>
          <w:sz w:val="22"/>
        </w:rPr>
        <w:t xml:space="preserve">is defined in </w:t>
      </w:r>
      <w:r>
        <w:rPr>
          <w:rFonts w:ascii="Times New Roman" w:hAnsi="Times New Roman"/>
          <w:color w:val="000000"/>
          <w:sz w:val="22"/>
          <w:u w:val="single"/>
        </w:rPr>
        <w:t>Section 8.3(b)</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2.21</w:t>
      </w:r>
    </w:p>
    <w:p>
      <w:pPr>
        <w:pStyle w:val="TextBody"/>
        <w:bidi w:val="0"/>
        <w:spacing w:before="0" w:after="240"/>
        <w:jc w:val="both"/>
        <w:rPr/>
      </w:pPr>
      <w:r>
        <w:rPr>
          <w:color w:val="000000"/>
        </w:rPr>
        <w:t>“</w:t>
      </w:r>
      <w:r>
        <w:rPr>
          <w:rFonts w:ascii="Times New Roman" w:hAnsi="Times New Roman"/>
          <w:b/>
          <w:i/>
          <w:color w:val="000000"/>
          <w:sz w:val="22"/>
        </w:rPr>
        <w:t>Fair Market Value</w:t>
      </w:r>
      <w:r>
        <w:rPr>
          <w:color w:val="000000"/>
        </w:rPr>
        <w:t xml:space="preserve">” </w:t>
      </w:r>
      <w:r>
        <w:rPr>
          <w:rFonts w:ascii="Times New Roman" w:hAnsi="Times New Roman"/>
          <w:color w:val="000000"/>
          <w:sz w:val="22"/>
        </w:rPr>
        <w:t>means, as of a particular date, (a) if the shares of Common Stock are listed on any established national securities exchange, the closing sales price per share of Common Stock on the consolidated transaction reporting system for the principal securities exchange for the Common Stock on that date (as determined by the Committee, in its discretion), or, if there shall have been no such sale so reported on that date, on the last preceding date on which such a sale was so reported; (b) if the shares of Common Stock are not so listed, but are quoted on an automated quotation system, the closing sales price per share of Common Stock reported on the automated quotation system on that date, or, if there shall have been no such sale so reported on that date, on the last preceding date on which such a sale was so reported; (c) if the Common Stock is not so listed or quoted, the mean between the closing bid and asked price on that date, or, if there are no quotations available for such date, on the last preceding date on which such quotations shall be available, as reported by the OTCQX, OTCQB or OTC Pink (Pink Open Market); or (d) if none of the above is applicable, such amount as may be determined by the Committee (acting on the advice of an Independent Third Party, should the Committee elect in its sole discretion to utilize an Independent Third Party for this purpose), in good faith, to be the fair market value per share of Common Stock. The determination of Fair Market Value shall, where applicable, be in compliance with Section 409A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2.22</w:t>
      </w:r>
    </w:p>
    <w:p>
      <w:pPr>
        <w:pStyle w:val="TextBody"/>
        <w:bidi w:val="0"/>
        <w:spacing w:before="0" w:after="240"/>
        <w:jc w:val="both"/>
        <w:rPr/>
      </w:pPr>
      <w:r>
        <w:rPr>
          <w:color w:val="000000"/>
        </w:rPr>
        <w:t>“</w:t>
      </w:r>
      <w:r>
        <w:rPr>
          <w:rFonts w:ascii="Times New Roman" w:hAnsi="Times New Roman"/>
          <w:b/>
          <w:i/>
          <w:color w:val="000000"/>
          <w:sz w:val="22"/>
        </w:rPr>
        <w:t>Immediate Family Members</w:t>
      </w:r>
      <w:r>
        <w:rPr>
          <w:color w:val="000000"/>
        </w:rPr>
        <w:t xml:space="preserve">” </w:t>
      </w:r>
      <w:r>
        <w:rPr>
          <w:rFonts w:ascii="Times New Roman" w:hAnsi="Times New Roman"/>
          <w:color w:val="000000"/>
          <w:sz w:val="22"/>
        </w:rPr>
        <w:t xml:space="preserve">is defined in </w:t>
      </w:r>
      <w:r>
        <w:rPr>
          <w:rFonts w:ascii="Times New Roman" w:hAnsi="Times New Roman"/>
          <w:color w:val="000000"/>
          <w:sz w:val="22"/>
          <w:u w:val="single"/>
        </w:rPr>
        <w:t>Section 15.8</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2.23</w:t>
      </w:r>
    </w:p>
    <w:p>
      <w:pPr>
        <w:pStyle w:val="TextBody"/>
        <w:bidi w:val="0"/>
        <w:spacing w:before="0" w:after="240"/>
        <w:jc w:val="both"/>
        <w:rPr/>
      </w:pPr>
      <w:r>
        <w:rPr>
          <w:color w:val="000000"/>
        </w:rPr>
        <w:t>“</w:t>
      </w:r>
      <w:r>
        <w:rPr>
          <w:rFonts w:ascii="Times New Roman" w:hAnsi="Times New Roman"/>
          <w:b/>
          <w:i/>
          <w:color w:val="000000"/>
          <w:sz w:val="22"/>
        </w:rPr>
        <w:t>Incentive</w:t>
      </w:r>
      <w:r>
        <w:rPr>
          <w:color w:val="000000"/>
        </w:rPr>
        <w:t xml:space="preserve">” </w:t>
      </w:r>
      <w:r>
        <w:rPr>
          <w:rFonts w:ascii="Times New Roman" w:hAnsi="Times New Roman"/>
          <w:color w:val="000000"/>
          <w:sz w:val="22"/>
        </w:rPr>
        <w:t xml:space="preserve">is defined in </w:t>
      </w:r>
      <w:r>
        <w:rPr>
          <w:rFonts w:ascii="Times New Roman" w:hAnsi="Times New Roman"/>
          <w:color w:val="000000"/>
          <w:sz w:val="22"/>
          <w:u w:val="single"/>
        </w:rPr>
        <w:t>Section 2.3</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2.24</w:t>
      </w:r>
    </w:p>
    <w:p>
      <w:pPr>
        <w:pStyle w:val="TextBody"/>
        <w:bidi w:val="0"/>
        <w:spacing w:before="0" w:after="240"/>
        <w:jc w:val="both"/>
        <w:rPr/>
      </w:pPr>
      <w:r>
        <w:rPr>
          <w:color w:val="000000"/>
        </w:rPr>
        <w:t>“</w:t>
      </w:r>
      <w:r>
        <w:rPr>
          <w:rFonts w:ascii="Times New Roman" w:hAnsi="Times New Roman"/>
          <w:b/>
          <w:i/>
          <w:color w:val="000000"/>
          <w:sz w:val="22"/>
        </w:rPr>
        <w:t>Incentive Stock Option</w:t>
      </w:r>
      <w:r>
        <w:rPr>
          <w:color w:val="000000"/>
        </w:rPr>
        <w:t xml:space="preserve">” </w:t>
      </w:r>
      <w:r>
        <w:rPr>
          <w:rFonts w:ascii="Times New Roman" w:hAnsi="Times New Roman"/>
          <w:color w:val="000000"/>
          <w:sz w:val="22"/>
        </w:rPr>
        <w:t>means an incentive stock option within the meaning of Section 422 of the Code, granted pursuant to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2.25</w:t>
      </w:r>
    </w:p>
    <w:p>
      <w:pPr>
        <w:pStyle w:val="TextBody"/>
        <w:bidi w:val="0"/>
        <w:spacing w:before="0" w:after="240"/>
        <w:jc w:val="both"/>
        <w:rPr/>
      </w:pPr>
      <w:r>
        <w:rPr>
          <w:color w:val="000000"/>
        </w:rPr>
        <w:t>“</w:t>
      </w:r>
      <w:r>
        <w:rPr>
          <w:rFonts w:ascii="Times New Roman" w:hAnsi="Times New Roman"/>
          <w:b/>
          <w:i/>
          <w:color w:val="000000"/>
          <w:sz w:val="22"/>
        </w:rPr>
        <w:t>Independent Third Party</w:t>
      </w:r>
      <w:r>
        <w:rPr>
          <w:color w:val="000000"/>
        </w:rPr>
        <w:t xml:space="preserve">” </w:t>
      </w:r>
      <w:r>
        <w:rPr>
          <w:rFonts w:ascii="Times New Roman" w:hAnsi="Times New Roman"/>
          <w:color w:val="000000"/>
          <w:sz w:val="22"/>
        </w:rPr>
        <w:t>means an individual or entity independent of the Company having experience in providing investment banking or similar appraisal or valuation services and with expertise generally in the valuation of securities or other property for purposes of this Plan. The Committee may utilize one or more Independent Third Parties.</w:t>
      </w:r>
    </w:p>
    <w:p>
      <w:pPr>
        <w:pStyle w:val="TextBody"/>
        <w:bidi w:val="0"/>
        <w:jc w:val="center"/>
        <w:rPr>
          <w:rFonts w:ascii="Times New Roman" w:hAnsi="Times New Roman"/>
          <w:color w:val="000000"/>
          <w:sz w:val="22"/>
        </w:rPr>
      </w:pPr>
      <w:r>
        <w:rPr>
          <w:rFonts w:ascii="Times New Roman" w:hAnsi="Times New Roman"/>
          <w:color w:val="000000"/>
          <w:sz w:val="22"/>
        </w:rPr>
        <w:t>B-4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2.26</w:t>
      </w:r>
    </w:p>
    <w:p>
      <w:pPr>
        <w:pStyle w:val="TextBody"/>
        <w:bidi w:val="0"/>
        <w:spacing w:before="0" w:after="240"/>
        <w:jc w:val="both"/>
        <w:rPr/>
      </w:pPr>
      <w:r>
        <w:rPr>
          <w:color w:val="000000"/>
        </w:rPr>
        <w:t>“</w:t>
      </w:r>
      <w:r>
        <w:rPr>
          <w:rFonts w:ascii="Times New Roman" w:hAnsi="Times New Roman"/>
          <w:b/>
          <w:i/>
          <w:color w:val="000000"/>
          <w:sz w:val="22"/>
        </w:rPr>
        <w:t>Nonqualified Stock Option</w:t>
      </w:r>
      <w:r>
        <w:rPr>
          <w:color w:val="000000"/>
        </w:rPr>
        <w:t xml:space="preserve">” </w:t>
      </w:r>
      <w:r>
        <w:rPr>
          <w:rFonts w:ascii="Times New Roman" w:hAnsi="Times New Roman"/>
          <w:color w:val="000000"/>
          <w:sz w:val="22"/>
        </w:rPr>
        <w:t>means a nonqualified stock option, granted pursuant to this Plan, which is not an Incentive Stock Option.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2.27</w:t>
      </w:r>
    </w:p>
    <w:p>
      <w:pPr>
        <w:pStyle w:val="TextBody"/>
        <w:bidi w:val="0"/>
        <w:spacing w:before="0" w:after="240"/>
        <w:jc w:val="both"/>
        <w:rPr/>
      </w:pPr>
      <w:r>
        <w:rPr>
          <w:color w:val="000000"/>
        </w:rPr>
        <w:t>“</w:t>
      </w:r>
      <w:r>
        <w:rPr>
          <w:rFonts w:ascii="Times New Roman" w:hAnsi="Times New Roman"/>
          <w:b/>
          <w:i/>
          <w:color w:val="000000"/>
          <w:sz w:val="22"/>
        </w:rPr>
        <w:t>Option Price</w:t>
      </w:r>
      <w:r>
        <w:rPr>
          <w:color w:val="000000"/>
        </w:rPr>
        <w:t xml:space="preserve">” </w:t>
      </w:r>
      <w:r>
        <w:rPr>
          <w:rFonts w:ascii="Times New Roman" w:hAnsi="Times New Roman"/>
          <w:color w:val="000000"/>
          <w:sz w:val="22"/>
        </w:rPr>
        <w:t>means the price which must be paid by a Participant upon exercise of a Stock Option to purchase a share of Common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2.28</w:t>
      </w:r>
    </w:p>
    <w:p>
      <w:pPr>
        <w:pStyle w:val="TextBody"/>
        <w:bidi w:val="0"/>
        <w:spacing w:before="0" w:after="240"/>
        <w:jc w:val="both"/>
        <w:rPr/>
      </w:pPr>
      <w:r>
        <w:rPr>
          <w:color w:val="000000"/>
        </w:rPr>
        <w:t>“</w:t>
      </w:r>
      <w:r>
        <w:rPr>
          <w:rFonts w:ascii="Times New Roman" w:hAnsi="Times New Roman"/>
          <w:b/>
          <w:i/>
          <w:color w:val="000000"/>
          <w:sz w:val="22"/>
        </w:rPr>
        <w:t>Other Award</w:t>
      </w:r>
      <w:r>
        <w:rPr>
          <w:color w:val="000000"/>
        </w:rPr>
        <w:t xml:space="preserve">” </w:t>
      </w:r>
      <w:r>
        <w:rPr>
          <w:rFonts w:ascii="Times New Roman" w:hAnsi="Times New Roman"/>
          <w:color w:val="000000"/>
          <w:sz w:val="22"/>
        </w:rPr>
        <w:t xml:space="preserve">means an Award issued pursuant to </w:t>
      </w:r>
      <w:r>
        <w:rPr>
          <w:rFonts w:ascii="Times New Roman" w:hAnsi="Times New Roman"/>
          <w:color w:val="000000"/>
          <w:sz w:val="22"/>
          <w:u w:val="single"/>
        </w:rPr>
        <w:t>Section 6.9</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2.29</w:t>
      </w:r>
    </w:p>
    <w:p>
      <w:pPr>
        <w:pStyle w:val="TextBody"/>
        <w:bidi w:val="0"/>
        <w:spacing w:before="0" w:after="240"/>
        <w:jc w:val="both"/>
        <w:rPr/>
      </w:pPr>
      <w:r>
        <w:rPr>
          <w:color w:val="000000"/>
        </w:rPr>
        <w:t>“</w:t>
      </w:r>
      <w:r>
        <w:rPr>
          <w:rFonts w:ascii="Times New Roman" w:hAnsi="Times New Roman"/>
          <w:b/>
          <w:i/>
          <w:color w:val="000000"/>
          <w:sz w:val="22"/>
        </w:rPr>
        <w:t>Outside Director</w:t>
      </w:r>
      <w:r>
        <w:rPr>
          <w:color w:val="000000"/>
        </w:rPr>
        <w:t xml:space="preserve">” </w:t>
      </w:r>
      <w:r>
        <w:rPr>
          <w:rFonts w:ascii="Times New Roman" w:hAnsi="Times New Roman"/>
          <w:color w:val="000000"/>
          <w:sz w:val="22"/>
        </w:rPr>
        <w:t>means a director of the Company who is not an Employee or a Contractor.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2.30</w:t>
      </w:r>
    </w:p>
    <w:p>
      <w:pPr>
        <w:pStyle w:val="TextBody"/>
        <w:bidi w:val="0"/>
        <w:spacing w:before="0" w:after="240"/>
        <w:jc w:val="both"/>
        <w:rPr/>
      </w:pPr>
      <w:r>
        <w:rPr>
          <w:color w:val="000000"/>
        </w:rPr>
        <w:t>“</w:t>
      </w:r>
      <w:r>
        <w:rPr>
          <w:rFonts w:ascii="Times New Roman" w:hAnsi="Times New Roman"/>
          <w:b/>
          <w:i/>
          <w:color w:val="000000"/>
          <w:sz w:val="22"/>
        </w:rPr>
        <w:t>Participant</w:t>
      </w:r>
      <w:r>
        <w:rPr>
          <w:color w:val="000000"/>
        </w:rPr>
        <w:t xml:space="preserve">” </w:t>
      </w:r>
      <w:r>
        <w:rPr>
          <w:rFonts w:ascii="Times New Roman" w:hAnsi="Times New Roman"/>
          <w:color w:val="000000"/>
          <w:sz w:val="22"/>
        </w:rPr>
        <w:t>means an Employee, Contractor or an Outside Director to whom an Award is granted under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2.31</w:t>
      </w:r>
    </w:p>
    <w:p>
      <w:pPr>
        <w:pStyle w:val="TextBody"/>
        <w:bidi w:val="0"/>
        <w:spacing w:before="0" w:after="240"/>
        <w:jc w:val="both"/>
        <w:rPr/>
      </w:pPr>
      <w:r>
        <w:rPr>
          <w:color w:val="000000"/>
        </w:rPr>
        <w:t>“</w:t>
      </w:r>
      <w:r>
        <w:rPr>
          <w:rFonts w:ascii="Times New Roman" w:hAnsi="Times New Roman"/>
          <w:b/>
          <w:i/>
          <w:color w:val="000000"/>
          <w:sz w:val="22"/>
        </w:rPr>
        <w:t>Performance Award</w:t>
      </w:r>
      <w:r>
        <w:rPr>
          <w:color w:val="000000"/>
        </w:rPr>
        <w:t xml:space="preserve">” </w:t>
      </w:r>
      <w:r>
        <w:rPr>
          <w:rFonts w:ascii="Times New Roman" w:hAnsi="Times New Roman"/>
          <w:color w:val="000000"/>
          <w:sz w:val="22"/>
        </w:rPr>
        <w:t xml:space="preserve">means an Award hereunder of cash, shares of Common Stock, units or rights based upon, payable in, or otherwise related to, Common Stock pursuant to </w:t>
      </w:r>
      <w:r>
        <w:rPr>
          <w:rFonts w:ascii="Times New Roman" w:hAnsi="Times New Roman"/>
          <w:color w:val="000000"/>
          <w:sz w:val="22"/>
          <w:u w:val="single"/>
        </w:rPr>
        <w:t>Section 6.7</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2.32</w:t>
      </w:r>
    </w:p>
    <w:p>
      <w:pPr>
        <w:pStyle w:val="TextBody"/>
        <w:bidi w:val="0"/>
        <w:spacing w:before="0" w:after="240"/>
        <w:jc w:val="both"/>
        <w:rPr/>
      </w:pPr>
      <w:r>
        <w:rPr>
          <w:color w:val="000000"/>
        </w:rPr>
        <w:t>“</w:t>
      </w:r>
      <w:r>
        <w:rPr>
          <w:rFonts w:ascii="Times New Roman" w:hAnsi="Times New Roman"/>
          <w:b/>
          <w:i/>
          <w:color w:val="000000"/>
          <w:sz w:val="22"/>
        </w:rPr>
        <w:t>Performance Goal</w:t>
      </w:r>
      <w:r>
        <w:rPr>
          <w:color w:val="000000"/>
        </w:rPr>
        <w:t xml:space="preserve">” </w:t>
      </w:r>
      <w:r>
        <w:rPr>
          <w:rFonts w:ascii="Times New Roman" w:hAnsi="Times New Roman"/>
          <w:color w:val="000000"/>
          <w:sz w:val="22"/>
        </w:rPr>
        <w:t>means any of the performance goals relating to one or more business or individual performance criteria established by the Committee in its sole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2.33</w:t>
      </w:r>
    </w:p>
    <w:p>
      <w:pPr>
        <w:pStyle w:val="TextBody"/>
        <w:bidi w:val="0"/>
        <w:spacing w:before="0" w:after="240"/>
        <w:jc w:val="both"/>
        <w:rPr/>
      </w:pPr>
      <w:r>
        <w:rPr>
          <w:color w:val="000000"/>
        </w:rPr>
        <w:t>“</w:t>
      </w:r>
      <w:r>
        <w:rPr>
          <w:rFonts w:ascii="Times New Roman" w:hAnsi="Times New Roman"/>
          <w:b/>
          <w:i/>
          <w:color w:val="000000"/>
          <w:sz w:val="22"/>
        </w:rPr>
        <w:t>Plan</w:t>
      </w:r>
      <w:r>
        <w:rPr>
          <w:color w:val="000000"/>
        </w:rPr>
        <w:t xml:space="preserve">” </w:t>
      </w:r>
      <w:r>
        <w:rPr>
          <w:rFonts w:ascii="Times New Roman" w:hAnsi="Times New Roman"/>
          <w:color w:val="000000"/>
          <w:sz w:val="22"/>
        </w:rPr>
        <w:t>means this LSB Industries, Inc. 2025</w:t>
      </w:r>
      <w:r>
        <w:rPr>
          <w:color w:val="000000"/>
        </w:rPr>
        <w:t xml:space="preserve"> </w:t>
      </w:r>
      <w:r>
        <w:rPr>
          <w:rFonts w:ascii="Times New Roman" w:hAnsi="Times New Roman"/>
          <w:color w:val="000000"/>
          <w:sz w:val="22"/>
        </w:rPr>
        <w:t>Long-Term Incentive Plan, as amended from time to time.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2.34</w:t>
      </w:r>
    </w:p>
    <w:p>
      <w:pPr>
        <w:pStyle w:val="TextBody"/>
        <w:bidi w:val="0"/>
        <w:spacing w:before="0" w:after="240"/>
        <w:jc w:val="both"/>
        <w:rPr/>
      </w:pPr>
      <w:r>
        <w:rPr>
          <w:color w:val="000000"/>
        </w:rPr>
        <w:t>“</w:t>
      </w:r>
      <w:r>
        <w:rPr>
          <w:rFonts w:ascii="Times New Roman" w:hAnsi="Times New Roman"/>
          <w:b/>
          <w:i/>
          <w:color w:val="000000"/>
          <w:sz w:val="22"/>
        </w:rPr>
        <w:t>Prior Plans</w:t>
      </w:r>
      <w:r>
        <w:rPr>
          <w:color w:val="000000"/>
        </w:rPr>
        <w:t xml:space="preserve">” </w:t>
      </w:r>
      <w:r>
        <w:rPr>
          <w:rFonts w:ascii="Times New Roman" w:hAnsi="Times New Roman"/>
          <w:color w:val="000000"/>
          <w:sz w:val="22"/>
        </w:rPr>
        <w:t>mean the LSB Industries, Inc. 2008 Incentive Stock Plan, as amended effective June 5, 2014 and LSB Industries, Inc. 2016 Long Term Incentive Plan, as amended and restated March 4, 2021.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2.35</w:t>
      </w:r>
    </w:p>
    <w:p>
      <w:pPr>
        <w:pStyle w:val="TextBody"/>
        <w:bidi w:val="0"/>
        <w:spacing w:before="0" w:after="240"/>
        <w:jc w:val="both"/>
        <w:rPr/>
      </w:pPr>
      <w:r>
        <w:rPr>
          <w:color w:val="000000"/>
        </w:rPr>
        <w:t>“</w:t>
      </w:r>
      <w:r>
        <w:rPr>
          <w:rFonts w:ascii="Times New Roman" w:hAnsi="Times New Roman"/>
          <w:b/>
          <w:i/>
          <w:color w:val="000000"/>
          <w:sz w:val="22"/>
        </w:rPr>
        <w:t>Prior Plan Awards</w:t>
      </w:r>
      <w:r>
        <w:rPr>
          <w:color w:val="000000"/>
        </w:rPr>
        <w:t xml:space="preserve">” </w:t>
      </w:r>
      <w:r>
        <w:rPr>
          <w:rFonts w:ascii="Times New Roman" w:hAnsi="Times New Roman"/>
          <w:color w:val="000000"/>
          <w:sz w:val="22"/>
        </w:rPr>
        <w:t xml:space="preserve">means any awards that are outstanding under any Prior Plan immediately prior to the Effective Date.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2.36</w:t>
      </w:r>
    </w:p>
    <w:p>
      <w:pPr>
        <w:pStyle w:val="TextBody"/>
        <w:bidi w:val="0"/>
        <w:spacing w:before="0" w:after="240"/>
        <w:jc w:val="both"/>
        <w:rPr/>
      </w:pPr>
      <w:r>
        <w:rPr>
          <w:color w:val="000000"/>
        </w:rPr>
        <w:t>“</w:t>
      </w:r>
      <w:r>
        <w:rPr>
          <w:rFonts w:ascii="Times New Roman" w:hAnsi="Times New Roman"/>
          <w:b/>
          <w:i/>
          <w:color w:val="000000"/>
          <w:sz w:val="22"/>
        </w:rPr>
        <w:t>Reporting Participant</w:t>
      </w:r>
      <w:r>
        <w:rPr>
          <w:color w:val="000000"/>
        </w:rPr>
        <w:t xml:space="preserve">” </w:t>
      </w:r>
      <w:r>
        <w:rPr>
          <w:rFonts w:ascii="Times New Roman" w:hAnsi="Times New Roman"/>
          <w:color w:val="000000"/>
          <w:sz w:val="22"/>
        </w:rPr>
        <w:t>means a Participant who is subject to the reporting requirements of Section 16 of the Exchange Act.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2.37</w:t>
      </w:r>
    </w:p>
    <w:p>
      <w:pPr>
        <w:pStyle w:val="TextBody"/>
        <w:bidi w:val="0"/>
        <w:spacing w:before="0" w:after="240"/>
        <w:jc w:val="both"/>
        <w:rPr/>
      </w:pPr>
      <w:r>
        <w:rPr>
          <w:color w:val="000000"/>
        </w:rPr>
        <w:t>“</w:t>
      </w:r>
      <w:r>
        <w:rPr>
          <w:rFonts w:ascii="Times New Roman" w:hAnsi="Times New Roman"/>
          <w:b/>
          <w:i/>
          <w:color w:val="000000"/>
          <w:sz w:val="22"/>
        </w:rPr>
        <w:t>Restricted Stock</w:t>
      </w:r>
      <w:r>
        <w:rPr>
          <w:color w:val="000000"/>
        </w:rPr>
        <w:t xml:space="preserve">” </w:t>
      </w:r>
      <w:r>
        <w:rPr>
          <w:rFonts w:ascii="Times New Roman" w:hAnsi="Times New Roman"/>
          <w:color w:val="000000"/>
          <w:sz w:val="22"/>
        </w:rPr>
        <w:t xml:space="preserve">means shares of Common Stock issued or transferred to a Participant pursuant to </w:t>
      </w:r>
      <w:r>
        <w:rPr>
          <w:rFonts w:ascii="Times New Roman" w:hAnsi="Times New Roman"/>
          <w:color w:val="000000"/>
          <w:sz w:val="22"/>
          <w:u w:val="single"/>
        </w:rPr>
        <w:t>Section 6.4</w:t>
      </w:r>
      <w:r>
        <w:rPr>
          <w:color w:val="000000"/>
        </w:rPr>
        <w:t xml:space="preserve"> </w:t>
      </w:r>
      <w:r>
        <w:rPr>
          <w:rFonts w:ascii="Times New Roman" w:hAnsi="Times New Roman"/>
          <w:color w:val="000000"/>
          <w:sz w:val="22"/>
        </w:rPr>
        <w:t>of this Plan which are subject to restrictions or limitations set forth in this Plan and in the related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2.38</w:t>
      </w:r>
    </w:p>
    <w:p>
      <w:pPr>
        <w:pStyle w:val="TextBody"/>
        <w:bidi w:val="0"/>
        <w:spacing w:before="0" w:after="240"/>
        <w:jc w:val="both"/>
        <w:rPr/>
      </w:pPr>
      <w:r>
        <w:rPr>
          <w:color w:val="000000"/>
        </w:rPr>
        <w:t>“</w:t>
      </w:r>
      <w:r>
        <w:rPr>
          <w:rFonts w:ascii="Times New Roman" w:hAnsi="Times New Roman"/>
          <w:b/>
          <w:i/>
          <w:color w:val="000000"/>
          <w:sz w:val="22"/>
        </w:rPr>
        <w:t>Restricted Stock Units</w:t>
      </w:r>
      <w:r>
        <w:rPr>
          <w:color w:val="000000"/>
        </w:rPr>
        <w:t xml:space="preserve">” </w:t>
      </w:r>
      <w:r>
        <w:rPr>
          <w:rFonts w:ascii="Times New Roman" w:hAnsi="Times New Roman"/>
          <w:color w:val="000000"/>
          <w:sz w:val="22"/>
        </w:rPr>
        <w:t xml:space="preserve">means units awarded to Participants pursuant to </w:t>
      </w:r>
      <w:r>
        <w:rPr>
          <w:rFonts w:ascii="Times New Roman" w:hAnsi="Times New Roman"/>
          <w:color w:val="000000"/>
          <w:sz w:val="22"/>
          <w:u w:val="single"/>
        </w:rPr>
        <w:t>Section 6.6</w:t>
      </w:r>
      <w:r>
        <w:rPr>
          <w:color w:val="000000"/>
        </w:rPr>
        <w:t xml:space="preserve"> </w:t>
      </w:r>
      <w:r>
        <w:rPr>
          <w:rFonts w:ascii="Times New Roman" w:hAnsi="Times New Roman"/>
          <w:color w:val="000000"/>
          <w:sz w:val="22"/>
        </w:rPr>
        <w:t>hereof, which are convertible into Common Stock at such time as such units are no longer subject to restrictions as established by the Committee.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2.39</w:t>
      </w:r>
    </w:p>
    <w:p>
      <w:pPr>
        <w:pStyle w:val="TextBody"/>
        <w:bidi w:val="0"/>
        <w:spacing w:before="0" w:after="240"/>
        <w:jc w:val="both"/>
        <w:rPr/>
      </w:pPr>
      <w:r>
        <w:rPr>
          <w:color w:val="000000"/>
        </w:rPr>
        <w:t>“</w:t>
      </w:r>
      <w:r>
        <w:rPr>
          <w:rFonts w:ascii="Times New Roman" w:hAnsi="Times New Roman"/>
          <w:b/>
          <w:i/>
          <w:color w:val="000000"/>
          <w:sz w:val="22"/>
        </w:rPr>
        <w:t>Restriction Period</w:t>
      </w:r>
      <w:r>
        <w:rPr>
          <w:color w:val="000000"/>
        </w:rPr>
        <w:t xml:space="preserve">” </w:t>
      </w:r>
      <w:r>
        <w:rPr>
          <w:rFonts w:ascii="Times New Roman" w:hAnsi="Times New Roman"/>
          <w:color w:val="000000"/>
          <w:sz w:val="22"/>
        </w:rPr>
        <w:t xml:space="preserve">is defined in </w:t>
      </w:r>
      <w:r>
        <w:rPr>
          <w:rFonts w:ascii="Times New Roman" w:hAnsi="Times New Roman"/>
          <w:color w:val="000000"/>
          <w:sz w:val="22"/>
          <w:u w:val="single"/>
        </w:rPr>
        <w:t>Section 6.4(b)(i)</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2.40</w:t>
      </w:r>
    </w:p>
    <w:p>
      <w:pPr>
        <w:pStyle w:val="TextBody"/>
        <w:bidi w:val="0"/>
        <w:spacing w:before="0" w:after="240"/>
        <w:jc w:val="both"/>
        <w:rPr/>
      </w:pPr>
      <w:r>
        <w:rPr>
          <w:color w:val="000000"/>
        </w:rPr>
        <w:t>“</w:t>
      </w:r>
      <w:r>
        <w:rPr>
          <w:rFonts w:ascii="Times New Roman" w:hAnsi="Times New Roman"/>
          <w:b/>
          <w:i/>
          <w:color w:val="000000"/>
          <w:sz w:val="22"/>
        </w:rPr>
        <w:t>SAR</w:t>
      </w:r>
      <w:r>
        <w:rPr>
          <w:color w:val="000000"/>
        </w:rPr>
        <w:t xml:space="preserve">” </w:t>
      </w:r>
      <w:r>
        <w:rPr>
          <w:rFonts w:ascii="Times New Roman" w:hAnsi="Times New Roman"/>
          <w:color w:val="000000"/>
          <w:sz w:val="22"/>
        </w:rPr>
        <w:t>or “</w:t>
      </w:r>
      <w:r>
        <w:rPr>
          <w:rFonts w:ascii="Times New Roman" w:hAnsi="Times New Roman"/>
          <w:b/>
          <w:color w:val="000000"/>
          <w:sz w:val="22"/>
        </w:rPr>
        <w:t>S</w:t>
      </w:r>
      <w:r>
        <w:rPr>
          <w:rFonts w:ascii="Times New Roman" w:hAnsi="Times New Roman"/>
          <w:b/>
          <w:i/>
          <w:color w:val="000000"/>
          <w:sz w:val="22"/>
        </w:rPr>
        <w:t>tock Appreciation Right</w:t>
      </w:r>
      <w:r>
        <w:rPr>
          <w:color w:val="000000"/>
        </w:rPr>
        <w:t xml:space="preserve">” </w:t>
      </w:r>
      <w:r>
        <w:rPr>
          <w:rFonts w:ascii="Times New Roman" w:hAnsi="Times New Roman"/>
          <w:color w:val="000000"/>
          <w:sz w:val="22"/>
        </w:rPr>
        <w:t>means the right to receive an amount, in cash and/or Common Stock, equal to the excess of the Fair Market Value of a specified number of shares of Common Stock as of the date the SAR is exercised (or, as provided in the Award Agreement, converted) over the SAR Price for such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2.41</w:t>
      </w:r>
    </w:p>
    <w:p>
      <w:pPr>
        <w:pStyle w:val="TextBody"/>
        <w:bidi w:val="0"/>
        <w:spacing w:before="0" w:after="240"/>
        <w:jc w:val="both"/>
        <w:rPr/>
      </w:pPr>
      <w:r>
        <w:rPr>
          <w:color w:val="000000"/>
        </w:rPr>
        <w:t>“</w:t>
      </w:r>
      <w:r>
        <w:rPr>
          <w:rFonts w:ascii="Times New Roman" w:hAnsi="Times New Roman"/>
          <w:b/>
          <w:i/>
          <w:color w:val="000000"/>
          <w:sz w:val="22"/>
        </w:rPr>
        <w:t>SAR Price</w:t>
      </w:r>
      <w:r>
        <w:rPr>
          <w:color w:val="000000"/>
        </w:rPr>
        <w:t xml:space="preserve">” </w:t>
      </w:r>
      <w:r>
        <w:rPr>
          <w:rFonts w:ascii="Times New Roman" w:hAnsi="Times New Roman"/>
          <w:color w:val="000000"/>
          <w:sz w:val="22"/>
        </w:rPr>
        <w:t>means the exercise price or conversion price of each share of Common Stock covered by a SAR, determined on the Date of Grant of the SAR.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2.42</w:t>
      </w:r>
    </w:p>
    <w:p>
      <w:pPr>
        <w:pStyle w:val="TextBody"/>
        <w:bidi w:val="0"/>
        <w:spacing w:before="0" w:after="240"/>
        <w:jc w:val="both"/>
        <w:rPr/>
      </w:pPr>
      <w:r>
        <w:rPr>
          <w:color w:val="000000"/>
        </w:rPr>
        <w:t>“</w:t>
      </w:r>
      <w:r>
        <w:rPr>
          <w:rFonts w:ascii="Times New Roman" w:hAnsi="Times New Roman"/>
          <w:b/>
          <w:i/>
          <w:color w:val="000000"/>
          <w:sz w:val="22"/>
        </w:rPr>
        <w:t>Spread</w:t>
      </w:r>
      <w:r>
        <w:rPr>
          <w:color w:val="000000"/>
        </w:rPr>
        <w:t xml:space="preserve">” </w:t>
      </w:r>
      <w:r>
        <w:rPr>
          <w:rFonts w:ascii="Times New Roman" w:hAnsi="Times New Roman"/>
          <w:color w:val="000000"/>
          <w:sz w:val="22"/>
        </w:rPr>
        <w:t xml:space="preserve">is defined in </w:t>
      </w:r>
      <w:r>
        <w:rPr>
          <w:rFonts w:ascii="Times New Roman" w:hAnsi="Times New Roman"/>
          <w:color w:val="000000"/>
          <w:sz w:val="22"/>
          <w:u w:val="single"/>
        </w:rPr>
        <w:t>Section 12.4(b)</w:t>
      </w:r>
      <w:r>
        <w:rPr>
          <w:color w:val="000000"/>
        </w:rPr>
        <w:t xml:space="preserve"> </w:t>
      </w:r>
      <w:r>
        <w:rPr>
          <w:rFonts w:ascii="Times New Roman" w:hAnsi="Times New Roman"/>
          <w:color w:val="000000"/>
          <w:sz w:val="22"/>
        </w:rPr>
        <w:t>hereof.</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2.43</w:t>
      </w:r>
    </w:p>
    <w:p>
      <w:pPr>
        <w:pStyle w:val="TextBody"/>
        <w:bidi w:val="0"/>
        <w:spacing w:before="0" w:after="240"/>
        <w:jc w:val="both"/>
        <w:rPr/>
      </w:pPr>
      <w:r>
        <w:rPr>
          <w:color w:val="000000"/>
        </w:rPr>
        <w:t>“</w:t>
      </w:r>
      <w:r>
        <w:rPr>
          <w:rFonts w:ascii="Times New Roman" w:hAnsi="Times New Roman"/>
          <w:b/>
          <w:i/>
          <w:color w:val="000000"/>
          <w:sz w:val="22"/>
        </w:rPr>
        <w:t>Stock Option</w:t>
      </w:r>
      <w:r>
        <w:rPr>
          <w:color w:val="000000"/>
        </w:rPr>
        <w:t xml:space="preserve">” </w:t>
      </w:r>
      <w:r>
        <w:rPr>
          <w:rFonts w:ascii="Times New Roman" w:hAnsi="Times New Roman"/>
          <w:color w:val="000000"/>
          <w:sz w:val="22"/>
        </w:rPr>
        <w:t>means a Nonqualified Stock Option or an Incentive Stock Option.</w:t>
      </w:r>
    </w:p>
    <w:p>
      <w:pPr>
        <w:pStyle w:val="TextBody"/>
        <w:bidi w:val="0"/>
        <w:jc w:val="center"/>
        <w:rPr>
          <w:rFonts w:ascii="Times New Roman" w:hAnsi="Times New Roman"/>
          <w:color w:val="000000"/>
          <w:sz w:val="22"/>
        </w:rPr>
      </w:pPr>
      <w:r>
        <w:rPr>
          <w:rFonts w:ascii="Times New Roman" w:hAnsi="Times New Roman"/>
          <w:color w:val="000000"/>
          <w:sz w:val="22"/>
        </w:rPr>
        <w:t>B-5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2.44</w:t>
      </w:r>
    </w:p>
    <w:p>
      <w:pPr>
        <w:pStyle w:val="TextBody"/>
        <w:bidi w:val="0"/>
        <w:spacing w:before="0" w:after="240"/>
        <w:jc w:val="both"/>
        <w:rPr/>
      </w:pPr>
      <w:r>
        <w:rPr>
          <w:color w:val="000000"/>
        </w:rPr>
        <w:t>“</w:t>
      </w:r>
      <w:r>
        <w:rPr>
          <w:rFonts w:ascii="Times New Roman" w:hAnsi="Times New Roman"/>
          <w:b/>
          <w:i/>
          <w:color w:val="000000"/>
          <w:sz w:val="22"/>
        </w:rPr>
        <w:t>Subsidiary</w:t>
      </w:r>
      <w:r>
        <w:rPr>
          <w:color w:val="000000"/>
        </w:rPr>
        <w:t xml:space="preserve">” </w:t>
      </w:r>
      <w:r>
        <w:rPr>
          <w:rFonts w:ascii="Times New Roman" w:hAnsi="Times New Roman"/>
          <w:color w:val="000000"/>
          <w:sz w:val="22"/>
        </w:rPr>
        <w:t>means (a) any corporation in an unbroken chain of corporations beginning with the Company, if each of the corporations other than the last corporation in the unbroken chain owns stock possessing a majority of the total combined voting power of all classes of stock in one of the other corporations in the chain, (b) any limited partnership, if the Company or any corporation described in item (a) above owns a majority of the general partnership interest and a majority of the limited partnership interests entitled to vote on the removal and replacement of the general partner, and (c) any partnership or limited liability company, if the partners or members thereof are composed only of the Company, any corporation listed in item (a) above or any limited partnership listed in item (b) above. “</w:t>
      </w:r>
      <w:r>
        <w:rPr>
          <w:rFonts w:ascii="Times New Roman" w:hAnsi="Times New Roman"/>
          <w:b/>
          <w:i/>
          <w:color w:val="000000"/>
          <w:sz w:val="22"/>
        </w:rPr>
        <w:t>Subsidiaries</w:t>
      </w:r>
      <w:r>
        <w:rPr>
          <w:color w:val="000000"/>
        </w:rPr>
        <w:t xml:space="preserve">” </w:t>
      </w:r>
      <w:r>
        <w:rPr>
          <w:rFonts w:ascii="Times New Roman" w:hAnsi="Times New Roman"/>
          <w:color w:val="000000"/>
          <w:sz w:val="22"/>
        </w:rPr>
        <w:t>means more than one of any such corporations, limited partnerships, partnerships or limited liability companies.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2.45</w:t>
      </w:r>
    </w:p>
    <w:p>
      <w:pPr>
        <w:pStyle w:val="TextBody"/>
        <w:bidi w:val="0"/>
        <w:spacing w:before="0" w:after="240"/>
        <w:jc w:val="both"/>
        <w:rPr/>
      </w:pPr>
      <w:r>
        <w:rPr>
          <w:color w:val="000000"/>
        </w:rPr>
        <w:t>“</w:t>
      </w:r>
      <w:r>
        <w:rPr>
          <w:rFonts w:ascii="Times New Roman" w:hAnsi="Times New Roman"/>
          <w:b/>
          <w:i/>
          <w:color w:val="000000"/>
          <w:sz w:val="22"/>
        </w:rPr>
        <w:t>Termination of Service</w:t>
      </w:r>
      <w:r>
        <w:rPr>
          <w:color w:val="000000"/>
        </w:rPr>
        <w:t xml:space="preserve">” </w:t>
      </w:r>
      <w:r>
        <w:rPr>
          <w:rFonts w:ascii="Times New Roman" w:hAnsi="Times New Roman"/>
          <w:color w:val="000000"/>
          <w:sz w:val="22"/>
        </w:rPr>
        <w:t xml:space="preserve">occurs when a Participant who is (a) an Employee of the Company or any Subsidiary ceases to serve as an Employee of the Company and its Subsidiaries, for any reason; (b) an Outside Director of the Company or a Subsidiary ceases to serve as a director of the Company and its Subsidiaries for any reason; or (c) a Contractor of the Company or a Subsidiary ceases to serve as a Contractor of the Company and its Subsidiaries for any reason. Except as may be necessary or desirable to comply with applicable federal or state law or as otherwise may be provided by a Participant’s Award Agreement, a “Termination of Service” shall not be deemed to have occurred when a Participant who is an Employee becomes an Outside Director or Contractor or vice versa. If, however, a Participant who is an Employee and who has an Incentive Stock Option ceases to be an Employee but does not suffer a Termination of Service, and if that Participant does not exercise the Incentive Stock Option within the time required under Section 422 of the Code upon ceasing to be an Employee, the Incentive Stock Option shall thereafter become a Nonqualified Stock Option. Notwithstanding the foregoing provisions of this </w:t>
      </w:r>
      <w:r>
        <w:rPr>
          <w:rFonts w:ascii="Times New Roman" w:hAnsi="Times New Roman"/>
          <w:color w:val="000000"/>
          <w:sz w:val="22"/>
          <w:u w:val="single"/>
        </w:rPr>
        <w:t>Section 2.45</w:t>
      </w:r>
      <w:r>
        <w:rPr>
          <w:rFonts w:ascii="Times New Roman" w:hAnsi="Times New Roman"/>
          <w:color w:val="000000"/>
          <w:sz w:val="22"/>
        </w:rPr>
        <w:t>, in the event an Award issued under the Plan is subject to Section 409A of the Code, then, in lieu of the foregoing definition and to the extent necessary to comply with the requirements of Section 409A of the Code, the definition of “Termination of Service” for purposes of such Award shall be the definition of “separation from service” provided for under Section 409A of the Code and the regulations or other guidance issued thereunder.</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2.46</w:t>
      </w:r>
    </w:p>
    <w:p>
      <w:pPr>
        <w:pStyle w:val="TextBody"/>
        <w:bidi w:val="0"/>
        <w:spacing w:before="0" w:after="480"/>
        <w:jc w:val="both"/>
        <w:rPr/>
      </w:pPr>
      <w:r>
        <w:rPr>
          <w:color w:val="000000"/>
        </w:rPr>
        <w:t>“</w:t>
      </w:r>
      <w:r>
        <w:rPr>
          <w:rFonts w:ascii="Times New Roman" w:hAnsi="Times New Roman"/>
          <w:b/>
          <w:i/>
          <w:color w:val="000000"/>
          <w:sz w:val="22"/>
        </w:rPr>
        <w:t>Total and Permanent Disability</w:t>
      </w:r>
      <w:r>
        <w:rPr>
          <w:color w:val="000000"/>
        </w:rPr>
        <w:t xml:space="preserve">” </w:t>
      </w:r>
      <w:r>
        <w:rPr>
          <w:rFonts w:ascii="Times New Roman" w:hAnsi="Times New Roman"/>
          <w:color w:val="000000"/>
          <w:sz w:val="22"/>
        </w:rPr>
        <w:t xml:space="preserve">means a Participant is qualified for long-term disability benefits under the Company’s or Subsidiary’s disability plan or insurance policy or under any applicable non-U.S. law; or, if no such plan or policy is then in existence or if the Participant is not eligible to participate in such plan or policy, that the Participant, because of a physical or mental condition resulting from bodily injury, disease, or mental disorder, is unable to perform the Participant’s duties of employment for a period of six continuous months, as determined in good faith by the Committee, based upon medical reports or other evidence satisfactory to the Committee; </w:t>
      </w:r>
      <w:r>
        <w:rPr>
          <w:rFonts w:ascii="Times New Roman" w:hAnsi="Times New Roman"/>
          <w:color w:val="000000"/>
          <w:sz w:val="22"/>
          <w:u w:val="single"/>
        </w:rPr>
        <w:t>provided</w:t>
      </w:r>
      <w:r>
        <w:rPr>
          <w:color w:val="000000"/>
        </w:rPr>
        <w:t xml:space="preserve"> </w:t>
      </w:r>
      <w:r>
        <w:rPr>
          <w:rFonts w:ascii="Times New Roman" w:hAnsi="Times New Roman"/>
          <w:color w:val="000000"/>
          <w:sz w:val="22"/>
          <w:u w:val="single"/>
        </w:rPr>
        <w:t>that</w:t>
      </w:r>
      <w:r>
        <w:rPr>
          <w:rFonts w:ascii="Times New Roman" w:hAnsi="Times New Roman"/>
          <w:color w:val="000000"/>
          <w:sz w:val="22"/>
        </w:rPr>
        <w:t xml:space="preserve">, with respect to any Incentive Stock Option, Total and Permanent Disability shall have the meaning given it under the rules governing Incentive Stock Options under the Code. Notwithstanding the foregoing provisions of this </w:t>
      </w:r>
      <w:r>
        <w:rPr>
          <w:rFonts w:ascii="Times New Roman" w:hAnsi="Times New Roman"/>
          <w:color w:val="000000"/>
          <w:sz w:val="22"/>
          <w:u w:val="single"/>
        </w:rPr>
        <w:t>Section 2.46</w:t>
      </w:r>
      <w:r>
        <w:rPr>
          <w:rFonts w:ascii="Times New Roman" w:hAnsi="Times New Roman"/>
          <w:color w:val="000000"/>
          <w:sz w:val="22"/>
        </w:rPr>
        <w:t>, in the event an Award issued under the Plan is subject to Section 409A of the Code, then, in lieu of the foregoing definition and to the extent necessary to comply with the requirements of Section 409A of the Code, the definition of “Total and Permanent Disability” for purposes of such Award shall be the definition of “disability” provided for under Section 409A of the Code and the regulations or other guidance issued thereunder.</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3.</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ADMINISTRATION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3.1</w:t>
      </w:r>
    </w:p>
    <w:p>
      <w:pPr>
        <w:pStyle w:val="TextBody"/>
        <w:bidi w:val="0"/>
        <w:spacing w:before="0" w:after="240"/>
        <w:jc w:val="both"/>
        <w:rPr/>
      </w:pPr>
      <w:r>
        <w:rPr>
          <w:rFonts w:ascii="Times New Roman" w:hAnsi="Times New Roman"/>
          <w:b/>
          <w:color w:val="000000"/>
          <w:sz w:val="22"/>
        </w:rPr>
        <w:t>General Administration; Establishment of Committee.</w:t>
      </w:r>
      <w:r>
        <w:rPr>
          <w:color w:val="000000"/>
        </w:rPr>
        <w:t xml:space="preserve"> </w:t>
      </w:r>
      <w:r>
        <w:rPr>
          <w:rFonts w:ascii="Times New Roman" w:hAnsi="Times New Roman"/>
          <w:color w:val="000000"/>
          <w:sz w:val="22"/>
        </w:rPr>
        <w:t xml:space="preserve">Subject to the terms of this </w:t>
      </w:r>
      <w:r>
        <w:rPr>
          <w:rFonts w:ascii="Times New Roman" w:hAnsi="Times New Roman"/>
          <w:color w:val="000000"/>
          <w:sz w:val="22"/>
          <w:u w:val="single"/>
        </w:rPr>
        <w:t>Article 3</w:t>
      </w:r>
      <w:r>
        <w:rPr>
          <w:rFonts w:ascii="Times New Roman" w:hAnsi="Times New Roman"/>
          <w:color w:val="000000"/>
          <w:sz w:val="22"/>
        </w:rPr>
        <w:t>, the Plan shall be administered by the Board or the Committee, if a Committee is designated by the Board to administer the Plan. The Committee shall consist of not fewer than two persons, unless there are not two members of the Board who meet the qualification requirements set forth herein to administer the Plan, in which case, the Committee may consist of one person. Any member of the Committee may be removed at any time, with or without cause, by resolution of the Board. Any vacancy occurring in the membership of the Committee may be filled by appointment by the Board. At any time there is no Committee to administer the Plan, any references in this Plan to the Committee shall be deemed to refer to the Board.</w:t>
      </w:r>
    </w:p>
    <w:p>
      <w:pPr>
        <w:pStyle w:val="TextBody"/>
        <w:bidi w:val="0"/>
        <w:jc w:val="center"/>
        <w:rPr>
          <w:rFonts w:ascii="Times New Roman" w:hAnsi="Times New Roman"/>
          <w:color w:val="000000"/>
          <w:sz w:val="22"/>
        </w:rPr>
      </w:pPr>
      <w:r>
        <w:rPr>
          <w:rFonts w:ascii="Times New Roman" w:hAnsi="Times New Roman"/>
          <w:color w:val="000000"/>
          <w:sz w:val="22"/>
        </w:rPr>
        <w:t>B-6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Membership on the Committee shall be limited to those members of the Board who are “non-employee directors” as defined in Rule 16b-3 promulgated under the Exchange Act. The Committee shall select one of its members to act as its Chairman. A majority of the Committee shall constitute a quorum, and the act of a majority of the members of the Committee present at a meeting at which a quorum is present shall be the act of the Committee.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3.2</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Designation of Participants and Awards.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Committee or the Board shall determine and designate from time to time the eligible persons to whom Awards will be granted and shall set forth in each related Award Agreement, where applicable, the Award Period, the Date of Grant, and such other terms, provisions, limitations, and performance requirements, as are approved by the Committee, but not inconsistent with the Plan. The Committee shall determine whether an Award shall include one type of Incentive or two or more Incentives granted in combination or two or more Incentives granted in tandem (that is, a joint grant where exercise of one Incentive results in cancellation of all or a portion of the other Incentive). Although the members of the Committee shall be eligible to receive Awards, all decisions with respect to any Award, and the terms and conditions thereof, to be granted under the Plan to any member of the Committee shall be made solely and exclusively by the other members of the Committee, or if such member is the only member of the Committee, by the Board.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 xml:space="preserve">Notwithstanding </w:t>
      </w:r>
      <w:r>
        <w:rPr>
          <w:rFonts w:ascii="Times New Roman" w:hAnsi="Times New Roman"/>
          <w:color w:val="000000"/>
          <w:sz w:val="22"/>
          <w:u w:val="single"/>
        </w:rPr>
        <w:t>Section 3.2(a)</w:t>
      </w:r>
      <w:r>
        <w:rPr>
          <w:rFonts w:ascii="Times New Roman" w:hAnsi="Times New Roman"/>
          <w:color w:val="000000"/>
          <w:sz w:val="22"/>
        </w:rPr>
        <w:t>, to the extent permitted by Applicable Law, the Board may, in its discretion and by a resolution adopted by the Board, authorize one or more officers of the Company (an “</w:t>
      </w:r>
      <w:r>
        <w:rPr>
          <w:rFonts w:ascii="Times New Roman" w:hAnsi="Times New Roman"/>
          <w:b/>
          <w:i/>
          <w:color w:val="000000"/>
          <w:sz w:val="22"/>
        </w:rPr>
        <w:t>Authorized Officer</w:t>
      </w:r>
      <w:r>
        <w:rPr>
          <w:color w:val="000000"/>
        </w:rPr>
        <w:t>”</w:t>
      </w:r>
      <w:r>
        <w:rPr>
          <w:rFonts w:ascii="Times New Roman" w:hAnsi="Times New Roman"/>
          <w:color w:val="000000"/>
          <w:sz w:val="22"/>
        </w:rPr>
        <w:t xml:space="preserve">) to (i) designate one or more Employees as eligible persons to whom Awards will be granted under the Plan, and (ii) determine the number of shares of Common Stock that will be subject to such Awards;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the resolution of the Board granting such authority shall (x) specify the total number of shares of Common Stock that may be made subject to the Awards, (y) set forth the price or prices (or a formula by which such price or prices may be determined) to be paid for the purchase of the Common Stock subject to such Awards, and (z) not authorize an officer to designate such officer as a recipient of any Award.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3.3</w:t>
      </w:r>
    </w:p>
    <w:p>
      <w:pPr>
        <w:pStyle w:val="TextBody"/>
        <w:bidi w:val="0"/>
        <w:spacing w:before="0" w:after="240"/>
        <w:jc w:val="both"/>
        <w:rPr/>
      </w:pPr>
      <w:r>
        <w:rPr>
          <w:rFonts w:ascii="Times New Roman" w:hAnsi="Times New Roman"/>
          <w:b/>
          <w:color w:val="000000"/>
          <w:sz w:val="22"/>
        </w:rPr>
        <w:t>Authority of the Committee.</w:t>
      </w:r>
      <w:r>
        <w:rPr>
          <w:color w:val="000000"/>
        </w:rPr>
        <w:t xml:space="preserve"> </w:t>
      </w:r>
      <w:r>
        <w:rPr>
          <w:rFonts w:ascii="Times New Roman" w:hAnsi="Times New Roman"/>
          <w:color w:val="000000"/>
          <w:sz w:val="22"/>
        </w:rPr>
        <w:t>The Committee, in its discretion, shall (a) interpret the Plan and Award Agreements, (b) prescribe, amend, and rescind any rules and regulations, and sub-plans (including sub-plans for Awards made to Participants who are not residents in the United States) as necessary or appropriate for the administration of the Plan, to obtain favorable tax treatment for the Awards or to ensure compliance with securities law, (c) establish performance goals for an Award and certify the extent of their achievement, and (d) make such other determinations or certifications and take such other action as it deems necessary or advisable in the administration of the Plan. Any interpretation, determination, or other action made or taken by the Committee shall be final, binding, and conclusive on all interested parties. The Committee’s discretion set forth herein shall not be limited by any provision of the Plan, including any provision which by its terms is applicable notwithstanding any other provision of the Plan to the contrary.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Committee may delegate to officers of the Company, pursuant to a written delegation, the authority to perform specified functions under the Plan. Any actions taken by any officers of the Company pursuant to such written delegation of authority shall be deemed to have been taken by the Committee.</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With respect to restrictions in the Plan that are based on the requirements of Rule 16b</w:t>
        <w:noBreakHyphen/>
        <w:t>3 promulgated under the Exchange Act, Section 422 of the Code, the rules of any exchange or inter-dealer quotation system upon which the Company’s securities are listed or quoted, or any other Applicable Law, to the extent that any such restrictions are no longer required by Applicable Law, the Committee shall have the sole discretion and authority to grant Awards that are not subject to such formerly mandated restrictions and/or to waive any such formerly mandated restrictions with respect to outstanding Awards.</w:t>
      </w:r>
    </w:p>
    <w:p>
      <w:pPr>
        <w:pStyle w:val="TextBody"/>
        <w:bidi w:val="0"/>
        <w:jc w:val="center"/>
        <w:rPr>
          <w:rFonts w:ascii="Times New Roman" w:hAnsi="Times New Roman"/>
          <w:color w:val="000000"/>
          <w:sz w:val="22"/>
        </w:rPr>
      </w:pPr>
      <w:r>
        <w:rPr>
          <w:rFonts w:ascii="Times New Roman" w:hAnsi="Times New Roman"/>
          <w:color w:val="000000"/>
          <w:sz w:val="22"/>
        </w:rPr>
        <w:t>B-7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4.</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ELIGIBILITY</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Any Employee (including an Employee who is also a director or an officer), Contractor or Outside Director of the Company whose judgment, initiative, and efforts contributed or may be expected to contribute to the successful performance of the Company is eligible to participate in the Plan; provided that only Employees of a Corporation shall be eligible to receive Incentive Stock Options. The Committee, upon its own action, may grant, but shall not be required to grant, an Award to any Employee, Contractor or Outside Director. Awards may be granted by the Committee at any time and from time to time to new Participants, or to then Participants, or to a greater or lesser number of Participants, and may include or exclude previous Participants, as the Committee shall determine. Except as required by this Plan, Awards need not contain similar provisions. The Committee’s determinations under the Plan (including without limitation determinations of which Employees, Contractors or Outside Directors, if any, are to receive Awards, the form, amount and timing of such Awards, the terms and provisions of such Awards and the agreements evidencing same) need not be uniform and may be made by it selectively among Participants who receive, or are eligible to receive, Awards under the Plan.</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5.</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SHARES SUBJECT TO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240"/>
        <w:jc w:val="both"/>
        <w:rPr/>
      </w:pPr>
      <w:r>
        <w:rPr>
          <w:rFonts w:ascii="Times New Roman" w:hAnsi="Times New Roman"/>
          <w:b/>
          <w:color w:val="000000"/>
          <w:sz w:val="22"/>
        </w:rPr>
        <w:t>Number Available for Awards.</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Subject to adjustment as provided in </w:t>
      </w:r>
      <w:r>
        <w:rPr>
          <w:rFonts w:ascii="Times New Roman" w:hAnsi="Times New Roman"/>
          <w:color w:val="000000"/>
          <w:sz w:val="22"/>
          <w:u w:val="single"/>
        </w:rPr>
        <w:t>Articles 11 and 12</w:t>
      </w:r>
      <w:r>
        <w:rPr>
          <w:rFonts w:ascii="Times New Roman" w:hAnsi="Times New Roman"/>
          <w:color w:val="000000"/>
          <w:sz w:val="22"/>
        </w:rPr>
        <w:t>,</w:t>
      </w:r>
      <w:r>
        <w:rPr>
          <w:color w:val="000000"/>
        </w:rPr>
        <w:t xml:space="preserve"> </w:t>
      </w:r>
      <w:r>
        <w:rPr>
          <w:rFonts w:ascii="Times New Roman" w:hAnsi="Times New Roman"/>
          <w:color w:val="000000"/>
          <w:sz w:val="22"/>
        </w:rPr>
        <w:t>the maximum number of shares of Common Stock that may be delivered pursuant to Awards granted under the Plan is four million (4,000,000) shares, of which one hundred percent (100%)</w:t>
      </w:r>
      <w:r>
        <w:rPr>
          <w:color w:val="000000"/>
        </w:rPr>
        <w:t xml:space="preserve"> </w:t>
      </w:r>
      <w:r>
        <w:rPr>
          <w:rFonts w:ascii="Times New Roman" w:hAnsi="Times New Roman"/>
          <w:color w:val="000000"/>
          <w:sz w:val="22"/>
        </w:rPr>
        <w:t xml:space="preserve">may be delivered pursuant to Incentive Stock Options.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Prior Plan Awards shall remain outstanding following the Effective Date in accordance with their terms. With respect to Prior Plan Awards, if such a Prior Plan Award, on or after the Effective Date, lapses, expires, terminates or is canceled prior to the issuance of shares thereunder or if shares of Common Stock are issued under the Prior Plan to a Participant and thereafter are reacquired by the Company, the shares subject to such Prior Plan Awards and the reacquired shares shall again be available for issuance under this Plan. In addition, the following shares of Common Stock shall not be treated as having been issued under the Prior Plan and shall again be available for issuance under this Plan: (i) shares tendered by a Participant or retained by the Company as full or partial payment to the Company for the purchase price of a Prior Plan Award or to satisfy tax withholding obligations in connection with a Prior Plan Award, (ii) shares covered by a Prior Plan Award that is settled in cash, or (iii) the number of shares subject to a Prior Plan Award that is a stock appreciation right in excess of the number of shares that are delivered to the Participant upon exercise of such Prior Plan Award. Further, the number of shares available for issuance under the Prior Plan shall not be reduced to reflect any dividends or dividend equivalents that are reinvested into additional shares or credited as additional Restricted Stock, Restricted Stock Units or Performance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Shares to be issued may be made available from authorized but unissued Common Stock, Common Stock held by the Company in its treasury, or Common Stock purchased by the Company on the open market or otherwise. During the term of this Plan, the Company will at all times reserve and keep available the number of shares of Common Stock that shall be sufficient to satisfy the requirements of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240"/>
        <w:jc w:val="both"/>
        <w:rPr/>
      </w:pPr>
      <w:r>
        <w:rPr>
          <w:rFonts w:ascii="Times New Roman" w:hAnsi="Times New Roman"/>
          <w:b/>
          <w:color w:val="000000"/>
          <w:sz w:val="22"/>
        </w:rPr>
        <w:t>Reuse of Shares.</w:t>
      </w:r>
      <w:r>
        <w:rPr>
          <w:color w:val="000000"/>
        </w:rPr>
        <w:t xml:space="preserve"> </w:t>
      </w:r>
      <w:r>
        <w:rPr>
          <w:rFonts w:ascii="Times New Roman" w:hAnsi="Times New Roman"/>
          <w:color w:val="000000"/>
          <w:sz w:val="22"/>
        </w:rPr>
        <w:t xml:space="preserve">To the extent that any Award under this Plan shall be forfeited, shall expire or be canceled, in whole or in part, then the number of shares of Common Stock covered by the Award so forfeited, expired or canceled may again be awarded pursuant to the provisions of this Plan. Notwithstanding the foregoing, (i) the number of shares of Common Stock tendered or withheld in payment of any Option Price or SAR Price of </w:t>
      </w:r>
    </w:p>
    <w:p>
      <w:pPr>
        <w:pStyle w:val="TextBody"/>
        <w:bidi w:val="0"/>
        <w:jc w:val="center"/>
        <w:rPr>
          <w:rFonts w:ascii="Times New Roman" w:hAnsi="Times New Roman"/>
          <w:color w:val="000000"/>
          <w:sz w:val="22"/>
        </w:rPr>
      </w:pPr>
      <w:r>
        <w:rPr>
          <w:rFonts w:ascii="Times New Roman" w:hAnsi="Times New Roman"/>
          <w:color w:val="000000"/>
          <w:sz w:val="22"/>
        </w:rPr>
        <w:t>B-8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 xml:space="preserve">an Award or taxes relating to an Award, (ii) shares of Common Stock that were subject to a Stock Option or a SAR but were not issued or delivered as a result of the net settlement or net exercise of such Stock Option or SAR and (iii) shares of Common Stock repurchased on the open market with the proceeds of a Stock Option’s Option Price, will not, in each case, be available for Awards under this Plan. Awards that may be satisfied either by the issuance of shares of Common Stock or by cash or other consideration shall be counted against the maximum number of shares of Common Stock that may be issued under this Plan only during the period that the Award is outstanding or to the extent the Award is ultimately satisfied by the issuance of shares of Common Stock. Awards will not reduce the number of shares of Common Stock that may be issued pursuant to this Plan if the settlement of the Award will not require the issuance of shares of Common Stock, as, for example, a SAR that can be satisfied only by the payment of cash. Notwithstanding any provisions of the Plan to the contrary, shares forfeited back to the Company and shares canceled on account of termination, expiration or lapse of an Award shall again be available for grant of Incentive Stock Options under the Plan, but shall not increase the maximum number of shares described in </w:t>
      </w:r>
      <w:r>
        <w:rPr>
          <w:rFonts w:ascii="Times New Roman" w:hAnsi="Times New Roman"/>
          <w:color w:val="000000"/>
          <w:sz w:val="22"/>
          <w:u w:val="single"/>
        </w:rPr>
        <w:t>Section 5.1</w:t>
      </w:r>
      <w:r>
        <w:rPr>
          <w:color w:val="000000"/>
        </w:rPr>
        <w:t xml:space="preserve"> </w:t>
      </w:r>
      <w:r>
        <w:rPr>
          <w:rFonts w:ascii="Times New Roman" w:hAnsi="Times New Roman"/>
          <w:color w:val="000000"/>
          <w:sz w:val="22"/>
        </w:rPr>
        <w:t>above as the maximum number of shares of Common Stock that may be delivered pursuant to Incentive Stock Options.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5.3</w:t>
      </w:r>
    </w:p>
    <w:p>
      <w:pPr>
        <w:pStyle w:val="TextBody"/>
        <w:bidi w:val="0"/>
        <w:spacing w:before="0" w:after="240"/>
        <w:jc w:val="both"/>
        <w:rPr/>
      </w:pPr>
      <w:r>
        <w:rPr>
          <w:rFonts w:ascii="Times New Roman" w:hAnsi="Times New Roman"/>
          <w:b/>
          <w:color w:val="000000"/>
          <w:sz w:val="22"/>
        </w:rPr>
        <w:t>Limitation on Outside Director Awards</w:t>
      </w:r>
      <w:r>
        <w:rPr>
          <w:rFonts w:ascii="Times New Roman" w:hAnsi="Times New Roman"/>
          <w:color w:val="000000"/>
          <w:sz w:val="22"/>
        </w:rPr>
        <w:t>. No Outside Director may be granted any Award or Awards denominated in shares that exceed in the aggregate $500,000 in Fair Market Value (such Fair Market Value computed as of the Date of Grant) in any calendar year period that, plus an additional $500,000 in Fair Market Value (determined as of the Date of Grant) for one-time awards to a newly appointed or elected Outside Director.</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6.</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GRANT OF AWARDS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240"/>
        <w:jc w:val="both"/>
        <w:rPr/>
      </w:pPr>
      <w:r>
        <w:rPr>
          <w:rFonts w:ascii="Times New Roman" w:hAnsi="Times New Roman"/>
          <w:b/>
          <w:color w:val="000000"/>
          <w:sz w:val="22"/>
        </w:rPr>
        <w:t>In General</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The grant of an Award shall be authorized by the Committee and shall be evidenced by an Award Agreement setting forth the Incentive or Incentives being granted, the total number of shares of Common Stock subject to the Incentive(s), the Option Price (if applicable), the Award Period, the Date of Grant, and such other terms, provisions, limitations, and performance objectives, as are approved by the Committee, but (i) not inconsistent with the Plan and (ii) to the extent an Award issued under the Plan is subject to Section 409A of the Code, in compliance with the applicable requirements of Section 409A of the Code and the regulations or other guidance issued thereunder. The Company shall execute an Award Agreement with a Participant after the Committee approves the issuance of an Award. Any Award granted pursuant to this Plan must be granted within 10 years of Board Approval Date. The Plan shall be submitted to the Company’s stockholder</w:t>
      </w:r>
      <w:r>
        <w:rPr>
          <w:rFonts w:ascii="Times New Roman" w:hAnsi="Times New Roman"/>
          <w:b/>
          <w:color w:val="000000"/>
          <w:sz w:val="22"/>
        </w:rPr>
        <w:t xml:space="preserve">s </w:t>
      </w:r>
      <w:r>
        <w:rPr>
          <w:rFonts w:ascii="Times New Roman" w:hAnsi="Times New Roman"/>
          <w:color w:val="000000"/>
          <w:sz w:val="22"/>
        </w:rPr>
        <w:t>for approval at the first stockholder meeting after the Board Approval Date; however, the Committee may grant Awards under the Plan prior to the time of stockholder</w:t>
      </w:r>
      <w:r>
        <w:rPr>
          <w:color w:val="000000"/>
        </w:rPr>
        <w:t xml:space="preserve"> </w:t>
      </w:r>
      <w:r>
        <w:rPr>
          <w:rFonts w:ascii="Times New Roman" w:hAnsi="Times New Roman"/>
          <w:color w:val="000000"/>
          <w:sz w:val="22"/>
        </w:rPr>
        <w:t>approval. Any such Award granted prior to such stockholder</w:t>
      </w:r>
      <w:r>
        <w:rPr>
          <w:color w:val="000000"/>
        </w:rPr>
        <w:t xml:space="preserve"> </w:t>
      </w:r>
      <w:r>
        <w:rPr>
          <w:rFonts w:ascii="Times New Roman" w:hAnsi="Times New Roman"/>
          <w:color w:val="000000"/>
          <w:sz w:val="22"/>
        </w:rPr>
        <w:t>approval shall be made subject to the attainment of such stockholder</w:t>
      </w:r>
      <w:r>
        <w:rPr>
          <w:color w:val="000000"/>
        </w:rPr>
        <w:t xml:space="preserve"> </w:t>
      </w:r>
      <w:r>
        <w:rPr>
          <w:rFonts w:ascii="Times New Roman" w:hAnsi="Times New Roman"/>
          <w:color w:val="000000"/>
          <w:sz w:val="22"/>
        </w:rPr>
        <w:t>approval. The grant of an Award to a Participant shall not be deemed either to entitle the Participant to, or to disqualify the Participant from, receipt of any other Award under the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Committee establishes a purchase price for an Award, the Participant must accept such Award within a period of 30 days (or such shorter period as the Committee may specify) after the Date of Grant by executing the applicable Award Agreement and paying such purchase price.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Award under this Plan that is settled in whole or in part in cash on a deferred basis may provide for interest equivalents to be credited with respect to such cash payment. Interest equivalents may be compounded and shall be paid upon such terms and conditions as may be specified by the grant.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6.2</w:t>
      </w:r>
    </w:p>
    <w:p>
      <w:pPr>
        <w:pStyle w:val="TextBody"/>
        <w:bidi w:val="0"/>
        <w:spacing w:before="0" w:after="240"/>
        <w:jc w:val="both"/>
        <w:rPr/>
      </w:pPr>
      <w:r>
        <w:rPr>
          <w:rFonts w:ascii="Times New Roman" w:hAnsi="Times New Roman"/>
          <w:b/>
          <w:color w:val="000000"/>
          <w:sz w:val="22"/>
        </w:rPr>
        <w:t>Option Price.</w:t>
      </w:r>
      <w:r>
        <w:rPr>
          <w:color w:val="000000"/>
        </w:rPr>
        <w:t xml:space="preserve"> </w:t>
      </w:r>
      <w:r>
        <w:rPr>
          <w:rFonts w:ascii="Times New Roman" w:hAnsi="Times New Roman"/>
          <w:color w:val="000000"/>
          <w:sz w:val="22"/>
        </w:rPr>
        <w:t xml:space="preserve">The Option Price for any share of Common Stock which may be purchased under a Nonqualified Stock Option for any share of Common Stock must be equal to or greater than the Fair Market Value of the share on the Date of Grant. The Option Price for any share of Common Stock which may be purchased under an Incentive Stock Option must be at least equal to the Fair Market Value of the share on the Date of Grant; if an Incentive Stock Option is granted to an Employee who owns or is deemed to own (by reason of the attribution rules </w:t>
      </w:r>
    </w:p>
    <w:p>
      <w:pPr>
        <w:pStyle w:val="TextBody"/>
        <w:bidi w:val="0"/>
        <w:jc w:val="center"/>
        <w:rPr>
          <w:rFonts w:ascii="Times New Roman" w:hAnsi="Times New Roman"/>
          <w:color w:val="000000"/>
          <w:sz w:val="22"/>
        </w:rPr>
      </w:pPr>
      <w:r>
        <w:rPr>
          <w:rFonts w:ascii="Times New Roman" w:hAnsi="Times New Roman"/>
          <w:color w:val="000000"/>
          <w:sz w:val="22"/>
        </w:rPr>
        <w:t>B-9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of Section 424(d) of the Code) more than 10% of the combined voting power of all classes of stock of the Company (or any parent or Subsidiary), the Option Price shall be at least 110% of the Fair Market Value of the Common Stock on the Date of Grant.</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6.3</w:t>
      </w:r>
    </w:p>
    <w:p>
      <w:pPr>
        <w:pStyle w:val="TextBody"/>
        <w:bidi w:val="0"/>
        <w:spacing w:before="0" w:after="240"/>
        <w:jc w:val="both"/>
        <w:rPr/>
      </w:pPr>
      <w:r>
        <w:rPr>
          <w:rFonts w:ascii="Times New Roman" w:hAnsi="Times New Roman"/>
          <w:b/>
          <w:color w:val="000000"/>
          <w:sz w:val="22"/>
        </w:rPr>
        <w:t>Maximum ISO Grants.</w:t>
      </w:r>
      <w:r>
        <w:rPr>
          <w:color w:val="000000"/>
        </w:rPr>
        <w:t xml:space="preserve"> </w:t>
      </w:r>
      <w:r>
        <w:rPr>
          <w:rFonts w:ascii="Times New Roman" w:hAnsi="Times New Roman"/>
          <w:color w:val="000000"/>
          <w:sz w:val="22"/>
        </w:rPr>
        <w:t>The Committee may not grant Incentive Stock Options under the Plan to any Employee which would permit the aggregate Fair Market Value (determined on the Date of Grant) of the Common Stock with respect to which Incentive Stock Options (under this and any other plan of the Company and its Subsidiaries) are exercisable for the first time by such Employee during any calendar year to exceed $100,000. To the extent any Stock Option granted under this Plan which is designated as an Incentive Stock Option exceeds this limit or otherwise fails to qualify as an Incentive Stock Option, such Stock Option (or any such portion thereof) shall be a Nonqualified Stock Option. In such case, the Committee shall designate which stock will be treated as Incentive Stock Option stock by causing the electronic registration of a share (or, if applicable, the issuance of a separate stock certificate) and identifying such stock as Incentive Stock Option stock on the Company’s stock transfer records.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6.4</w:t>
      </w:r>
    </w:p>
    <w:p>
      <w:pPr>
        <w:pStyle w:val="TextBody"/>
        <w:bidi w:val="0"/>
        <w:spacing w:before="0" w:after="240"/>
        <w:jc w:val="both"/>
        <w:rPr/>
      </w:pPr>
      <w:r>
        <w:rPr>
          <w:rFonts w:ascii="Times New Roman" w:hAnsi="Times New Roman"/>
          <w:b/>
          <w:color w:val="000000"/>
          <w:sz w:val="22"/>
        </w:rPr>
        <w:t>Restricted Stock.</w:t>
      </w:r>
      <w:r>
        <w:rPr>
          <w:color w:val="000000"/>
        </w:rPr>
        <w:t xml:space="preserve"> </w:t>
      </w:r>
      <w:r>
        <w:rPr>
          <w:rFonts w:ascii="Times New Roman" w:hAnsi="Times New Roman"/>
          <w:color w:val="000000"/>
          <w:sz w:val="22"/>
        </w:rPr>
        <w:t>If Restricted Stock is granted to or received by a Participant under an Award (including a Stock Option), the Committee shall set forth in the related Award Agreement, as applicable: (a) the number of shares of Common Stock awarded, (b) the price, if any, to be paid by the Participant for such Restricted Stock and the method of payment of the price, (c) the time or times within which such Award may be subject to forfeiture, (d) specified Performance Goals of the Company, a Subsidiary, any division thereof or any group of Employees of the Company, or other criteria, which the Committee determines must be met in order to remove any restrictions (including vesting) on such Award, and (e) all other terms, limitations, restrictions, and conditions of the Restricted Stock, which shall be consistent with this Plan, to the extent applicable and, to the extent Restricted Stock granted under the Plan is subject to Section 409A of the Code, in compliance with the applicable requirements of Section 409A of the Code and the regulations or other guidance issued thereunder. The provisions of Restricted Stock need not be the same with respect to each Participant.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b/>
          <w:color w:val="000000"/>
          <w:sz w:val="22"/>
        </w:rPr>
        <w:t>Legend on Shares</w:t>
      </w:r>
      <w:r>
        <w:rPr>
          <w:rFonts w:ascii="Times New Roman" w:hAnsi="Times New Roman"/>
          <w:color w:val="000000"/>
          <w:sz w:val="22"/>
        </w:rPr>
        <w:t xml:space="preserve">. The Company shall electronically register Restricted Stock awarded to a Participant in the Participant’s name, which shall bear an appropriate legend referring to the terms, conditions, and restrictions applicable to such Restricted Stock. No stock certificate or certificates shall be issued with respect to such shares of Common Stock, unless, following the expiration of the Restriction Period (as defined in </w:t>
      </w:r>
      <w:r>
        <w:rPr>
          <w:rFonts w:ascii="Times New Roman" w:hAnsi="Times New Roman"/>
          <w:color w:val="000000"/>
          <w:sz w:val="22"/>
          <w:u w:val="single"/>
        </w:rPr>
        <w:t>Section 6.4(b)(i)</w:t>
      </w:r>
      <w:r>
        <w:rPr>
          <w:rFonts w:ascii="Times New Roman" w:hAnsi="Times New Roman"/>
          <w:color w:val="000000"/>
          <w:sz w:val="22"/>
        </w:rPr>
        <w:t>) without forfeiture in respect of such shares of Common Stock, the Participant requests delivery of the certificate or certificates by submitting a written request to the Committee (or such party designated by the Company) requesting delivery of the certificates. The Company shall deliver the certificates requested by the Participant to the Participant as soon as administratively practicable following the Company’s receipt of such request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b/>
          <w:color w:val="000000"/>
          <w:sz w:val="22"/>
        </w:rPr>
        <w:t>Restrictions and Conditions.</w:t>
      </w:r>
      <w:r>
        <w:rPr>
          <w:color w:val="000000"/>
        </w:rPr>
        <w:t xml:space="preserve"> </w:t>
      </w:r>
      <w:r>
        <w:rPr>
          <w:rFonts w:ascii="Times New Roman" w:hAnsi="Times New Roman"/>
          <w:color w:val="000000"/>
          <w:sz w:val="22"/>
        </w:rPr>
        <w:t>Shares of Restricted Stock shall be subject to the following restrictions and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40"/>
        <w:jc w:val="both"/>
        <w:rPr/>
      </w:pPr>
      <w:r>
        <w:rPr>
          <w:rFonts w:ascii="Times New Roman" w:hAnsi="Times New Roman"/>
          <w:color w:val="000000"/>
          <w:sz w:val="22"/>
        </w:rPr>
        <w:t>Subject to the other provisions of this Plan and the terms of the particular Award Agreements, during such period as may be determined by the Committee commencing on the Date of Grant or the date of exercise of an Award (the “</w:t>
      </w:r>
      <w:r>
        <w:rPr>
          <w:rFonts w:ascii="Times New Roman" w:hAnsi="Times New Roman"/>
          <w:b/>
          <w:i/>
          <w:color w:val="000000"/>
          <w:sz w:val="22"/>
        </w:rPr>
        <w:t>Restriction Period</w:t>
      </w:r>
      <w:r>
        <w:rPr>
          <w:color w:val="000000"/>
        </w:rPr>
        <w:t>”</w:t>
      </w:r>
      <w:r>
        <w:rPr>
          <w:rFonts w:ascii="Times New Roman" w:hAnsi="Times New Roman"/>
          <w:color w:val="000000"/>
          <w:sz w:val="22"/>
        </w:rPr>
        <w:t>), the Participant shall not be permitted to sell, transfer, pledge or assign shares of Restricted Stock. Except for these limitations, the Committee may in its sole discretion, remove any or all of the restrictions on such Restricted Stock whenever it may determine that, by reason of changes in Applicable Laws or other changes in circumstances arising after the date of the Award, such action is appropriate.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Except as provided in sub-paragraph (a) above or in the applicable Award Agreement, the Participant shall have, with respect to the Participant’s Restricted Stock, all of the rights of a stockholder of the Company, including the right to vote the shares, and the right to receive any dividends thereon. Shares of Common Stock free of restriction under this Plan shall be electronically registered in the Participant’s name (or, if certificates are issued shall be delivered </w:t>
      </w:r>
    </w:p>
    <w:p>
      <w:pPr>
        <w:pStyle w:val="TextBody"/>
        <w:bidi w:val="0"/>
        <w:jc w:val="center"/>
        <w:rPr>
          <w:rFonts w:ascii="Times New Roman" w:hAnsi="Times New Roman"/>
          <w:color w:val="000000"/>
          <w:sz w:val="22"/>
        </w:rPr>
      </w:pPr>
      <w:r>
        <w:rPr>
          <w:rFonts w:ascii="Times New Roman" w:hAnsi="Times New Roman"/>
          <w:color w:val="000000"/>
          <w:sz w:val="22"/>
        </w:rPr>
        <w:t>B-10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to the Participant) promptly after, and only after, the Restriction Period shall expire without forfeiture in respect of such shares of Common Stock or after any other restrictions imposed on such shares of Common Stock by the applicable Award Agreement or other agreement have expired. Common Stock forfeited under the provisions of the Plan and the applicable Award Agreement shall be promptly returned to the Company by the forfeiting Participant (including, if applicable, any certificates for such shares). Each Award Agreement shall require that: each Participant, in connection with the issuance of a certificate for Restricted Stock, shall endorse such certificate in blank or execute a stock power in form satisfactory to the Company in blank and deliver such certificate and executed stock power to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40"/>
        <w:jc w:val="both"/>
        <w:rPr/>
      </w:pPr>
      <w:r>
        <w:rPr>
          <w:rFonts w:ascii="Times New Roman" w:hAnsi="Times New Roman"/>
          <w:color w:val="000000"/>
          <w:sz w:val="22"/>
        </w:rPr>
        <w:t xml:space="preserve">The Restriction Period, subject to </w:t>
      </w:r>
      <w:r>
        <w:rPr>
          <w:rFonts w:ascii="Times New Roman" w:hAnsi="Times New Roman"/>
          <w:color w:val="000000"/>
          <w:sz w:val="22"/>
          <w:u w:val="single"/>
        </w:rPr>
        <w:t>Article 12</w:t>
      </w:r>
      <w:r>
        <w:rPr>
          <w:color w:val="000000"/>
        </w:rPr>
        <w:t xml:space="preserve"> </w:t>
      </w:r>
      <w:r>
        <w:rPr>
          <w:rFonts w:ascii="Times New Roman" w:hAnsi="Times New Roman"/>
          <w:color w:val="000000"/>
          <w:sz w:val="22"/>
        </w:rPr>
        <w:t>of the Plan, unless otherwise established by the Committee in the Award Agreement setting forth the terms of the Restricted Stock, shall expire upon satisfaction of the conditions set forth in the Award Agreement; such conditions may provide for vesting based on length of continuous service or such Performance Goals, as may be determined by the Committee in its sole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as otherwise provided in the particular Award Agreement, upon Termination of Service for any reason during the Restriction Period, the nonvested shares of Restricted Stock shall be forfeited by the Participant. In the event a Participant has paid any consideration to the Company for such forfeited Restricted Stock, the Committee shall specify in the Award Agreement that either (1) the Company shall be obligated to, or (2) the Company may, in its sole discretion, elect to, pay to the Participant, as soon as practicable after the event causing forfeiture, in cash, an amount equal to the lesser of the total consideration paid by the Participant for such forfeited shares or the Fair Market Value of such forfeited shares as of the date of Termination of Service, as the Committee, in its sole discretion shall select. Upon any forfeiture, all rights of a Participant with respect to the forfeited shares of the Restricted Stock shall cease and terminate, without any further obligation on the part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6.5</w:t>
      </w:r>
    </w:p>
    <w:p>
      <w:pPr>
        <w:pStyle w:val="TextBody"/>
        <w:bidi w:val="0"/>
        <w:spacing w:before="0" w:after="240"/>
        <w:jc w:val="both"/>
        <w:rPr/>
      </w:pPr>
      <w:r>
        <w:rPr>
          <w:rFonts w:ascii="Times New Roman" w:hAnsi="Times New Roman"/>
          <w:b/>
          <w:color w:val="000000"/>
          <w:sz w:val="22"/>
        </w:rPr>
        <w:t>SARs.</w:t>
      </w:r>
      <w:r>
        <w:rPr>
          <w:color w:val="000000"/>
        </w:rPr>
        <w:t xml:space="preserve"> </w:t>
      </w:r>
      <w:r>
        <w:rPr>
          <w:rFonts w:ascii="Times New Roman" w:hAnsi="Times New Roman"/>
          <w:color w:val="000000"/>
          <w:sz w:val="22"/>
        </w:rPr>
        <w:t>The Committee may grant SARs to any Participant, either as a separate Award or in connection with a Stock Option. SARs shall be subject to such terms and conditions as the Committee shall impose, provided that such terms and conditions are (a) not inconsistent with the Plan, and (b) to the extent a SAR issued under the Plan is subject to Section 409A of the Code, in compliance with the applicable requirements of Section 409A of the Code and the regulations or other guidance issued thereunder. The grant of the SAR may provide that the holder may be paid for the value of the SAR either in cash or in shares of Common Stock, or a combination thereof. In the event of the exercise of a SAR payable in shares of Common Stock, the holder of the SAR shall receive that number of whole shares of Common Stock having an aggregate Fair Market Value on the date of exercise equal to the value obtained by multiplying (a) the difference between the Fair Market Value of a share of Common Stock on the date of exercise over the SAR Price as set forth in such SAR (or other value specified in the Award Agreement granting the SAR), by (b) the number of shares of Common Stock as to which the SAR is exercised, with a cash settlement to be made for any fractional shares of Common Stock. The SAR Price for any share of Common Stock subject to a SAR may be equal to or greater than the Fair Market Value of the share on the Date of Grant. The Committee, in its sole discretion, may place a ceiling on the amount payable upon exercise of a SAR, but any such limitation shall be specified at the time that the SAR is granted.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6.6</w:t>
      </w:r>
    </w:p>
    <w:p>
      <w:pPr>
        <w:pStyle w:val="TextBody"/>
        <w:bidi w:val="0"/>
        <w:spacing w:before="0" w:after="240"/>
        <w:jc w:val="both"/>
        <w:rPr/>
      </w:pPr>
      <w:r>
        <w:rPr>
          <w:rFonts w:ascii="Times New Roman" w:hAnsi="Times New Roman"/>
          <w:b/>
          <w:color w:val="000000"/>
          <w:sz w:val="22"/>
        </w:rPr>
        <w:t>Restricted Stock Units.</w:t>
      </w:r>
      <w:r>
        <w:rPr>
          <w:color w:val="000000"/>
        </w:rPr>
        <w:t xml:space="preserve"> </w:t>
      </w:r>
      <w:r>
        <w:rPr>
          <w:rFonts w:ascii="Times New Roman" w:hAnsi="Times New Roman"/>
          <w:color w:val="000000"/>
          <w:sz w:val="22"/>
        </w:rPr>
        <w:t xml:space="preserve">Restricted Stock Units may be awarded or sold to any Participant under such terms and conditions as shall be established by the Committee, provided, however, that such terms and conditions are (a) not inconsistent with the Plan, and (b) to the extent a Restricted Stock Unit issued under the Plan is subject to Section 409A of the Code, in compliance with the applicable requirements of Section 409A of the Code and the regulations or other guidance issued thereunder. Restricted Stock Units shall be subject to such restrictions as the Committee determines, including, without limitation, (a) a prohibition against sale, assignment, transfer, pledge, hypothecation or other encumbrance for a specified period; or (b) a requirement that the holder forfeit (or in the case of shares of Common Stock or units sold to the Participant, resell to the Company at cost) such shares or units in the event of Termination of Service during the period of restriction. The value of Restricted Stock Units </w:t>
      </w:r>
    </w:p>
    <w:p>
      <w:pPr>
        <w:pStyle w:val="TextBody"/>
        <w:bidi w:val="0"/>
        <w:jc w:val="center"/>
        <w:rPr>
          <w:rFonts w:ascii="Times New Roman" w:hAnsi="Times New Roman"/>
          <w:color w:val="000000"/>
          <w:sz w:val="22"/>
        </w:rPr>
      </w:pPr>
      <w:r>
        <w:rPr>
          <w:rFonts w:ascii="Times New Roman" w:hAnsi="Times New Roman"/>
          <w:color w:val="000000"/>
          <w:sz w:val="22"/>
        </w:rPr>
        <w:t>B-11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may be paid in Common Stock, cash, or a combination of both, as determined by the Committee, in its sole discretion, and set forth in the Award Agreement.</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6.7</w:t>
      </w:r>
    </w:p>
    <w:p>
      <w:pPr>
        <w:pStyle w:val="TextBody"/>
        <w:bidi w:val="0"/>
        <w:spacing w:before="0" w:after="240"/>
        <w:jc w:val="both"/>
        <w:rPr/>
      </w:pPr>
      <w:r>
        <w:rPr>
          <w:rFonts w:ascii="Times New Roman" w:hAnsi="Times New Roman"/>
          <w:b/>
          <w:color w:val="000000"/>
          <w:sz w:val="22"/>
        </w:rPr>
        <w:t>Performance Awards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color w:val="000000"/>
          <w:sz w:val="22"/>
        </w:rPr>
        <w:t xml:space="preserve">The Committee may grant Performance Awards to one or more Participants. The terms and conditions of Performance Awards shall be specified at the time of the grant and may include provisions establishing the performance period, the Performance Goals to be achieved during a performance period, and the maximum or minimum settlement values, provided that such terms and conditions are (i) not inconsistent with the Plan and (ii) to the extent a Performance Award issued under the Plan is subject to Section 409A of the Code, in compliance with the applicable requirements of Section 409A of the Code and the regulations or other guidance issued thereunder. If the Performance Award is to be in shares of Common Stock, the Performance Awards may provide for the issuance of the shares of Common Stock at the time of the grant of the Performance Award or at the time of the certification by the Committee that the Performance Goals for the performance period have been met;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if shares of Common Stock are issued at the time of the grant of the Performance Award and if, at the end of the performance period, the Performance Goals are not certified by the Committee to have been fully satisfied, then, notwithstanding any other provisions of this Plan to the contrary, the Common Stock shall be forfeited in accordance with the terms of the grant to the extent the Committee determines that the Performance Goals were not met. The forfeiture of shares of Common Stock issued at the time of the grant of the Performance Award due to failure to achieve the established Performance Goals shall be separate from and in addition to any other restrictions provided for in this Plan that may be applicable to such shares of Common Stock. Each Performance Award granted to one or more Participants shall have its own terms and conditions.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If the Committee determines, in its sole discretion, that the established performance measures or objectives are no longer suitable because of a change in the Company’s business, operations, corporate structure, or for other reasons that the Committee deemed satisfactory, the Committee may modify the performance measures or objectives and/or the performance period.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Performance Awards may be valued by reference to the Fair Market Value of a share of Common Stock or according to any formula or method deemed appropriate by the Committee, in its sole discretion, including, but not limited to, achievement of Performance Goals or other specific financial, production, sales or cost performance objectives that the Committee believes to be relevant to the Company’s business and/or remaining in the employ of the Company or a Subsidiary for a specified period of time. Performance Awards may be paid in cash, shares of Common Stock, or other consideration, or any combination thereof. If payable in shares of Common Stock, the consideration for the issuance of such shares may be the achievement of the performance objective established at the time of the grant of the Performance Award. Performance Awards may be payable in a single payment or in installments and may be payable at a specified date or dates or upon attaining the performance objective. The extent to which any applicable performance objective has been achieved shall be conclusively determined by the Committee.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6.8</w:t>
      </w:r>
    </w:p>
    <w:p>
      <w:pPr>
        <w:pStyle w:val="TextBody"/>
        <w:bidi w:val="0"/>
        <w:spacing w:before="0" w:after="240"/>
        <w:jc w:val="both"/>
        <w:rPr/>
      </w:pPr>
      <w:r>
        <w:rPr>
          <w:rFonts w:ascii="Times New Roman" w:hAnsi="Times New Roman"/>
          <w:b/>
          <w:color w:val="000000"/>
          <w:sz w:val="22"/>
        </w:rPr>
        <w:t xml:space="preserve">Dividend Equivalent Rights. </w:t>
      </w:r>
      <w:r>
        <w:rPr>
          <w:rFonts w:ascii="Times New Roman" w:hAnsi="Times New Roman"/>
          <w:color w:val="000000"/>
          <w:sz w:val="22"/>
        </w:rPr>
        <w:t>The Committee may grant a Dividend Equivalent Right to any Participant, either as a component of another Award or as a separate Award. The terms and conditions of the Dividend Equivalent Right shall be specified by the grant. Dividend equivalents credited to the holder of a Dividend Equivalent Right may be paid currently or may be deemed to be reinvested in additional shares of Common Stock (which may thereafter accrue additional dividend equivalents). Any such reinvestment shall be at the Fair Market Value at the time thereof. Dividend Equivalent Rights may be settled in cash or shares of Common Stock, or a combination thereof, in a single payment or in installments. A Dividend Equivalent Right granted as a component of another Award may provide that such Dividend Equivalent Right shall be settled upon exercise, settlement, or payment of, or lapse of restrictions on, such other Award, and that such Dividend Equivalent Right granted as a component of another Award may also contain terms and conditions different from such other Award.</w:t>
      </w:r>
    </w:p>
    <w:p>
      <w:pPr>
        <w:pStyle w:val="TextBody"/>
        <w:bidi w:val="0"/>
        <w:jc w:val="center"/>
        <w:rPr>
          <w:rFonts w:ascii="Times New Roman" w:hAnsi="Times New Roman"/>
          <w:color w:val="000000"/>
          <w:sz w:val="22"/>
        </w:rPr>
      </w:pPr>
      <w:r>
        <w:rPr>
          <w:rFonts w:ascii="Times New Roman" w:hAnsi="Times New Roman"/>
          <w:color w:val="000000"/>
          <w:sz w:val="22"/>
        </w:rPr>
        <w:t>B-12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6.9</w:t>
      </w:r>
    </w:p>
    <w:p>
      <w:pPr>
        <w:pStyle w:val="TextBody"/>
        <w:bidi w:val="0"/>
        <w:spacing w:before="0" w:after="240"/>
        <w:jc w:val="both"/>
        <w:rPr/>
      </w:pPr>
      <w:r>
        <w:rPr>
          <w:rFonts w:ascii="Times New Roman" w:hAnsi="Times New Roman"/>
          <w:b/>
          <w:color w:val="000000"/>
          <w:sz w:val="22"/>
        </w:rPr>
        <w:t>Other Awards.</w:t>
      </w:r>
      <w:r>
        <w:rPr>
          <w:color w:val="000000"/>
        </w:rPr>
        <w:t xml:space="preserve"> </w:t>
      </w:r>
      <w:r>
        <w:rPr>
          <w:rFonts w:ascii="Times New Roman" w:hAnsi="Times New Roman"/>
          <w:color w:val="000000"/>
          <w:sz w:val="22"/>
        </w:rPr>
        <w:t>The Committee may grant to any Participant other forms of Awards, based upon, payable in, or otherwise related to, in whole or in part, shares of Common Stock, if the Committee determines that such other form of Award is consistent with the purpose and restrictions of this Plan. The terms and conditions of such other form of Award shall be specified by the grant. Such Other Awards may be granted for no cash consideration, for such minimum consideration as may be required by Applicable Law, or for such other consideration as may be specified by the grant.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6.10</w:t>
      </w:r>
    </w:p>
    <w:p>
      <w:pPr>
        <w:pStyle w:val="TextBody"/>
        <w:bidi w:val="0"/>
        <w:spacing w:before="0" w:after="240"/>
        <w:jc w:val="both"/>
        <w:rPr/>
      </w:pPr>
      <w:r>
        <w:rPr>
          <w:rFonts w:ascii="Times New Roman" w:hAnsi="Times New Roman"/>
          <w:b/>
          <w:color w:val="000000"/>
          <w:sz w:val="22"/>
        </w:rPr>
        <w:t xml:space="preserve">Performance Goals. </w:t>
      </w:r>
      <w:r>
        <w:rPr>
          <w:rFonts w:ascii="Times New Roman" w:hAnsi="Times New Roman"/>
          <w:color w:val="000000"/>
          <w:sz w:val="22"/>
        </w:rPr>
        <w:t>Awards (whether relating to cash or shares of Common Stock) under the Plan may be made subject to the attainment of Performance Goals. Any Performance Goal may be used to measure the performance of the Company as a whole or any business unit of the Company and may be measured relative to a peer group or index. Any Performance Goal may include or exclude (a) events that are of an unusual nature or indicate infrequency of occurrence, (b) gains or losses on the disposition of a business, (c) changes in tax or accounting regulations or laws, (d) the effect of a merger or acquisition, as identified in the Company’s quarterly and annual earnings releases, or (e) other similar occurrences. In all other respects, Performance Goals shall be calculated in accordance with the Company’s financial statements, under generally accepted accounting principles, or under a methodology established by the Committee prior to the issuance of an Award which is consistently applied and identified in the audited financial statements, including footnotes, or the Compensation Discussion and Analysis section of the Company’s annual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6.11</w:t>
      </w:r>
    </w:p>
    <w:p>
      <w:pPr>
        <w:pStyle w:val="TextBody"/>
        <w:bidi w:val="0"/>
        <w:spacing w:before="0" w:after="240"/>
        <w:jc w:val="both"/>
        <w:rPr/>
      </w:pPr>
      <w:r>
        <w:rPr>
          <w:rFonts w:ascii="Times New Roman" w:hAnsi="Times New Roman"/>
          <w:b/>
          <w:color w:val="000000"/>
          <w:sz w:val="22"/>
        </w:rPr>
        <w:t>Tandem Awards.</w:t>
      </w:r>
      <w:r>
        <w:rPr>
          <w:color w:val="000000"/>
        </w:rPr>
        <w:t xml:space="preserve"> </w:t>
      </w:r>
      <w:r>
        <w:rPr>
          <w:rFonts w:ascii="Times New Roman" w:hAnsi="Times New Roman"/>
          <w:color w:val="000000"/>
          <w:sz w:val="22"/>
        </w:rPr>
        <w:t>The Committee may grant two or more Incentives in one Award in the form of a “Tandem Award,” so that the right of the Participant to exercise one Incentive shall be canceled if, and to the extent, the other Incentive is exercised. For example, if a Stock Option and a SAR are issued in a Tandem Award, and the Participant exercises the SAR with respect to one hundred (100) shares of Common Stock, the right of the Participant to exercise the related Stock Option shall be canceled to the extent of 100 shares of Common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6.12</w:t>
      </w:r>
    </w:p>
    <w:p>
      <w:pPr>
        <w:pStyle w:val="TextBody"/>
        <w:bidi w:val="0"/>
        <w:spacing w:before="0" w:after="240"/>
        <w:jc w:val="both"/>
        <w:rPr/>
      </w:pPr>
      <w:r>
        <w:rPr>
          <w:rFonts w:ascii="Times New Roman" w:hAnsi="Times New Roman"/>
          <w:b/>
          <w:color w:val="000000"/>
          <w:sz w:val="22"/>
        </w:rPr>
        <w:t>No Repricing of Stock Options or SARs.</w:t>
      </w:r>
      <w:r>
        <w:rPr>
          <w:color w:val="000000"/>
        </w:rPr>
        <w:t xml:space="preserve"> </w:t>
      </w:r>
      <w:r>
        <w:rPr>
          <w:rFonts w:ascii="Times New Roman" w:hAnsi="Times New Roman"/>
          <w:color w:val="000000"/>
          <w:sz w:val="22"/>
        </w:rPr>
        <w:t xml:space="preserve">The Committee may not “reprice” any Stock Option or SAR without stockholder approval. For purposes of this </w:t>
      </w:r>
      <w:r>
        <w:rPr>
          <w:rFonts w:ascii="Times New Roman" w:hAnsi="Times New Roman"/>
          <w:color w:val="000000"/>
          <w:sz w:val="22"/>
          <w:u w:val="single"/>
        </w:rPr>
        <w:t>Section 6.12</w:t>
      </w:r>
      <w:r>
        <w:rPr>
          <w:rFonts w:ascii="Times New Roman" w:hAnsi="Times New Roman"/>
          <w:color w:val="000000"/>
          <w:sz w:val="22"/>
        </w:rPr>
        <w:t xml:space="preserve">, “reprice” means any of the following or any other action that has the same effect: (a) amending a Stock Option or SAR to reduce its exercise price or base price, (b) canceling a Stock Option or SAR at a time when its exercise price or base price exceeds the Fair Market Value of a share of Common Stock in exchange for cash or a Stock Option, SAR, award of Restricted Stock or other equity award, or (c) taking any other action that is treated as a repricing under generally accepted accounting principles, provided that nothing in this </w:t>
      </w:r>
      <w:r>
        <w:rPr>
          <w:rFonts w:ascii="Times New Roman" w:hAnsi="Times New Roman"/>
          <w:color w:val="000000"/>
          <w:sz w:val="22"/>
          <w:u w:val="single"/>
        </w:rPr>
        <w:t>Section 6.12</w:t>
      </w:r>
      <w:r>
        <w:rPr>
          <w:color w:val="000000"/>
        </w:rPr>
        <w:t xml:space="preserve"> </w:t>
      </w:r>
      <w:r>
        <w:rPr>
          <w:rFonts w:ascii="Times New Roman" w:hAnsi="Times New Roman"/>
          <w:color w:val="000000"/>
          <w:sz w:val="22"/>
        </w:rPr>
        <w:t xml:space="preserve">shall prevent the Committee from making adjustments pursuant to </w:t>
      </w:r>
      <w:r>
        <w:rPr>
          <w:rFonts w:ascii="Times New Roman" w:hAnsi="Times New Roman"/>
          <w:color w:val="000000"/>
          <w:sz w:val="22"/>
          <w:u w:val="single"/>
        </w:rPr>
        <w:t>Article 11</w:t>
      </w:r>
      <w:r>
        <w:rPr>
          <w:rFonts w:ascii="Times New Roman" w:hAnsi="Times New Roman"/>
          <w:color w:val="000000"/>
          <w:sz w:val="22"/>
        </w:rPr>
        <w:t xml:space="preserve">, from exchanging or cancelling Incentives pursuant to </w:t>
      </w:r>
      <w:r>
        <w:rPr>
          <w:rFonts w:ascii="Times New Roman" w:hAnsi="Times New Roman"/>
          <w:color w:val="000000"/>
          <w:sz w:val="22"/>
          <w:u w:val="single"/>
        </w:rPr>
        <w:t>Article 12</w:t>
      </w:r>
      <w:r>
        <w:rPr>
          <w:rFonts w:ascii="Times New Roman" w:hAnsi="Times New Roman"/>
          <w:color w:val="000000"/>
          <w:sz w:val="22"/>
        </w:rPr>
        <w:t xml:space="preserve">, or substituting Incentives in accordance with </w:t>
      </w:r>
      <w:r>
        <w:rPr>
          <w:rFonts w:ascii="Times New Roman" w:hAnsi="Times New Roman"/>
          <w:color w:val="000000"/>
          <w:sz w:val="22"/>
          <w:u w:val="single"/>
        </w:rPr>
        <w:t>Article 14</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6.13</w:t>
      </w:r>
    </w:p>
    <w:p>
      <w:pPr>
        <w:pStyle w:val="TextBody"/>
        <w:bidi w:val="0"/>
        <w:spacing w:before="0" w:after="240"/>
        <w:jc w:val="both"/>
        <w:rPr/>
      </w:pPr>
      <w:r>
        <w:rPr>
          <w:rFonts w:ascii="Times New Roman" w:hAnsi="Times New Roman"/>
          <w:b/>
          <w:color w:val="000000"/>
          <w:sz w:val="22"/>
        </w:rPr>
        <w:t xml:space="preserve">Recoupment for Restatements. </w:t>
      </w:r>
      <w:r>
        <w:rPr>
          <w:rFonts w:ascii="Times New Roman" w:hAnsi="Times New Roman"/>
          <w:color w:val="000000"/>
          <w:sz w:val="22"/>
        </w:rPr>
        <w:t>This Plan is subject to any written clawback policies that the Company, with the approval of the Board, may adopt. Any such policy may subject a Participant’s Awards and amounts paid or realized with respect to Awards under the Plan to reduction, cancelation, forfeiture or recoupment if certain specified events or wrongful conduct occur, including an accounting restatement due to the Company’s material noncompliance with financial reporting regulations or other events or wrongful conduct specified in any such clawback policy adopted to conform to the Dodd-Frank Wall Street Reform and Consumer Protection Act of 2010 and rules promulgated thereunder by the Securities and Exchange Commission and that the Company determines should apply to the Plan.</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7.</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AWARD PERIOD; VESTING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240"/>
        <w:jc w:val="both"/>
        <w:rPr/>
      </w:pPr>
      <w:r>
        <w:rPr>
          <w:rFonts w:ascii="Times New Roman" w:hAnsi="Times New Roman"/>
          <w:b/>
          <w:color w:val="000000"/>
          <w:sz w:val="22"/>
        </w:rPr>
        <w:t xml:space="preserve">Award Period. </w:t>
      </w:r>
      <w:r>
        <w:rPr>
          <w:rFonts w:ascii="Times New Roman" w:hAnsi="Times New Roman"/>
          <w:color w:val="000000"/>
          <w:sz w:val="22"/>
        </w:rPr>
        <w:t xml:space="preserve">Subject to the other provisions of this Plan, the Committee may, in its discretion, provide that an Incentive may not be exercised in whole or in part for any period or periods of time or beyond any date specified in the Award Agreement. Except as provided in the Award Agreement, an Incentive may be exercised in whole or in part at any time during its term. The Award Period for an Incentive shall be reduced or terminated upon Termination of Service. No Incentive granted under the Plan may be exercised at any time after the end of its Award Period. No portion of any Incentive may be exercised after the expiration of 10 years from its Date of Grant. </w:t>
      </w:r>
    </w:p>
    <w:p>
      <w:pPr>
        <w:pStyle w:val="TextBody"/>
        <w:bidi w:val="0"/>
        <w:jc w:val="center"/>
        <w:rPr>
          <w:rFonts w:ascii="Times New Roman" w:hAnsi="Times New Roman"/>
          <w:color w:val="000000"/>
          <w:sz w:val="22"/>
        </w:rPr>
      </w:pPr>
      <w:r>
        <w:rPr>
          <w:rFonts w:ascii="Times New Roman" w:hAnsi="Times New Roman"/>
          <w:color w:val="000000"/>
          <w:sz w:val="22"/>
        </w:rPr>
        <w:t>B-13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However, if an Employee owns or is deemed to own (by reason of the attribution rules of Section 424(d) of the Code) more than 10% of the combined voting power of all classes of stock of the Company (or any parent or Subsidiary) and an Incentive Stock Option is granted to such Employee, the term of such Incentive Stock Option (to the extent required by the Code at the time of grant) shall be no more than five years from the Date of Grant.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7.2</w:t>
      </w:r>
    </w:p>
    <w:p>
      <w:pPr>
        <w:pStyle w:val="TextBody"/>
        <w:bidi w:val="0"/>
        <w:spacing w:before="0" w:after="240"/>
        <w:jc w:val="both"/>
        <w:rPr/>
      </w:pPr>
      <w:r>
        <w:rPr>
          <w:rFonts w:ascii="Times New Roman" w:hAnsi="Times New Roman"/>
          <w:b/>
          <w:color w:val="000000"/>
          <w:sz w:val="22"/>
        </w:rPr>
        <w:t>Vesting.</w:t>
      </w:r>
      <w:r>
        <w:rPr>
          <w:color w:val="000000"/>
        </w:rPr>
        <w:t xml:space="preserve"> </w:t>
      </w:r>
      <w:r>
        <w:rPr>
          <w:rFonts w:ascii="Times New Roman" w:hAnsi="Times New Roman"/>
          <w:color w:val="000000"/>
          <w:sz w:val="22"/>
        </w:rPr>
        <w:t>The Committee, in its sole discretion, may determine that an Incentive will be immediately vested in whole or in part, or that all or any portion may not be vested until a date, or dates, subsequent to its Date of Grant, or until the occurrence of one or more specified events, subject in any case to the terms of the Plan. If the Committee imposes conditions upon vesting, then, subsequent to the Date of Grant, the Committee may, in its sole discretion, accelerate the date on which all or any portion of the Incentive may be vested.</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8.</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EXERCISE OR CONVERSION OF INCENTIVE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8.1</w:t>
      </w:r>
    </w:p>
    <w:p>
      <w:pPr>
        <w:pStyle w:val="TextBody"/>
        <w:bidi w:val="0"/>
        <w:spacing w:before="0" w:after="240"/>
        <w:jc w:val="both"/>
        <w:rPr/>
      </w:pPr>
      <w:r>
        <w:rPr>
          <w:rFonts w:ascii="Times New Roman" w:hAnsi="Times New Roman"/>
          <w:b/>
          <w:color w:val="000000"/>
          <w:sz w:val="22"/>
        </w:rPr>
        <w:t>In General</w:t>
      </w:r>
      <w:r>
        <w:rPr>
          <w:rFonts w:ascii="Times New Roman" w:hAnsi="Times New Roman"/>
          <w:color w:val="000000"/>
          <w:sz w:val="22"/>
        </w:rPr>
        <w:t>. A vested Incentive may be exercised or converted, during its Award Period, subject to limitations and restrictions set forth in the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8.2</w:t>
      </w:r>
    </w:p>
    <w:p>
      <w:pPr>
        <w:pStyle w:val="TextBody"/>
        <w:bidi w:val="0"/>
        <w:spacing w:before="0" w:after="240"/>
        <w:jc w:val="both"/>
        <w:rPr/>
      </w:pPr>
      <w:r>
        <w:rPr>
          <w:rFonts w:ascii="Times New Roman" w:hAnsi="Times New Roman"/>
          <w:b/>
          <w:color w:val="000000"/>
          <w:sz w:val="22"/>
        </w:rPr>
        <w:t>Securities Law and Exchange Restrictions.</w:t>
      </w:r>
      <w:r>
        <w:rPr>
          <w:color w:val="000000"/>
        </w:rPr>
        <w:t xml:space="preserve"> </w:t>
      </w:r>
      <w:r>
        <w:rPr>
          <w:rFonts w:ascii="Times New Roman" w:hAnsi="Times New Roman"/>
          <w:color w:val="000000"/>
          <w:sz w:val="22"/>
        </w:rPr>
        <w:t>In no event may an Incentive be exercised or shares of Common Stock be issued pursuant to an Award if a necessary listing or quotation of the shares of Common Stock on a stock exchange or inter-dealer quotation system or any registration under state or federal securities laws required under the circumstances has not been accomplished.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8.3</w:t>
      </w:r>
    </w:p>
    <w:p>
      <w:pPr>
        <w:pStyle w:val="TextBody"/>
        <w:bidi w:val="0"/>
        <w:spacing w:before="0" w:after="240"/>
        <w:jc w:val="both"/>
        <w:rPr/>
      </w:pPr>
      <w:r>
        <w:rPr>
          <w:rFonts w:ascii="Times New Roman" w:hAnsi="Times New Roman"/>
          <w:b/>
          <w:color w:val="000000"/>
          <w:sz w:val="22"/>
        </w:rPr>
        <w:t>Exercise of Stock Option</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pPr>
      <w:r>
        <w:rPr>
          <w:rFonts w:ascii="Times New Roman" w:hAnsi="Times New Roman"/>
          <w:b/>
          <w:color w:val="000000"/>
          <w:sz w:val="22"/>
        </w:rPr>
        <w:t>In General.</w:t>
      </w:r>
      <w:r>
        <w:rPr>
          <w:color w:val="000000"/>
        </w:rPr>
        <w:t xml:space="preserve"> </w:t>
      </w:r>
      <w:r>
        <w:rPr>
          <w:rFonts w:ascii="Times New Roman" w:hAnsi="Times New Roman"/>
          <w:color w:val="000000"/>
          <w:sz w:val="22"/>
        </w:rPr>
        <w:t>If a Stock Option is exercisable prior to the time it is vested, the Common Stock obtained on the exercise of the Stock Option shall be Restricted Stock which is subject to the applicable provisions of the Plan and the Award Agreement. If the Committee imposes conditions upon exercise, then subsequent to the Date of Grant, the Committee may, in its sole discretion, accelerate the date on which all or any portion of the Stock Option may be exercised. No Stock Option may be exercised for a fractional share of Common Stock. The granting of a Stock Option shall impose no obligation upon the Participant to exercise that Stock Option. Each Award Agreement with respect to a Stock Option shall include provisions governing exercise of the Stock Option on or following the Participant’s Termination of Service, which shall be established by the Committee in its sole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b/>
          <w:color w:val="000000"/>
          <w:sz w:val="22"/>
        </w:rPr>
        <w:t>Notice and Payment.</w:t>
      </w:r>
      <w:r>
        <w:rPr>
          <w:color w:val="000000"/>
        </w:rPr>
        <w:t xml:space="preserve"> </w:t>
      </w:r>
      <w:r>
        <w:rPr>
          <w:rFonts w:ascii="Times New Roman" w:hAnsi="Times New Roman"/>
          <w:color w:val="000000"/>
          <w:sz w:val="22"/>
        </w:rPr>
        <w:t>Subject to such administrative regulations as the Committee may from time to time adopt, a Stock Option may be exercised by the delivery of written notice to the Company (in accordance with the notice provisions in the Participant’s Award Agreement) setting forth the number of shares of Common Stock with respect to which the Stock Option is to be exercised (the “</w:t>
      </w:r>
      <w:r>
        <w:rPr>
          <w:rFonts w:ascii="Times New Roman" w:hAnsi="Times New Roman"/>
          <w:b/>
          <w:i/>
          <w:color w:val="000000"/>
          <w:sz w:val="22"/>
        </w:rPr>
        <w:t>Exercise Notice</w:t>
      </w:r>
      <w:r>
        <w:rPr>
          <w:color w:val="000000"/>
        </w:rPr>
        <w:t>”</w:t>
      </w:r>
      <w:r>
        <w:rPr>
          <w:rFonts w:ascii="Times New Roman" w:hAnsi="Times New Roman"/>
          <w:color w:val="000000"/>
          <w:sz w:val="22"/>
        </w:rPr>
        <w:t>) and the Exercise Date with respect to any Stock Option shall be the date that the Participant has delivered both the Exercise Notice and consideration to the Company with a value equal to the total Option Price of the shares to be purchased (plus any employment tax withholding or other tax payment due with respect to such Award), payable as provided in the Award Agreement, which may provide for payment in any one or more of the following ways: (i) cash or check, bank draft, or money order payable to the order of the Company, (ii) Common Stock (including Restricted Stock) owned by the Participant on the Exercise Date, valued at its Fair Market Value on the Exercise Date, (iii) by delivery (including by FAX or electronic transmission) to the Company or its designated agent of an executed irrevocable option exercise form (or, to the extent permitted by the Company, exercise instructions, which may be communicated in writing, telephonically, or electronically) together with irrevocable instructions from the Participant to a broker or dealer, reasonably acceptable to the Company, to sell certain of the shares of Common Stock purchased upon exercise of the Stock Option and promptly deliver to the Company the amount of sale proceeds necessary to pay such purchase price, (iv) by requesting the Company to withhold the number of shares otherwise deliverable upon exercise of the Stock Option by the number of shares of Common Stock having an aggregate Fair Market Value equal to the aggregate Option Price at the time of exercise (</w:t>
      </w:r>
      <w:r>
        <w:rPr>
          <w:rFonts w:ascii="Times New Roman" w:hAnsi="Times New Roman"/>
          <w:i/>
          <w:color w:val="000000"/>
          <w:sz w:val="22"/>
        </w:rPr>
        <w:t xml:space="preserve">i.e., </w:t>
      </w:r>
      <w:r>
        <w:rPr>
          <w:rFonts w:ascii="Times New Roman" w:hAnsi="Times New Roman"/>
          <w:color w:val="000000"/>
          <w:sz w:val="22"/>
        </w:rPr>
        <w:t xml:space="preserve">a cashless </w:t>
      </w:r>
    </w:p>
    <w:p>
      <w:pPr>
        <w:pStyle w:val="TextBody"/>
        <w:bidi w:val="0"/>
        <w:jc w:val="center"/>
        <w:rPr>
          <w:rFonts w:ascii="Times New Roman" w:hAnsi="Times New Roman"/>
          <w:color w:val="000000"/>
          <w:sz w:val="22"/>
        </w:rPr>
      </w:pPr>
      <w:r>
        <w:rPr>
          <w:rFonts w:ascii="Times New Roman" w:hAnsi="Times New Roman"/>
          <w:color w:val="000000"/>
          <w:sz w:val="22"/>
        </w:rPr>
        <w:t>B-14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pPr>
      <w:r>
        <w:rPr>
          <w:rFonts w:ascii="Times New Roman" w:hAnsi="Times New Roman"/>
          <w:color w:val="000000"/>
          <w:sz w:val="22"/>
        </w:rPr>
        <w:t>net exercise), and/or (v) in any other form of valid consideration that is acceptable to the Committee in its sole discretion. In the event that shares of Restricted Stock are tendered as consideration for the exercise of a Stock Option, a number of shares of Common Stock issued upon the exercise of the Stock Option equal to the number of shares of Restricted Stock used as consideration therefor shall be subject to the same restrictions and provisions as the Restricted Stock so tendered.</w:t>
      </w:r>
      <w:r>
        <w:rPr>
          <w:color w:val="000000"/>
        </w:rPr>
        <w:t xml:space="preserve"> </w:t>
      </w:r>
      <w:r>
        <w:rPr>
          <w:rFonts w:ascii="Times New Roman" w:hAnsi="Times New Roman"/>
          <w:color w:val="000000"/>
          <w:sz w:val="22"/>
        </w:rPr>
        <w:t xml:space="preserve">If the Participant fails to deliver the consideration described in this </w:t>
      </w:r>
      <w:r>
        <w:rPr>
          <w:rFonts w:ascii="Times New Roman" w:hAnsi="Times New Roman"/>
          <w:color w:val="000000"/>
          <w:sz w:val="22"/>
          <w:u w:val="single"/>
        </w:rPr>
        <w:t>Section 8.3(b)</w:t>
      </w:r>
      <w:r>
        <w:rPr>
          <w:color w:val="000000"/>
        </w:rPr>
        <w:t xml:space="preserve"> </w:t>
      </w:r>
      <w:r>
        <w:rPr>
          <w:rFonts w:ascii="Times New Roman" w:hAnsi="Times New Roman"/>
          <w:color w:val="000000"/>
          <w:sz w:val="22"/>
        </w:rPr>
        <w:t>within three business days of the date of the Exercise Notice, then the Exercise Notice shall be null and void and the Company will have no obligation to deliver any shares of Common Stock to the Participant in connection with such Exercise Notice.</w:t>
      </w:r>
      <w:r>
        <w:rPr>
          <w:color w:val="00000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29" w:name="elpgbr161"/>
      <w:bookmarkEnd w:id="29"/>
      <w:r>
        <w:rPr>
          <w:rFonts w:ascii="Times New Roman" w:hAnsi="Times New Roman"/>
          <w:b/>
          <w:color w:val="000000"/>
          <w:sz w:val="22"/>
        </w:rPr>
        <w:t>Issuance of Certificate.</w:t>
      </w:r>
      <w:r>
        <w:rPr>
          <w:color w:val="000000"/>
        </w:rPr>
        <w:t xml:space="preserve"> </w:t>
      </w:r>
      <w:r>
        <w:rPr>
          <w:rFonts w:ascii="Times New Roman" w:hAnsi="Times New Roman"/>
          <w:color w:val="000000"/>
          <w:sz w:val="22"/>
        </w:rPr>
        <w:t xml:space="preserve">Except as otherwise provided in </w:t>
      </w:r>
      <w:r>
        <w:rPr>
          <w:rFonts w:ascii="Times New Roman" w:hAnsi="Times New Roman"/>
          <w:color w:val="000000"/>
          <w:sz w:val="22"/>
          <w:u w:val="single"/>
        </w:rPr>
        <w:t>Section 6.4</w:t>
      </w:r>
      <w:r>
        <w:rPr>
          <w:color w:val="000000"/>
        </w:rPr>
        <w:t xml:space="preserve"> </w:t>
      </w:r>
      <w:r>
        <w:rPr>
          <w:rFonts w:ascii="Times New Roman" w:hAnsi="Times New Roman"/>
          <w:color w:val="000000"/>
          <w:sz w:val="22"/>
        </w:rPr>
        <w:t>hereof (with respect to shares of Restricted Stock) or in the applicable Award Agreement, upon payment of all amounts due from the Participant, the Company shall cause the Common Stock then being purchased to be registered in the Participant’s name (or the person exercising the Participant’s Stock Option in the event of the Participant’s death), but shall not issue certificates for the Common Stock unless the Participant or such other person requests delivery of the certificates for the Common Stock, in writing in accordance with the procedures established by the Committee. The Company shall deliver certificates to the Participant (or the person exercising the Participant’s Stock Option in the event of the Participant’s death) as soon as administratively practicable following the Company’s receipt of a written request from the Participant or such other person for delivery of the certificates. Notwithstanding the forgoing, if the Participant has exercised an Incentive Stock Option, the Company may at its option place a transfer restriction on any electronically registered shares (or if a physical certificate is issued to the Participant, retain physical possession of the certificate evidencing the shares acquired upon exercise) until the expiration of the holding periods described in Section 422(a)(1) of the Code. Any obligation of the Company to deliver shares of Common Stock shall, however, be subject to the condition that, if at any time the Committee shall determine in its discretion that the listing, registration, or qualification of the Stock Option or the Common Stock upon any securities exchange or inter-dealer quotation system or under any state or federal law, or the consent or approval of any governmental regulatory body, is necessary as a condition of, or in connection with, the Stock Option or the issuance or purchase of shares of Common Stock thereunder, the Stock Option may not be exercised in whole or in part unless such listing, registration, qualification, consent, or approval shall have been effected or obtained free of any conditions not reasonably acceptable to the Committee.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40"/>
        <w:jc w:val="both"/>
        <w:rPr/>
      </w:pPr>
      <w:r>
        <w:rPr>
          <w:rFonts w:ascii="Times New Roman" w:hAnsi="Times New Roman"/>
          <w:b/>
          <w:color w:val="000000"/>
          <w:sz w:val="22"/>
        </w:rPr>
        <w:t>Failure to Pay.</w:t>
      </w:r>
      <w:r>
        <w:rPr>
          <w:color w:val="000000"/>
        </w:rPr>
        <w:t xml:space="preserve"> </w:t>
      </w:r>
      <w:r>
        <w:rPr>
          <w:rFonts w:ascii="Times New Roman" w:hAnsi="Times New Roman"/>
          <w:color w:val="000000"/>
          <w:sz w:val="22"/>
        </w:rPr>
        <w:t>Except as may otherwise be provided in an Award Agreement, if the Participant fails to pay for any of the Common Stock specified in such notice or fails to accept delivery thereof, that portion of the Participant’s Stock Option and right to purchase such Common Stock may be forfeited by the Participant, in the Committee’s sole discretion.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8.4</w:t>
      </w:r>
    </w:p>
    <w:p>
      <w:pPr>
        <w:pStyle w:val="TextBody"/>
        <w:bidi w:val="0"/>
        <w:spacing w:before="0" w:after="240"/>
        <w:jc w:val="both"/>
        <w:rPr/>
      </w:pPr>
      <w:r>
        <w:rPr>
          <w:rFonts w:ascii="Times New Roman" w:hAnsi="Times New Roman"/>
          <w:b/>
          <w:color w:val="000000"/>
          <w:sz w:val="22"/>
        </w:rPr>
        <w:t>SARs.</w:t>
      </w:r>
      <w:r>
        <w:rPr>
          <w:color w:val="000000"/>
        </w:rPr>
        <w:t xml:space="preserve"> </w:t>
      </w:r>
      <w:r>
        <w:rPr>
          <w:rFonts w:ascii="Times New Roman" w:hAnsi="Times New Roman"/>
          <w:color w:val="000000"/>
          <w:sz w:val="22"/>
        </w:rPr>
        <w:t xml:space="preserve">Subject to the conditions of this </w:t>
      </w:r>
      <w:r>
        <w:rPr>
          <w:rFonts w:ascii="Times New Roman" w:hAnsi="Times New Roman"/>
          <w:color w:val="000000"/>
          <w:sz w:val="22"/>
          <w:u w:val="single"/>
        </w:rPr>
        <w:t>Section 8.4</w:t>
      </w:r>
      <w:r>
        <w:rPr>
          <w:color w:val="000000"/>
        </w:rPr>
        <w:t xml:space="preserve"> </w:t>
      </w:r>
      <w:r>
        <w:rPr>
          <w:rFonts w:ascii="Times New Roman" w:hAnsi="Times New Roman"/>
          <w:color w:val="000000"/>
          <w:sz w:val="22"/>
        </w:rPr>
        <w:t>and such administrative regulations as the Committee may from time to time adopt, a SAR may be exercised by the delivery (including by FAX) of an Exercise Notice to the Committee setting forth the number of shares of Common Stock with respect to which the SAR is to be exercised and the Exercise Date thereof. Subject to the terms of the Award Agreement and only if permissible under Section 409A of the Code and the regulations or other guidance issued thereunder (or, if not so permissible, at such time as permitted by Section 409A of the Code and the regulations or other guidance issued thereunder), the Participant shall receive from the Company in exchange therefor in the discretion of the Committee, and subject to the terms of the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cash in an amount equal to the excess (if any) of the Fair Market Value (as of the Exercise Date, or if provided in the Award Agreement, conversion, of the SAR) per share of Common Stock over the SAR Price per share specified in such SAR, multiplied by the total number of shares of Common Stock of the SAR being surrendered;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that number of shares of Common Stock having an aggregate Fair Market Value (as of the Exercise Date, or if provided in the Award Agreement, conversion, of the SAR) equal to the amount of cash otherwise payable to the Participant, with a cash settlement to be made for any fractional share interests; or</w:t>
      </w:r>
    </w:p>
    <w:p>
      <w:pPr>
        <w:pStyle w:val="TextBody"/>
        <w:bidi w:val="0"/>
        <w:jc w:val="center"/>
        <w:rPr>
          <w:rFonts w:ascii="Times New Roman" w:hAnsi="Times New Roman"/>
          <w:color w:val="000000"/>
          <w:sz w:val="22"/>
        </w:rPr>
      </w:pPr>
      <w:r>
        <w:rPr>
          <w:rFonts w:ascii="Times New Roman" w:hAnsi="Times New Roman"/>
          <w:color w:val="000000"/>
          <w:sz w:val="22"/>
        </w:rPr>
        <w:t>B-15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may settle such obligation in part with shares of Common Stock and in part with cash.</w:t>
      </w:r>
    </w:p>
    <w:p>
      <w:pPr>
        <w:pStyle w:val="TextBody"/>
        <w:bidi w:val="0"/>
        <w:jc w:val="left"/>
        <w:rPr>
          <w:rFonts w:ascii="Times New Roman" w:hAnsi="Times New Roman"/>
          <w:color w:val="000000"/>
          <w:sz w:val="22"/>
        </w:rPr>
      </w:pPr>
      <w:r>
        <w:rPr>
          <w:rFonts w:ascii="Times New Roman" w:hAnsi="Times New Roman"/>
          <w:color w:val="000000"/>
          <w:sz w:val="22"/>
        </w:rPr>
        <w:t>The distribution of any cash or Common Stock pursuant to the foregoing sentence shall be made at such time as set forth in the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8.5</w:t>
      </w:r>
    </w:p>
    <w:p>
      <w:pPr>
        <w:pStyle w:val="TextBody"/>
        <w:bidi w:val="0"/>
        <w:spacing w:before="0" w:after="240"/>
        <w:jc w:val="both"/>
        <w:rPr/>
      </w:pPr>
      <w:r>
        <w:rPr>
          <w:rFonts w:ascii="Times New Roman" w:hAnsi="Times New Roman"/>
          <w:b/>
          <w:color w:val="000000"/>
          <w:sz w:val="22"/>
        </w:rPr>
        <w:t>Disqualifying Disposition of Incentive Stock Option.</w:t>
      </w:r>
      <w:r>
        <w:rPr>
          <w:color w:val="000000"/>
        </w:rPr>
        <w:t xml:space="preserve"> </w:t>
      </w:r>
      <w:r>
        <w:rPr>
          <w:rFonts w:ascii="Times New Roman" w:hAnsi="Times New Roman"/>
          <w:color w:val="000000"/>
          <w:sz w:val="22"/>
        </w:rPr>
        <w:t>If shares of Common Stock acquired upon exercise of an Incentive Stock Option are disposed of by a Participant prior to the expiration of either two years from the Date of Grant of such Stock Option or one year from the transfer of shares of Common Stock to the Participant pursuant to the exercise of such Stock Option, or in any other disqualifying disposition within the meaning of Section 422 of the Code, such Participant shall notify the Company in writing of the date and terms of such disposition. A disqualifying disposition by a Participant shall not affect the status of any other Stock Option granted under the Plan as an Incentive Stock Option within the meaning of Section 422 of the Code.</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9.</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AMENDMENT OR DISCONTINUANCE</w:t>
      </w:r>
    </w:p>
    <w:p>
      <w:pPr>
        <w:pStyle w:val="TextBody"/>
        <w:bidi w:val="0"/>
        <w:spacing w:before="0" w:after="480"/>
        <w:jc w:val="both"/>
        <w:rPr>
          <w:rFonts w:ascii="Times New Roman" w:hAnsi="Times New Roman"/>
          <w:sz w:val="20"/>
        </w:rPr>
      </w:pPr>
      <w:r>
        <w:rPr>
          <w:rFonts w:ascii="Times New Roman" w:hAnsi="Times New Roman"/>
          <w:color w:val="000000"/>
          <w:sz w:val="22"/>
        </w:rPr>
        <w:t xml:space="preserve">Subject to the limitations set forth in this </w:t>
      </w:r>
      <w:r>
        <w:rPr>
          <w:rFonts w:ascii="Times New Roman" w:hAnsi="Times New Roman"/>
          <w:color w:val="000000"/>
          <w:sz w:val="22"/>
          <w:u w:val="single"/>
        </w:rPr>
        <w:t>Article 9</w:t>
      </w:r>
      <w:r>
        <w:rPr>
          <w:rFonts w:ascii="Times New Roman" w:hAnsi="Times New Roman"/>
          <w:color w:val="000000"/>
          <w:sz w:val="22"/>
        </w:rPr>
        <w:t>, the Board may at any time and from time to time, without the consent of the Participants, alter, amend, revise, suspend, or discontinue the Plan in whole or in part; provided, however, that no amendment for which stockholder approval is required either (a) by any securities exchange or inter-dealer quotation system on which the Common Stock is listed or traded or (b) in order for the Plan and Incentives awarded under the Plan to continue to comply with Sections 421 and 422 of the Code, including any successors to such Sections, or other Applicable Law, shall be effective unless such amendment shall be approved by the requisite vote of the stockholder</w:t>
      </w:r>
      <w:r>
        <w:rPr>
          <w:rFonts w:ascii="Times New Roman" w:hAnsi="Times New Roman"/>
          <w:b/>
          <w:color w:val="000000"/>
          <w:sz w:val="22"/>
        </w:rPr>
        <w:t xml:space="preserve">s </w:t>
      </w:r>
      <w:r>
        <w:rPr>
          <w:rFonts w:ascii="Times New Roman" w:hAnsi="Times New Roman"/>
          <w:color w:val="000000"/>
          <w:sz w:val="22"/>
        </w:rPr>
        <w:t xml:space="preserve">of the Company entitled to vote thereon. Any such amendment shall, to the extent deemed necessary or advisable by the Committee, be applicable to any outstanding Incentives theretofore granted under the Plan, notwithstanding any contrary provisions contained in any Award Agreement. In the event of any such amendment to the Plan, the holder of any Incentive outstanding under the Plan shall, upon request of the Committee and as a condition to the exercisability thereof, execute a conforming amendment in the form prescribed by the Committee to any Award Agreement relating thereto. Notwithstanding anything contained in this Plan to the contrary, unless required by law, no action contemplated or permitted by this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shall adversely affect any rights of Participants or obligations of the Company to Participants with respect to any Incentive theretofore granted under the Plan without the consent of the affected Participant. For purposes of clarity, any amendment to an existing Award resulting in a less favorable tax consequence to a Participant under the Award shall not be considered to adversely affect the rights of the Participant.</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10.</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TERM</w:t>
      </w:r>
    </w:p>
    <w:p>
      <w:pPr>
        <w:pStyle w:val="TextBody"/>
        <w:bidi w:val="0"/>
        <w:spacing w:before="0" w:after="480"/>
        <w:jc w:val="left"/>
        <w:rPr>
          <w:rFonts w:ascii="Times New Roman" w:hAnsi="Times New Roman"/>
          <w:sz w:val="20"/>
        </w:rPr>
      </w:pPr>
      <w:r>
        <w:rPr>
          <w:rFonts w:ascii="Times New Roman" w:hAnsi="Times New Roman"/>
          <w:color w:val="000000"/>
          <w:sz w:val="22"/>
        </w:rPr>
        <w:t>The Plan shall be effective as of the Effective Date and unless sooner terminated by action of the Board, the Plan will terminate on the 10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anniversary of the Effective Date, but Incentives granted before that date will continue to be effective in accordance with their terms and conditions.</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11.</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CAPITAL ADJUSTMENTS</w:t>
      </w:r>
    </w:p>
    <w:p>
      <w:pPr>
        <w:pStyle w:val="TextBody"/>
        <w:bidi w:val="0"/>
        <w:jc w:val="both"/>
        <w:rPr>
          <w:rFonts w:ascii="Times New Roman" w:hAnsi="Times New Roman"/>
          <w:sz w:val="20"/>
        </w:rPr>
      </w:pPr>
      <w:r>
        <w:rPr>
          <w:rFonts w:ascii="Times New Roman" w:hAnsi="Times New Roman"/>
          <w:color w:val="000000"/>
          <w:sz w:val="22"/>
        </w:rPr>
        <w:t>In the event that any dividend or other distribution (whether in the form of cash, Common Stock, other securities, or other property), recapitalization, stock split, reverse stock split, rights offering, reorganization, merger, consolidation, split-up, spin-off, split-off, combination, subdivision, repurchase, or exchange of Common Stock or other securities of the Company, issuance of warrants or other rights to purchase Common Stock or other securities of the Company, or other similar corporate transaction or event affects the fair value of an Award, then the Committee shall adjust any or all of the following so that the fair value of the Award immediately after the transaction or event is equal to the fair value of the Award immediately prior to the transaction or event (a)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B-16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number of shares and type of Common Stock (or the securities or property) which thereafter may be made the subject of Awards, (b) the number of shares and type of Common Stock (or other securities or property) subject to outstanding Awards, (c) the Option Price of each outstanding Award, (d) the amount, if any, the Company pays for forfeited shares of Common Stock in accordance with </w:t>
      </w:r>
      <w:r>
        <w:rPr>
          <w:rFonts w:ascii="Times New Roman" w:hAnsi="Times New Roman"/>
          <w:color w:val="000000"/>
          <w:sz w:val="22"/>
          <w:u w:val="single"/>
        </w:rPr>
        <w:t>Section 6.4</w:t>
      </w:r>
      <w:r>
        <w:rPr>
          <w:rFonts w:ascii="Times New Roman" w:hAnsi="Times New Roman"/>
          <w:color w:val="000000"/>
          <w:sz w:val="22"/>
        </w:rPr>
        <w:t>, and (e) the number of or SAR Price of shares of Common Stock then subject to outstanding SARs previously granted and unexercised under the Plan, to the end that the same proportion of the Company’s issued and outstanding shares of Common Stock in each instance shall remain subject to exercise at the same aggregate SAR Price; provided, however, that the number of shares of Common Stock (or other securities or property) subject to any Award shall always be a whole number. Notwithstanding the foregoing, no such adjustment shall be made or authorized to the extent that such adjustment would cause the Plan or any Stock Option to violate Section 422 of the Code or Section 409A of the Code. Such adjustments shall be made in accordance with the rules of any securities exchange, stock market, or stock quotation system to which the Company is subject.</w:t>
      </w:r>
    </w:p>
    <w:p>
      <w:pPr>
        <w:pStyle w:val="TextBody"/>
        <w:bidi w:val="0"/>
        <w:spacing w:before="0" w:after="480"/>
        <w:jc w:val="both"/>
        <w:rPr>
          <w:rFonts w:ascii="Times New Roman" w:hAnsi="Times New Roman"/>
          <w:color w:val="000000"/>
          <w:sz w:val="22"/>
        </w:rPr>
      </w:pPr>
      <w:r>
        <w:rPr>
          <w:rFonts w:ascii="Times New Roman" w:hAnsi="Times New Roman"/>
          <w:color w:val="000000"/>
          <w:sz w:val="22"/>
        </w:rPr>
        <w:t>The computation of any adjustment under this Article 11 shall be conclusive and shall be binding upon each affected Participant and upon the occurrence of any such adjustment, the Company shall provide notice to each affected Participant of its computation of such adjustment.</w:t>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12.</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RECAPITALIZATION, MERGER AND CONSOLIDATION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12.1</w:t>
      </w:r>
    </w:p>
    <w:p>
      <w:pPr>
        <w:pStyle w:val="TextBody"/>
        <w:bidi w:val="0"/>
        <w:spacing w:before="0" w:after="240"/>
        <w:jc w:val="both"/>
        <w:rPr/>
      </w:pPr>
      <w:r>
        <w:rPr>
          <w:rFonts w:ascii="Times New Roman" w:hAnsi="Times New Roman"/>
          <w:b/>
          <w:color w:val="000000"/>
          <w:sz w:val="22"/>
        </w:rPr>
        <w:t>No Effect on Company’s Authority.</w:t>
      </w:r>
      <w:r>
        <w:rPr>
          <w:color w:val="000000"/>
        </w:rPr>
        <w:t xml:space="preserve"> </w:t>
      </w:r>
      <w:r>
        <w:rPr>
          <w:rFonts w:ascii="Times New Roman" w:hAnsi="Times New Roman"/>
          <w:color w:val="000000"/>
          <w:sz w:val="22"/>
        </w:rPr>
        <w:t>The existence of this Plan and Incentives granted hereunder shall not affect in any way the right or power of the Company or its stockholder</w:t>
      </w:r>
      <w:r>
        <w:rPr>
          <w:rFonts w:ascii="Times New Roman" w:hAnsi="Times New Roman"/>
          <w:b/>
          <w:color w:val="000000"/>
          <w:sz w:val="22"/>
        </w:rPr>
        <w:t>s</w:t>
      </w:r>
      <w:r>
        <w:rPr>
          <w:color w:val="000000"/>
        </w:rPr>
        <w:t xml:space="preserve"> </w:t>
      </w:r>
      <w:r>
        <w:rPr>
          <w:rFonts w:ascii="Times New Roman" w:hAnsi="Times New Roman"/>
          <w:color w:val="000000"/>
          <w:sz w:val="22"/>
        </w:rPr>
        <w:t>to make or authorize any or all adjustments, recapitalizations, reorganizations, or other changes in the Company’s capital structure and its business, or any Change in Control, or any merger or consolidation of the Company, or any issuance of bonds, debentures, preferred or preference stocks ranking prior to or otherwise affecting the Common Stock or the rights thereof (or any rights, options, or warrants to purchase same), or the dissolution or liquidation of the Company, or any sale or transfer of all or any part of its assets or business, or any other corporate act or proceeding, whether of a similar character or otherwise.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12.2</w:t>
      </w:r>
    </w:p>
    <w:p>
      <w:pPr>
        <w:pStyle w:val="TextBody"/>
        <w:bidi w:val="0"/>
        <w:spacing w:before="0" w:after="240"/>
        <w:jc w:val="both"/>
        <w:rPr/>
      </w:pPr>
      <w:r>
        <w:rPr>
          <w:rFonts w:ascii="Times New Roman" w:hAnsi="Times New Roman"/>
          <w:b/>
          <w:color w:val="000000"/>
          <w:sz w:val="22"/>
        </w:rPr>
        <w:t>Conversion of Incentives Where Company Survives.</w:t>
      </w:r>
      <w:r>
        <w:rPr>
          <w:color w:val="000000"/>
        </w:rPr>
        <w:t xml:space="preserve"> </w:t>
      </w:r>
      <w:r>
        <w:rPr>
          <w:rFonts w:ascii="Times New Roman" w:hAnsi="Times New Roman"/>
          <w:color w:val="000000"/>
          <w:sz w:val="22"/>
        </w:rPr>
        <w:t>Subject to any required action by the stockholder</w:t>
      </w:r>
      <w:r>
        <w:rPr>
          <w:rFonts w:ascii="Times New Roman" w:hAnsi="Times New Roman"/>
          <w:b/>
          <w:color w:val="000000"/>
          <w:sz w:val="22"/>
        </w:rPr>
        <w:t>s</w:t>
      </w:r>
      <w:r>
        <w:rPr>
          <w:color w:val="000000"/>
        </w:rPr>
        <w:t xml:space="preserve"> </w:t>
      </w:r>
      <w:r>
        <w:rPr>
          <w:rFonts w:ascii="Times New Roman" w:hAnsi="Times New Roman"/>
          <w:color w:val="000000"/>
          <w:sz w:val="22"/>
        </w:rPr>
        <w:t xml:space="preserve">and except as otherwise provided by </w:t>
      </w:r>
      <w:r>
        <w:rPr>
          <w:rFonts w:ascii="Times New Roman" w:hAnsi="Times New Roman"/>
          <w:color w:val="000000"/>
          <w:sz w:val="22"/>
          <w:u w:val="single"/>
        </w:rPr>
        <w:t>Section 12.4</w:t>
      </w:r>
      <w:r>
        <w:rPr>
          <w:color w:val="000000"/>
        </w:rPr>
        <w:t xml:space="preserve"> </w:t>
      </w:r>
      <w:r>
        <w:rPr>
          <w:rFonts w:ascii="Times New Roman" w:hAnsi="Times New Roman"/>
          <w:color w:val="000000"/>
          <w:sz w:val="22"/>
        </w:rPr>
        <w:t>hereof or as may be required to comply with Section 409A of the Code and the regulations or other guidance issued thereunder, if the Company shall be the surviving or resulting corporation in any merger, consolidation or share exchange, any Incentive granted hereunder shall pertain to and apply to the securities or rights (including cash, property, or assets) to which a holder of the number of shares of Common Stock subject to the Incentive would have been entitled.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12.3</w:t>
      </w:r>
    </w:p>
    <w:p>
      <w:pPr>
        <w:pStyle w:val="TextBody"/>
        <w:bidi w:val="0"/>
        <w:spacing w:before="0" w:after="240"/>
        <w:jc w:val="both"/>
        <w:rPr/>
      </w:pPr>
      <w:r>
        <w:rPr>
          <w:rFonts w:ascii="Times New Roman" w:hAnsi="Times New Roman"/>
          <w:b/>
          <w:color w:val="000000"/>
          <w:sz w:val="22"/>
        </w:rPr>
        <w:t xml:space="preserve">Exchange or Cancellation of Incentives Where Company Does Not Survive. </w:t>
      </w:r>
      <w:r>
        <w:rPr>
          <w:rFonts w:ascii="Times New Roman" w:hAnsi="Times New Roman"/>
          <w:color w:val="000000"/>
          <w:sz w:val="22"/>
        </w:rPr>
        <w:t xml:space="preserve">Except as otherwise provided by </w:t>
      </w:r>
      <w:r>
        <w:rPr>
          <w:rFonts w:ascii="Times New Roman" w:hAnsi="Times New Roman"/>
          <w:color w:val="000000"/>
          <w:sz w:val="22"/>
          <w:u w:val="single"/>
        </w:rPr>
        <w:t>Section 12.4</w:t>
      </w:r>
      <w:r>
        <w:rPr>
          <w:color w:val="000000"/>
        </w:rPr>
        <w:t xml:space="preserve"> </w:t>
      </w:r>
      <w:r>
        <w:rPr>
          <w:rFonts w:ascii="Times New Roman" w:hAnsi="Times New Roman"/>
          <w:color w:val="000000"/>
          <w:sz w:val="22"/>
        </w:rPr>
        <w:t>hereof or as may be required to comply with Section 409A of the Code and the regulations or other guidance issued thereunder, in the event of any merger, consolidation or share exchange pursuant to which the Company is not the surviving or resulting corporation, there shall be substituted for each share of Common Stock subject to the unexercised portions of outstanding Incentives, that number of shares of each class of stock or other securities or that amount of cash, property, or assets of the surviving, resulting or consolidated company which were distributed or distributable to the stockholder</w:t>
      </w:r>
      <w:r>
        <w:rPr>
          <w:rFonts w:ascii="Times New Roman" w:hAnsi="Times New Roman"/>
          <w:b/>
          <w:color w:val="000000"/>
          <w:sz w:val="22"/>
        </w:rPr>
        <w:t>s</w:t>
      </w:r>
      <w:r>
        <w:rPr>
          <w:color w:val="000000"/>
        </w:rPr>
        <w:t xml:space="preserve"> </w:t>
      </w:r>
      <w:r>
        <w:rPr>
          <w:rFonts w:ascii="Times New Roman" w:hAnsi="Times New Roman"/>
          <w:color w:val="000000"/>
          <w:sz w:val="22"/>
        </w:rPr>
        <w:t>of the Company in respect to each share of Common Stock held by them, such outstanding Incentives to be thereafter exercisable for such stock, securities, cash, or property in accordance with their terms.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12.4</w:t>
      </w:r>
    </w:p>
    <w:p>
      <w:pPr>
        <w:pStyle w:val="TextBody"/>
        <w:bidi w:val="0"/>
        <w:spacing w:before="0" w:after="240"/>
        <w:jc w:val="both"/>
        <w:rPr/>
      </w:pPr>
      <w:r>
        <w:rPr>
          <w:rFonts w:ascii="Times New Roman" w:hAnsi="Times New Roman"/>
          <w:b/>
          <w:color w:val="000000"/>
          <w:sz w:val="22"/>
        </w:rPr>
        <w:t xml:space="preserve">Cancellation of Incentives. </w:t>
      </w:r>
      <w:r>
        <w:rPr>
          <w:rFonts w:ascii="Times New Roman" w:hAnsi="Times New Roman"/>
          <w:color w:val="000000"/>
          <w:sz w:val="22"/>
        </w:rPr>
        <w:t xml:space="preserve">Notwithstanding the provisions of </w:t>
      </w:r>
      <w:r>
        <w:rPr>
          <w:rFonts w:ascii="Times New Roman" w:hAnsi="Times New Roman"/>
          <w:color w:val="000000"/>
          <w:sz w:val="22"/>
          <w:u w:val="single"/>
        </w:rPr>
        <w:t xml:space="preserve">Sections 12.2 and 12.3 </w:t>
      </w:r>
      <w:r>
        <w:rPr>
          <w:rFonts w:ascii="Times New Roman" w:hAnsi="Times New Roman"/>
          <w:color w:val="000000"/>
          <w:sz w:val="22"/>
        </w:rPr>
        <w:t xml:space="preserve">hereof, and except as may be required to comply with Section 409A of the Code and the regulations or other guidance issued thereunder, all Incentives granted hereunder may be canceled by the Company, in its sole discretion, as of the effective date of any Change in Control, merger, consolidation or share exchange, or any issuance of bonds, debentures, preferred or preference stocks ranking prior to or otherwise affecting the Common Stock or the rights </w:t>
      </w:r>
    </w:p>
    <w:p>
      <w:pPr>
        <w:pStyle w:val="TextBody"/>
        <w:bidi w:val="0"/>
        <w:jc w:val="center"/>
        <w:rPr>
          <w:rFonts w:ascii="Times New Roman" w:hAnsi="Times New Roman"/>
          <w:color w:val="000000"/>
          <w:sz w:val="22"/>
        </w:rPr>
      </w:pPr>
      <w:r>
        <w:rPr>
          <w:rFonts w:ascii="Times New Roman" w:hAnsi="Times New Roman"/>
          <w:color w:val="000000"/>
          <w:sz w:val="22"/>
        </w:rPr>
        <w:t>B-17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thereof (or any rights, options, or warrants to purchase same), or of any proposed sale of all or substantially all of the assets of the Company, or of any dissolution or liquidation of the Company, by either: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giving notice to each holder thereof or such holder’s personal representative of its intention to cancel those Incentives for which the issuance of shares of Common Stock involved payment by the Participant for such shares, and permitting the purchase during the 30 day period next preceding such effective date of any or all of the shares of Common Stock subject to such outstanding Incentives, including in the Board’s discretion some or all of the shares as to which such Incentives would not otherwise be vested and exercisable;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pPr>
      <w:r>
        <w:rPr>
          <w:rFonts w:ascii="Times New Roman" w:hAnsi="Times New Roman"/>
          <w:color w:val="000000"/>
          <w:sz w:val="22"/>
        </w:rPr>
        <w:t>in the case of Incentives that are either (i) settled only in shares of Common Stock, or (ii) at the election of the Participant, settled in shares of Common Stock, paying the holder thereof an amount equal to a reasonable estimate of the difference between the net amount per share payable in such transaction or as a result of such transaction, and the price per share of such Incentive to be paid by the Participant (hereinafter the “</w:t>
      </w:r>
      <w:r>
        <w:rPr>
          <w:rFonts w:ascii="Times New Roman" w:hAnsi="Times New Roman"/>
          <w:b/>
          <w:i/>
          <w:color w:val="000000"/>
          <w:sz w:val="22"/>
        </w:rPr>
        <w:t>Spread</w:t>
      </w:r>
      <w:r>
        <w:rPr>
          <w:color w:val="000000"/>
        </w:rPr>
        <w:t>”</w:t>
      </w:r>
      <w:r>
        <w:rPr>
          <w:rFonts w:ascii="Times New Roman" w:hAnsi="Times New Roman"/>
          <w:color w:val="000000"/>
          <w:sz w:val="22"/>
        </w:rPr>
        <w:t>), multiplied by the number of shares subject to the Incentive. In cases where the shares constitute, or would after exercise, constitute Restricted Stock, the Company, in its discretion, may include some or all of those shares in the calculation of the amount payable hereunder. In estimating the Spread, appropriate adjustments to give effect to the existence of the Incentives shall be made, such as deeming the Incentives to have been exercised, with the Company receiving the exercise price payable thereunder, and treating the shares receivable upon exercise of the Incentives as being outstanding in determining the net amount per share. In cases where the proposed transaction consists of the acquisition of assets of the Company, the net amount per share shall be calculated on the basis of the net amount receivable with respect to shares of Common Stock upon a distribution and liquidation by the Company after giving effect to expenses and charges, including but not limited to taxes, payable by the Company before such liquidation could be completed.</w:t>
      </w:r>
    </w:p>
    <w:p>
      <w:pPr>
        <w:pStyle w:val="TextBody"/>
        <w:bidi w:val="0"/>
        <w:spacing w:before="0" w:after="480"/>
        <w:jc w:val="both"/>
        <w:rPr>
          <w:rFonts w:ascii="Times New Roman" w:hAnsi="Times New Roman"/>
          <w:sz w:val="20"/>
        </w:rPr>
      </w:pPr>
      <w:r>
        <w:rPr>
          <w:rFonts w:ascii="Times New Roman" w:hAnsi="Times New Roman"/>
          <w:color w:val="000000"/>
          <w:sz w:val="22"/>
        </w:rPr>
        <w:t xml:space="preserve">An Award that by its terms would be fully vested or exercisable upon a Change in Control will be considered vested or exercisable for purposes of </w:t>
      </w:r>
      <w:r>
        <w:rPr>
          <w:rFonts w:ascii="Times New Roman" w:hAnsi="Times New Roman"/>
          <w:color w:val="000000"/>
          <w:sz w:val="22"/>
          <w:u w:val="single"/>
        </w:rPr>
        <w:t>Section 12.4(a)</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13.</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LIQUIDATION OR DISSOLUTION</w:t>
      </w:r>
    </w:p>
    <w:p>
      <w:pPr>
        <w:pStyle w:val="TextBody"/>
        <w:bidi w:val="0"/>
        <w:spacing w:before="0" w:after="480"/>
        <w:jc w:val="both"/>
        <w:rPr>
          <w:rFonts w:ascii="Times New Roman" w:hAnsi="Times New Roman"/>
          <w:sz w:val="20"/>
        </w:rPr>
      </w:pPr>
      <w:r>
        <w:rPr>
          <w:rFonts w:ascii="Times New Roman" w:hAnsi="Times New Roman"/>
          <w:color w:val="000000"/>
          <w:sz w:val="22"/>
        </w:rPr>
        <w:t xml:space="preserve">Subject to </w:t>
      </w:r>
      <w:r>
        <w:rPr>
          <w:rFonts w:ascii="Times New Roman" w:hAnsi="Times New Roman"/>
          <w:color w:val="000000"/>
          <w:sz w:val="22"/>
          <w:u w:val="single"/>
        </w:rPr>
        <w:t>Section 12.4</w:t>
      </w:r>
      <w:r>
        <w:rPr>
          <w:rFonts w:ascii="Times New Roman" w:hAnsi="Times New Roman"/>
          <w:color w:val="000000"/>
          <w:sz w:val="20"/>
        </w:rPr>
        <w:t xml:space="preserve"> </w:t>
      </w:r>
      <w:r>
        <w:rPr>
          <w:rFonts w:ascii="Times New Roman" w:hAnsi="Times New Roman"/>
          <w:color w:val="000000"/>
          <w:sz w:val="22"/>
        </w:rPr>
        <w:t xml:space="preserve">hereof, in case the Company shall, at any time while any Incentive under this Plan shall be in force and remain unexpired, (a) sell all or substantially all of its property, or (b) dissolve, liquidate, or wind up its affairs, then each Participant shall be entitled to receive, in lieu of each share of Common Stock of the Company which such Participant would have been entitled to receive under the Incentive, the same kind and amount of any securities or assets as may be issuable, distributable, or payable upon any such sale, dissolution, liquidation, or winding up with respect to each share of Common Stock of the Company. If the Company shall, at any time prior to the expiration of any Incentive, make any partial distribution of its assets, in the nature of a partial liquidation, whether payable in cash or in kind (but excluding the distribution of a cash dividend payable out of earned surplus and designated as such) and an adjustment is determined by the Committee to be appropriate to prevent the dilution of the benefits or potential benefits intended to be made available under the Plan, then the Committee shall, in such manner as it may deem equitable, make such adjustment in accordance with the provisions of </w:t>
      </w:r>
      <w:r>
        <w:rPr>
          <w:rFonts w:ascii="Times New Roman" w:hAnsi="Times New Roman"/>
          <w:color w:val="000000"/>
          <w:sz w:val="22"/>
          <w:u w:val="single"/>
        </w:rPr>
        <w:t>Article 11</w:t>
      </w:r>
      <w:r>
        <w:rPr>
          <w:rFonts w:ascii="Times New Roman" w:hAnsi="Times New Roman"/>
          <w:color w:val="000000"/>
          <w:sz w:val="20"/>
        </w:rPr>
        <w:t xml:space="preserve"> </w:t>
      </w:r>
      <w:r>
        <w:rPr>
          <w:rFonts w:ascii="Times New Roman" w:hAnsi="Times New Roman"/>
          <w:color w:val="000000"/>
          <w:sz w:val="22"/>
        </w:rPr>
        <w:t>hereof.</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14.</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INCENTIVES IN SUBSTITUTION FOR</w:t>
        <w:br/>
        <w:t>INCENTIVES GRANTED BY OTHER ENTITIES</w:t>
      </w:r>
    </w:p>
    <w:p>
      <w:pPr>
        <w:pStyle w:val="TextBody"/>
        <w:bidi w:val="0"/>
        <w:spacing w:before="0" w:after="480"/>
        <w:jc w:val="left"/>
        <w:rPr>
          <w:rFonts w:ascii="Times New Roman" w:hAnsi="Times New Roman"/>
          <w:sz w:val="20"/>
        </w:rPr>
      </w:pPr>
      <w:r>
        <w:rPr>
          <w:rFonts w:ascii="Times New Roman" w:hAnsi="Times New Roman"/>
          <w:color w:val="000000"/>
          <w:sz w:val="22"/>
        </w:rPr>
        <w:t>Incentives may be granted under the Plan from time to time in substitution for similar instruments held by employees, independent contractors or directors of a corporation, partnership, or limited liability company who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B-18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become or are about to become Employees, Contractors or Outside Directors of the Company or any Subsidiary as a result of a merger or consolidation of the employing corporation with the Company, the acquisition by the Company of equity of the employing entity, or any other similar transaction pursuant to which the Company becomes the successor employer. The terms and conditions of the substitute Incentives so granted may vary from the terms and conditions set forth in this Plan to such extent as the Committee at the time of grant may deem appropriate to conform, in whole or in part, to the provisions of the incentives in substitution for which they are granted.</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t>Article 15.</w:t>
      </w:r>
    </w:p>
    <w:p>
      <w:pPr>
        <w:pStyle w:val="TextBody"/>
        <w:bidi w:val="0"/>
        <w:spacing w:before="0" w:after="240"/>
        <w:jc w:val="center"/>
        <w:rPr>
          <w:rFonts w:ascii="Times New Roman" w:hAnsi="Times New Roman"/>
          <w:b/>
          <w:caps/>
          <w:color w:val="000000"/>
          <w:sz w:val="22"/>
        </w:rPr>
      </w:pPr>
      <w:r>
        <w:rPr>
          <w:rFonts w:ascii="Times New Roman" w:hAnsi="Times New Roman"/>
          <w:b/>
          <w:caps/>
          <w:color w:val="000000"/>
          <w:sz w:val="22"/>
        </w:rPr>
        <w:br/>
        <w:t>MISCELLANEOUS PROVISIONS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15.1</w:t>
      </w:r>
    </w:p>
    <w:p>
      <w:pPr>
        <w:pStyle w:val="TextBody"/>
        <w:bidi w:val="0"/>
        <w:spacing w:before="0" w:after="240"/>
        <w:jc w:val="both"/>
        <w:rPr/>
      </w:pPr>
      <w:r>
        <w:rPr>
          <w:rFonts w:ascii="Times New Roman" w:hAnsi="Times New Roman"/>
          <w:b/>
          <w:color w:val="000000"/>
          <w:sz w:val="22"/>
        </w:rPr>
        <w:t>Investment Intent.</w:t>
      </w:r>
      <w:r>
        <w:rPr>
          <w:color w:val="000000"/>
        </w:rPr>
        <w:t xml:space="preserve"> </w:t>
      </w:r>
      <w:r>
        <w:rPr>
          <w:rFonts w:ascii="Times New Roman" w:hAnsi="Times New Roman"/>
          <w:color w:val="000000"/>
          <w:sz w:val="22"/>
        </w:rPr>
        <w:t>The Company may require that there be presented to and filed with it by any Participant under the Plan, such evidence as it may deem necessary to establish that the Incentives granted or the shares of Common Stock to be purchased or transferred are being acquired for investment and not with a view to their distribution.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15.2</w:t>
      </w:r>
    </w:p>
    <w:p>
      <w:pPr>
        <w:pStyle w:val="TextBody"/>
        <w:bidi w:val="0"/>
        <w:spacing w:before="0" w:after="240"/>
        <w:jc w:val="both"/>
        <w:rPr/>
      </w:pPr>
      <w:r>
        <w:rPr>
          <w:rFonts w:ascii="Times New Roman" w:hAnsi="Times New Roman"/>
          <w:b/>
          <w:color w:val="000000"/>
          <w:sz w:val="22"/>
        </w:rPr>
        <w:t>No Right to Continued Employment.</w:t>
      </w:r>
      <w:r>
        <w:rPr>
          <w:color w:val="000000"/>
        </w:rPr>
        <w:t xml:space="preserve"> </w:t>
      </w:r>
      <w:r>
        <w:rPr>
          <w:rFonts w:ascii="Times New Roman" w:hAnsi="Times New Roman"/>
          <w:color w:val="000000"/>
          <w:sz w:val="22"/>
        </w:rPr>
        <w:t>Neither the Plan nor any Incentive granted under the Plan shall confer upon any Participant any right with respect to continuance of employment by the Company or any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15.3</w:t>
      </w:r>
    </w:p>
    <w:p>
      <w:pPr>
        <w:pStyle w:val="TextBody"/>
        <w:bidi w:val="0"/>
        <w:spacing w:before="0" w:after="240"/>
        <w:jc w:val="both"/>
        <w:rPr/>
      </w:pPr>
      <w:r>
        <w:rPr>
          <w:rFonts w:ascii="Times New Roman" w:hAnsi="Times New Roman"/>
          <w:b/>
          <w:color w:val="000000"/>
          <w:sz w:val="22"/>
        </w:rPr>
        <w:t>Indemnification of Board and Committee.</w:t>
      </w:r>
      <w:r>
        <w:rPr>
          <w:color w:val="000000"/>
        </w:rPr>
        <w:t xml:space="preserve"> </w:t>
      </w:r>
      <w:r>
        <w:rPr>
          <w:rFonts w:ascii="Times New Roman" w:hAnsi="Times New Roman"/>
          <w:color w:val="000000"/>
          <w:sz w:val="22"/>
        </w:rPr>
        <w:t>No member of the Board or the Committee, nor any officer or Employee of the Company acting on behalf of the Board or the Committee, shall be personally liable for any action, determination, or interpretation taken or made in good faith with respect to the Plan, and all members of the Board and the Committee, each officer of the Company, and each Employee of the Company acting on behalf of the Board or the Committee shall, to the extent permitted by law, be fully indemnified and protected by the Company in respect of any such action, determination, or interpretation to the fullest extent provided by law. Except to the extent required by any unwaiveable requirement under Applicable Law, no member of the Board or the Committee (and no Subsidiary of the Company) shall have any duties or liabilities, including without limitation any fiduciary duties, to any Participant (or any Person claiming by and through any Participant) as a result of this Plan, any Award Agreement or any Claim arising hereunder and, to the fullest extent permitted under Applicable Law, each Participant (as consideration for receiving and accepting an Award Agreement) irrevocably waives and releases any right or opportunity such Participant might have to assert (or participate or cooperate in) any Claim against any member of the Board or the Committee and any Subsidiary of the Company arising out of this Plan.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15.4</w:t>
      </w:r>
    </w:p>
    <w:p>
      <w:pPr>
        <w:pStyle w:val="TextBody"/>
        <w:bidi w:val="0"/>
        <w:spacing w:before="0" w:after="240"/>
        <w:jc w:val="both"/>
        <w:rPr/>
      </w:pPr>
      <w:r>
        <w:rPr>
          <w:rFonts w:ascii="Times New Roman" w:hAnsi="Times New Roman"/>
          <w:b/>
          <w:color w:val="000000"/>
          <w:sz w:val="22"/>
        </w:rPr>
        <w:t>Effect of the Plan.</w:t>
      </w:r>
      <w:r>
        <w:rPr>
          <w:color w:val="000000"/>
        </w:rPr>
        <w:t xml:space="preserve"> </w:t>
      </w:r>
      <w:r>
        <w:rPr>
          <w:rFonts w:ascii="Times New Roman" w:hAnsi="Times New Roman"/>
          <w:color w:val="000000"/>
          <w:sz w:val="22"/>
        </w:rPr>
        <w:t>Neither the adoption of this Plan nor any action of the Board or the Committee shall be deemed to give any person any right to be granted an Award or any other rights except as may be evidenced by an Award Agreement, or any amendment thereto, duly authorized by the Committee and executed on behalf of the Company, and then only to the extent and upon the terms and conditions expressly set forth therein.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15.5</w:t>
      </w:r>
    </w:p>
    <w:p>
      <w:pPr>
        <w:pStyle w:val="TextBody"/>
        <w:bidi w:val="0"/>
        <w:spacing w:before="0" w:after="240"/>
        <w:jc w:val="both"/>
        <w:rPr/>
      </w:pPr>
      <w:r>
        <w:rPr>
          <w:rFonts w:ascii="Times New Roman" w:hAnsi="Times New Roman"/>
          <w:b/>
          <w:color w:val="000000"/>
          <w:sz w:val="22"/>
        </w:rPr>
        <w:t>Compliance with Other Laws and Regulations.</w:t>
      </w:r>
      <w:r>
        <w:rPr>
          <w:color w:val="000000"/>
        </w:rPr>
        <w:t xml:space="preserve"> </w:t>
      </w:r>
      <w:r>
        <w:rPr>
          <w:rFonts w:ascii="Times New Roman" w:hAnsi="Times New Roman"/>
          <w:color w:val="000000"/>
          <w:sz w:val="22"/>
        </w:rPr>
        <w:t>Notwithstanding anything contained herein to the contrary, the Company shall not be required to sell or issue shares of Common Stock under any Incentive if the issuance thereof would constitute a violation by the Participant or the Company of any provisions of any law or regulation of any governmental authority or any national securities exchange or inter-dealer quotation system or other forum in which shares of Common Stock are quoted or traded (including without limitation Section 16 of the Exchange Act); and, as a condition of any sale or issuance of shares of Common Stock under an Incentive, the Committee may require such agreements or undertakings, if any, as the Committee may deem necessary or advisable to assure compliance with any such law or regulation. The Plan, the grant and exercise of Incentives hereunder, and the obligation of the Company to sell and deliver shares of Common Stock, shall be subject to all applicable federal and state laws, rules and regulations and to such approvals by any government or regulatory agency as may be required.</w:t>
      </w:r>
    </w:p>
    <w:p>
      <w:pPr>
        <w:pStyle w:val="TextBody"/>
        <w:bidi w:val="0"/>
        <w:jc w:val="center"/>
        <w:rPr>
          <w:rFonts w:ascii="Times New Roman" w:hAnsi="Times New Roman"/>
          <w:color w:val="000000"/>
          <w:sz w:val="22"/>
        </w:rPr>
      </w:pPr>
      <w:r>
        <w:rPr>
          <w:rFonts w:ascii="Times New Roman" w:hAnsi="Times New Roman"/>
          <w:color w:val="000000"/>
          <w:sz w:val="22"/>
        </w:rPr>
        <w:t>B-19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15.6</w:t>
      </w:r>
    </w:p>
    <w:p>
      <w:pPr>
        <w:pStyle w:val="TextBody"/>
        <w:bidi w:val="0"/>
        <w:spacing w:before="0" w:after="240"/>
        <w:jc w:val="both"/>
        <w:rPr/>
      </w:pPr>
      <w:r>
        <w:rPr>
          <w:rFonts w:ascii="Times New Roman" w:hAnsi="Times New Roman"/>
          <w:b/>
          <w:color w:val="000000"/>
          <w:sz w:val="22"/>
        </w:rPr>
        <w:t>Foreign Participation.</w:t>
      </w:r>
      <w:r>
        <w:rPr>
          <w:color w:val="000000"/>
        </w:rPr>
        <w:t xml:space="preserve"> </w:t>
      </w:r>
      <w:r>
        <w:rPr>
          <w:rFonts w:ascii="Times New Roman" w:hAnsi="Times New Roman"/>
          <w:color w:val="000000"/>
          <w:sz w:val="22"/>
        </w:rPr>
        <w:t>To assure the viability of Awards granted to Participants employed in foreign countries, the Committee may provide for such special terms as it may consider necessary or appropriate to accommodate differences in local law, tax policy or custom. Moreover, the Committee may approve such supplements to, or amendments, restatements or alternative versions of, this Plan as it determines is necessary or appropriate for such purposes. Any such amendment, restatement or alternative versions that the Committee approves for purposes of using this Plan in a foreign country will not affect the terms of this Plan for any other country.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15.7</w:t>
      </w:r>
    </w:p>
    <w:p>
      <w:pPr>
        <w:pStyle w:val="TextBody"/>
        <w:bidi w:val="0"/>
        <w:spacing w:before="0" w:after="240"/>
        <w:jc w:val="both"/>
        <w:rPr/>
      </w:pPr>
      <w:r>
        <w:rPr>
          <w:rFonts w:ascii="Times New Roman" w:hAnsi="Times New Roman"/>
          <w:b/>
          <w:color w:val="000000"/>
          <w:sz w:val="22"/>
        </w:rPr>
        <w:t>Tax Requirements.</w:t>
      </w:r>
      <w:r>
        <w:rPr>
          <w:color w:val="000000"/>
        </w:rPr>
        <w:t xml:space="preserve"> </w:t>
      </w:r>
      <w:r>
        <w:rPr>
          <w:rFonts w:ascii="Times New Roman" w:hAnsi="Times New Roman"/>
          <w:color w:val="000000"/>
          <w:sz w:val="22"/>
        </w:rPr>
        <w:t xml:space="preserve">The Company or, if applicable, any Subsidiary (for purposes of this </w:t>
      </w:r>
      <w:r>
        <w:rPr>
          <w:rFonts w:ascii="Times New Roman" w:hAnsi="Times New Roman"/>
          <w:color w:val="000000"/>
          <w:sz w:val="22"/>
          <w:u w:val="single"/>
        </w:rPr>
        <w:t>Section 15.7</w:t>
      </w:r>
      <w:r>
        <w:rPr>
          <w:rFonts w:ascii="Times New Roman" w:hAnsi="Times New Roman"/>
          <w:color w:val="000000"/>
          <w:sz w:val="22"/>
        </w:rPr>
        <w:t>, the term “</w:t>
      </w:r>
      <w:r>
        <w:rPr>
          <w:rFonts w:ascii="Times New Roman" w:hAnsi="Times New Roman"/>
          <w:b/>
          <w:i/>
          <w:color w:val="000000"/>
          <w:sz w:val="22"/>
        </w:rPr>
        <w:t>Company</w:t>
      </w:r>
      <w:r>
        <w:rPr>
          <w:color w:val="000000"/>
        </w:rPr>
        <w:t xml:space="preserve">” </w:t>
      </w:r>
      <w:r>
        <w:rPr>
          <w:rFonts w:ascii="Times New Roman" w:hAnsi="Times New Roman"/>
          <w:color w:val="000000"/>
          <w:sz w:val="22"/>
        </w:rPr>
        <w:t>shall be deemed to include any applicable Subsidiary), shall have the right to deduct from all amounts paid in cash or other form in connection with the Plan, any federal, state, local, or other taxes required by law to be withheld in connection with an Award granted under this Plan. The Company may, in its sole discretion, also require the Participant receiving shares of Common Stock issued under the Plan to pay the Company the amount of any taxes that the Company is required to withhold in connection with the Participant’s income arising with respect to the Award. Such payments shall be required to be made when requested by the Company and may be required to be made prior to the registration of shares or delivery of any certificate representing shares of Common Stock. Such payment may be made by (a) the delivery of cash to the Company in an amount that equals or exceeds (to avoid the issuance of fractional shares under (c) below) the required tax withholding obligations of the Company; (b) if the Company, in its sole discretion, so consents in writing, the actual delivery by the exercising Participant to the Company of shares of Common Stock, which shares so delivered have an aggregate Fair Market Value that equals or exceeds (to avoid the issuance of fractional shares under (c) below) the required tax withholding payment; (c) if the Company, in its sole discretion, so consents in writing, the Company’s withholding of a number of shares to be delivered upon the vesting or exercise of the Award, which shares so withheld have an aggregate Fair Market Value that equals (but does not exceed) the required tax withholding payment; or (d) any combination of (a), (b), or (c). The Company may, in its sole discretion, withhold any such taxes from any other cash remuneration otherwise paid by the Company to the Participant. The Committee may in the Award Agreement impose any additional tax, social insurance, or fringe benefit requirements or provisions that the Committee deems necessary or desirable.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15.8</w:t>
      </w:r>
    </w:p>
    <w:p>
      <w:pPr>
        <w:pStyle w:val="TextBody"/>
        <w:bidi w:val="0"/>
        <w:spacing w:before="0" w:after="240"/>
        <w:jc w:val="both"/>
        <w:rPr/>
      </w:pPr>
      <w:r>
        <w:rPr>
          <w:rFonts w:ascii="Times New Roman" w:hAnsi="Times New Roman"/>
          <w:b/>
          <w:color w:val="000000"/>
          <w:sz w:val="22"/>
        </w:rPr>
        <w:t>Assignability.</w:t>
      </w:r>
      <w:r>
        <w:rPr>
          <w:color w:val="000000"/>
        </w:rPr>
        <w:t xml:space="preserve"> </w:t>
      </w:r>
      <w:r>
        <w:rPr>
          <w:rFonts w:ascii="Times New Roman" w:hAnsi="Times New Roman"/>
          <w:color w:val="000000"/>
          <w:sz w:val="22"/>
        </w:rPr>
        <w:t xml:space="preserve">Incentive Stock Options may not be transferred, assigned, pledged, hypothecated or otherwise conveyed or encumbered other than by will or the laws of descent and distribution and may be exercised during the lifetime of the Participant only by the Participant or the Participant’s legally authorized representative, and each Award Agreement in respect of an Incentive Stock Option shall so provide. The designation by a Participant of a beneficiary will not constitute a transfer of the Stock Option. The Committee may waive or modify any limitation contained in the preceding sentences of this </w:t>
      </w:r>
      <w:r>
        <w:rPr>
          <w:rFonts w:ascii="Times New Roman" w:hAnsi="Times New Roman"/>
          <w:color w:val="000000"/>
          <w:sz w:val="22"/>
          <w:u w:val="single"/>
        </w:rPr>
        <w:t>Section 15.8</w:t>
      </w:r>
      <w:r>
        <w:rPr>
          <w:color w:val="000000"/>
        </w:rPr>
        <w:t xml:space="preserve"> </w:t>
      </w:r>
      <w:r>
        <w:rPr>
          <w:rFonts w:ascii="Times New Roman" w:hAnsi="Times New Roman"/>
          <w:color w:val="000000"/>
          <w:sz w:val="22"/>
        </w:rPr>
        <w:t>that is not required for compliance with Section 422 of the Code.</w:t>
      </w:r>
    </w:p>
    <w:p>
      <w:pPr>
        <w:pStyle w:val="TextBody"/>
        <w:bidi w:val="0"/>
        <w:jc w:val="both"/>
        <w:rPr>
          <w:rFonts w:ascii="Times New Roman" w:hAnsi="Times New Roman"/>
          <w:sz w:val="20"/>
        </w:rPr>
      </w:pPr>
      <w:r>
        <w:rPr>
          <w:rFonts w:ascii="Times New Roman" w:hAnsi="Times New Roman"/>
          <w:color w:val="000000"/>
          <w:sz w:val="22"/>
        </w:rPr>
        <w:t>Except as otherwise provided herein, Awards may not be transferred, assigned, pledged, hypothecated or otherwise conveyed or encumbered other than by will or the laws of descent and distribution. Notwithstanding the foregoing, the Committee may, in its discretion, authorize all or a portion of an Award to be granted to a Participant on terms which permit transfer by such Participant to (a) the spouse (or former spouse), children or grandchildren of the Participant (“</w:t>
      </w:r>
      <w:r>
        <w:rPr>
          <w:rFonts w:ascii="Times New Roman" w:hAnsi="Times New Roman"/>
          <w:b/>
          <w:i/>
          <w:color w:val="000000"/>
          <w:sz w:val="22"/>
        </w:rPr>
        <w:t>Immediate Family Members</w:t>
      </w:r>
      <w:r>
        <w:rPr>
          <w:rFonts w:ascii="Times New Roman" w:hAnsi="Times New Roman"/>
          <w:color w:val="000000"/>
          <w:sz w:val="20"/>
        </w:rPr>
        <w:t>”</w:t>
      </w:r>
      <w:r>
        <w:rPr>
          <w:rFonts w:ascii="Times New Roman" w:hAnsi="Times New Roman"/>
          <w:color w:val="000000"/>
          <w:sz w:val="22"/>
        </w:rPr>
        <w:t xml:space="preserve">), (b) a trust or trusts for the exclusive benefit of such Immediate Family Members, (c) a partnership in which the only partners are (1) such Immediate Family Members and/or (2) entities which are controlled by the Participant and/or Immediate Family Members, (d) an entity exempt from federal income tax pursuant to Section 501(c)(3) of the Code or any successor provision, or (e) a split interest trust or pooled income fund described in Section 2522(c)(2) of the Code or any successor provision, </w:t>
      </w:r>
      <w:r>
        <w:rPr>
          <w:rFonts w:ascii="Times New Roman" w:hAnsi="Times New Roman"/>
          <w:color w:val="000000"/>
          <w:sz w:val="22"/>
          <w:u w:val="single"/>
        </w:rPr>
        <w:t>provided that</w:t>
      </w:r>
      <w:r>
        <w:rPr>
          <w:rFonts w:ascii="Times New Roman" w:hAnsi="Times New Roman"/>
          <w:color w:val="000000"/>
          <w:sz w:val="20"/>
        </w:rPr>
        <w:t xml:space="preserve"> </w:t>
      </w:r>
      <w:r>
        <w:rPr>
          <w:rFonts w:ascii="Times New Roman" w:hAnsi="Times New Roman"/>
          <w:color w:val="000000"/>
          <w:sz w:val="22"/>
        </w:rPr>
        <w:t>(x) there shall be no consideration for any such transfer, (y) the Award Agreement pursuant to which such Award is granted must be approved by the Committee and must expressly provide for transferability in a manner consistent with this Section, and (z) subsequent transfers of transferred Award shall be prohibited except those by will or the laws of descent and distribution.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Following any transfer, any such Award shall continue to be subject to the same terms and conditions as were applicable immediately prior to transfer, provided that for purposes of </w:t>
      </w:r>
      <w:r>
        <w:rPr>
          <w:rFonts w:ascii="Times New Roman" w:hAnsi="Times New Roman"/>
          <w:color w:val="000000"/>
          <w:sz w:val="22"/>
          <w:u w:val="single"/>
        </w:rPr>
        <w:t>Articles 8, 9, 11, 13 and 15</w:t>
      </w:r>
      <w:r>
        <w:rPr>
          <w:rFonts w:ascii="Times New Roman" w:hAnsi="Times New Roman"/>
          <w:color w:val="000000"/>
          <w:sz w:val="20"/>
        </w:rPr>
        <w:t xml:space="preserve"> </w:t>
      </w:r>
      <w:r>
        <w:rPr>
          <w:rFonts w:ascii="Times New Roman" w:hAnsi="Times New Roman"/>
          <w:color w:val="000000"/>
          <w:sz w:val="22"/>
        </w:rPr>
        <w:t>hereof the term “</w:t>
      </w:r>
      <w:r>
        <w:rPr>
          <w:rFonts w:ascii="Times New Roman" w:hAnsi="Times New Roman"/>
          <w:b/>
          <w:i/>
          <w:color w:val="000000"/>
          <w:sz w:val="22"/>
        </w:rPr>
        <w:t>Participant</w:t>
      </w:r>
      <w:r>
        <w:rPr>
          <w:rFonts w:ascii="Times New Roman" w:hAnsi="Times New Roman"/>
          <w:color w:val="000000"/>
          <w:sz w:val="20"/>
        </w:rPr>
        <w:t xml:space="preserve">” </w:t>
      </w:r>
      <w:r>
        <w:rPr>
          <w:rFonts w:ascii="Times New Roman" w:hAnsi="Times New Roman"/>
          <w:color w:val="000000"/>
          <w:sz w:val="22"/>
        </w:rPr>
        <w:t>shall be deemed to include the transferee. The events of Termination of Service shall continue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B-20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to be applied with respect to the original Participant, following which the Award shall be transferable, exercisable or convertible by the transferee only to the extent and for the periods specified in the Award Agreement. The Committee and the Company shall have no obligation to inform any transferee of an Award of any expiration, termination, lapse or acceleration of such Award. The Company shall have no obligation to register with any federal or state securities commission or agency any Common Stock issuable or issued under an Award that has been transferred by a Participant under this </w:t>
      </w:r>
      <w:r>
        <w:rPr>
          <w:rFonts w:ascii="Times New Roman" w:hAnsi="Times New Roman"/>
          <w:color w:val="000000"/>
          <w:sz w:val="22"/>
          <w:u w:val="single"/>
        </w:rPr>
        <w:t>Section 15.8</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15.9</w:t>
      </w:r>
    </w:p>
    <w:p>
      <w:pPr>
        <w:pStyle w:val="TextBody"/>
        <w:bidi w:val="0"/>
        <w:spacing w:before="0" w:after="240"/>
        <w:jc w:val="both"/>
        <w:rPr/>
      </w:pPr>
      <w:r>
        <w:rPr>
          <w:rFonts w:ascii="Times New Roman" w:hAnsi="Times New Roman"/>
          <w:b/>
          <w:color w:val="000000"/>
          <w:sz w:val="22"/>
        </w:rPr>
        <w:t>Use of Proceeds.</w:t>
      </w:r>
      <w:r>
        <w:rPr>
          <w:color w:val="000000"/>
        </w:rPr>
        <w:t xml:space="preserve"> </w:t>
      </w:r>
      <w:r>
        <w:rPr>
          <w:rFonts w:ascii="Times New Roman" w:hAnsi="Times New Roman"/>
          <w:color w:val="000000"/>
          <w:sz w:val="22"/>
        </w:rPr>
        <w:t>Proceeds from the sale of shares of Common Stock pursuant to Incentives granted under this Plan shall constitute general funds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15.10</w:t>
      </w:r>
    </w:p>
    <w:p>
      <w:pPr>
        <w:pStyle w:val="TextBody"/>
        <w:bidi w:val="0"/>
        <w:spacing w:before="0" w:after="240"/>
        <w:jc w:val="both"/>
        <w:rPr/>
      </w:pPr>
      <w:r>
        <w:rPr>
          <w:rFonts w:ascii="Times New Roman" w:hAnsi="Times New Roman"/>
          <w:b/>
          <w:color w:val="000000"/>
          <w:sz w:val="22"/>
        </w:rPr>
        <w:t>Legend.</w:t>
      </w:r>
      <w:r>
        <w:rPr>
          <w:color w:val="000000"/>
        </w:rPr>
        <w:t xml:space="preserve"> </w:t>
      </w:r>
      <w:r>
        <w:rPr>
          <w:rFonts w:ascii="Times New Roman" w:hAnsi="Times New Roman"/>
          <w:color w:val="000000"/>
          <w:sz w:val="22"/>
        </w:rPr>
        <w:t xml:space="preserve">The shares of Common Stock or other securities of the Company delivered pursuant to an Award shall be subject to such stop transfer orders and other restrictions as the Committee may deem advisable under the Plan or the rules, regulations, and other requirements of the Securities and Exchange Commission, any stock exchange upon which such Common Stock or other securities are then listed, and any applicable federal, state or other laws, and the Committee may cause a legend or legends to be inscribed on any such certificates to make appropriate reference to such restrictions.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15.11</w:t>
      </w:r>
    </w:p>
    <w:p>
      <w:pPr>
        <w:pStyle w:val="TextBody"/>
        <w:bidi w:val="0"/>
        <w:spacing w:before="0" w:after="240"/>
        <w:jc w:val="both"/>
        <w:rPr/>
      </w:pPr>
      <w:r>
        <w:rPr>
          <w:rFonts w:ascii="Times New Roman" w:hAnsi="Times New Roman"/>
          <w:b/>
          <w:color w:val="000000"/>
          <w:sz w:val="22"/>
        </w:rPr>
        <w:t>Governing Law.</w:t>
      </w:r>
      <w:r>
        <w:rPr>
          <w:color w:val="000000"/>
        </w:rPr>
        <w:t xml:space="preserve"> </w:t>
      </w:r>
      <w:r>
        <w:rPr>
          <w:rFonts w:ascii="Times New Roman" w:hAnsi="Times New Roman"/>
          <w:color w:val="000000"/>
          <w:sz w:val="22"/>
        </w:rPr>
        <w:t xml:space="preserve">The Plan shall be governed by, construed, and enforced in accordance with the laws of the State of Delaware (excluding any conflict of laws, rule or principle of Delaware law that might refer the governance, construction, or interpretation of this Plan to the laws of another state). A Participant’s sole remedy for any Claim shall be against the Company, and no Participant shall have any claim or right of any nature against any Subsidiary of the Company or any stockholder or existing or former director, officer or Employee of the Company or any Subsidiary of the Company. The individuals and entities described above in this </w:t>
      </w:r>
      <w:r>
        <w:rPr>
          <w:rFonts w:ascii="Times New Roman" w:hAnsi="Times New Roman"/>
          <w:color w:val="000000"/>
          <w:sz w:val="22"/>
          <w:u w:val="single"/>
        </w:rPr>
        <w:t>Section 15.11</w:t>
      </w:r>
      <w:r>
        <w:rPr>
          <w:color w:val="000000"/>
        </w:rPr>
        <w:t xml:space="preserve"> </w:t>
      </w:r>
      <w:r>
        <w:rPr>
          <w:rFonts w:ascii="Times New Roman" w:hAnsi="Times New Roman"/>
          <w:color w:val="000000"/>
          <w:sz w:val="22"/>
        </w:rPr>
        <w:t xml:space="preserve">(other than the Company) shall be third-party beneficiaries of this Plan for purposes of enforcing the terms of this </w:t>
      </w:r>
      <w:r>
        <w:rPr>
          <w:rFonts w:ascii="Times New Roman" w:hAnsi="Times New Roman"/>
          <w:color w:val="000000"/>
          <w:sz w:val="22"/>
          <w:u w:val="single"/>
        </w:rPr>
        <w:t>Section 15.11</w:t>
      </w:r>
      <w:r>
        <w:rPr>
          <w:rFonts w:ascii="Times New Roman" w:hAnsi="Times New Roman"/>
          <w:color w:val="000000"/>
          <w:sz w:val="22"/>
        </w:rPr>
        <w:t>.</w:t>
      </w:r>
    </w:p>
    <w:p>
      <w:pPr>
        <w:pStyle w:val="TextBody"/>
        <w:bidi w:val="0"/>
        <w:spacing w:before="0" w:after="720"/>
        <w:jc w:val="left"/>
        <w:rPr>
          <w:rFonts w:ascii="Times New Roman" w:hAnsi="Times New Roman"/>
          <w:sz w:val="20"/>
        </w:rPr>
      </w:pPr>
      <w:r>
        <w:rPr>
          <w:rFonts w:ascii="Times New Roman" w:hAnsi="Times New Roman"/>
          <w:color w:val="000000"/>
          <w:sz w:val="22"/>
        </w:rPr>
        <w:t>A copy of this Plan shall be kept on file in the principal office of the Company in Dallas, Texas</w:t>
      </w:r>
      <w:r>
        <w:rPr>
          <w:rFonts w:ascii="Times New Roman" w:hAnsi="Times New Roman"/>
          <w:b/>
          <w:color w:val="000000"/>
          <w:sz w:val="22"/>
        </w:rPr>
        <w:t>.</w:t>
      </w:r>
    </w:p>
    <w:p>
      <w:pPr>
        <w:pStyle w:val="TextBody"/>
        <w:bidi w:val="0"/>
        <w:spacing w:before="0" w:after="480"/>
        <w:jc w:val="center"/>
        <w:rPr>
          <w:rFonts w:ascii="Times New Roman" w:hAnsi="Times New Roman"/>
          <w:color w:val="000000"/>
          <w:sz w:val="22"/>
        </w:rPr>
      </w:pP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B-21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IN WITNESS WHEREOF, the Company has caused this instrument to be executed as of May 15, 2025, by its Chief Executive Officer pursuant to prior action taken by the Board.</w:t>
      </w:r>
    </w:p>
    <w:p>
      <w:pPr>
        <w:pStyle w:val="TextBody"/>
        <w:bidi w:val="0"/>
        <w:spacing w:before="0" w:after="720"/>
        <w:jc w:val="left"/>
        <w:rPr>
          <w:rFonts w:ascii="Times New Roman" w:hAnsi="Times New Roman"/>
          <w:sz w:val="20"/>
        </w:rPr>
      </w:pPr>
      <w:r>
        <w:rPr>
          <w:rFonts w:ascii="Times New Roman" w:hAnsi="Times New Roman"/>
          <w:b/>
          <w:caps/>
          <w:color w:val="000000"/>
          <w:sz w:val="22"/>
        </w:rPr>
        <w:t>LSB INDUSTRIES, INC.</w:t>
      </w:r>
      <w:r>
        <w:rPr>
          <w:rFonts w:ascii="Times New Roman" w:hAnsi="Times New Roman"/>
          <w:caps/>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 xml:space="preserve">By: </w:t>
      </w:r>
    </w:p>
    <w:p>
      <w:pPr>
        <w:pStyle w:val="TextBody"/>
        <w:bidi w:val="0"/>
        <w:jc w:val="left"/>
        <w:rPr>
          <w:rFonts w:ascii="Times New Roman" w:hAnsi="Times New Roman"/>
          <w:color w:val="000000"/>
          <w:sz w:val="22"/>
        </w:rPr>
      </w:pPr>
      <w:r>
        <w:rPr>
          <w:rFonts w:ascii="Times New Roman" w:hAnsi="Times New Roman"/>
          <w:color w:val="000000"/>
          <w:sz w:val="22"/>
        </w:rPr>
        <w:t xml:space="preserve">Name: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Title: Chief Executive Officer</w:t>
      </w:r>
    </w:p>
    <w:p>
      <w:pPr>
        <w:pStyle w:val="TextBody"/>
        <w:bidi w:val="0"/>
        <w:jc w:val="center"/>
        <w:rPr>
          <w:rFonts w:ascii="Times New Roman" w:hAnsi="Times New Roman"/>
          <w:color w:val="000000"/>
          <w:sz w:val="22"/>
        </w:rPr>
      </w:pPr>
      <w:r>
        <w:rPr>
          <w:rFonts w:ascii="Times New Roman" w:hAnsi="Times New Roman"/>
          <w:color w:val="000000"/>
          <w:sz w:val="22"/>
        </w:rPr>
        <w:t>B-22</w:t>
      </w:r>
    </w:p>
    <w:p>
      <w:pPr>
        <w:pStyle w:val="HorizontalLine"/>
        <w:pBdr>
          <w:bottom w:val="double" w:sz="2" w:space="0" w:color="808080"/>
        </w:pBdr>
        <w:bidi w:val="0"/>
        <w:spacing w:before="0" w:after="283"/>
        <w:jc w:val="left"/>
        <w:rPr/>
      </w:pPr>
      <w:r>
        <w:rPr/>
      </w:r>
    </w:p>
    <w:p>
      <w:pPr>
        <w:pStyle w:val="TextBody"/>
        <w:bidi w:val="0"/>
        <w:jc w:val="left"/>
        <w:rPr/>
      </w:pPr>
      <w:bookmarkStart w:id="30" w:name="lxu-ex31_1.htm"/>
      <w:bookmarkStart w:id="31" w:name="kslxuex31_1"/>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Mark T. Behrman,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LSB Industries, Inc. (the “registrant”);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July 30, 2025</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283"/>
              <w:jc w:val="left"/>
              <w:rPr>
                <w:sz w:val="4"/>
                <w:szCs w:val="4"/>
              </w:rPr>
            </w:pPr>
            <w:r>
              <w:rPr>
                <w:sz w:val="4"/>
                <w:szCs w:val="4"/>
              </w:rPr>
            </w:r>
          </w:p>
        </w:tc>
      </w:tr>
      <w:tr>
        <w:trPr/>
        <w:tc>
          <w:tcPr>
            <w:tcW w:w="32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T. Behrman</w:t>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T. Behrman</w:t>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Chairman of the Board of Director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lxu-ex31_2.htm"/>
      <w:bookmarkStart w:id="33" w:name="kslxuex31_2"/>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Cheryl A. Maguire,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LSB Industries, Inc. (the “registrant”);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July 30, 2025</w:t>
      </w:r>
    </w:p>
    <w:p>
      <w:pPr>
        <w:pStyle w:val="TextBody"/>
        <w:bidi w:val="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283"/>
              <w:jc w:val="left"/>
              <w:rPr>
                <w:sz w:val="4"/>
                <w:szCs w:val="4"/>
              </w:rPr>
            </w:pPr>
            <w:r>
              <w:rPr>
                <w:sz w:val="4"/>
                <w:szCs w:val="4"/>
              </w:rPr>
            </w:r>
          </w:p>
        </w:tc>
      </w:tr>
      <w:tr>
        <w:trPr/>
        <w:tc>
          <w:tcPr>
            <w:tcW w:w="23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w:t>
            </w:r>
          </w:p>
        </w:tc>
      </w:tr>
      <w:tr>
        <w:trPr/>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lxu-ex32_1.htm"/>
      <w:bookmarkStart w:id="35" w:name="kslxuex32_1"/>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Heading1"/>
        <w:bidi w:val="0"/>
        <w:jc w:val="center"/>
        <w:rPr>
          <w:rFonts w:ascii="Times New Roman" w:hAnsi="Times New Roman"/>
          <w:color w:val="000000"/>
          <w:sz w:val="20"/>
        </w:rPr>
      </w:pPr>
      <w:r>
        <w:rPr>
          <w:rFonts w:ascii="Times New Roman" w:hAnsi="Times New Roman"/>
          <w:color w:val="000000"/>
          <w:sz w:val="20"/>
        </w:rPr>
        <w:t>18 U.S.C. SECTION 1350</w:t>
      </w:r>
    </w:p>
    <w:p>
      <w:pPr>
        <w:pStyle w:val="Heading1"/>
        <w:bidi w:val="0"/>
        <w:jc w:val="center"/>
        <w:rPr>
          <w:rFonts w:ascii="Times New Roman" w:hAnsi="Times New Roman"/>
          <w:color w:val="000000"/>
          <w:sz w:val="20"/>
        </w:rPr>
      </w:pPr>
      <w:r>
        <w:rPr>
          <w:rFonts w:ascii="Times New Roman" w:hAnsi="Times New Roman"/>
          <w:color w:val="000000"/>
          <w:sz w:val="20"/>
        </w:rPr>
        <w:t>AS ADOPTED PURSUANT TO</w:t>
      </w:r>
    </w:p>
    <w:p>
      <w:pPr>
        <w:pStyle w:val="Heading1"/>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LSB Industries, Inc. (“LSB”) on Form 10-Q for the period ended June 30, 2025 as filed with the Securities and Exchange Commission on the date hereof (the “Report”). I, Mark T. Behrman, President and Chief Executive Officer of LSB, certify pursuant to 18 U.S.C. §1350, as adopted pursuant to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LSB.</w:t>
      </w:r>
    </w:p>
    <w:p>
      <w:pPr>
        <w:pStyle w:val="TextBody"/>
        <w:bidi w:val="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T. Behrman</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T. Behrman</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and</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of Director</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July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is furnished to the Securities and Exchange Commission solely for purpose of 18 U.S.C. §1350 subject to the knowledge standard contained therein, and not for any other purpose.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6" w:name="lxu-ex32_2.htm"/>
      <w:bookmarkStart w:id="37" w:name="kslxuex32_2"/>
      <w:bookmarkEnd w:id="36"/>
      <w:bookmarkEnd w:id="37"/>
      <w:r>
        <w:rPr/>
        <w:t> </w:t>
      </w:r>
      <w:r>
        <w:br w:type="page"/>
      </w:r>
    </w:p>
    <w:p>
      <w:pPr>
        <w:pStyle w:val="Heading2"/>
        <w:bidi w:val="0"/>
        <w:jc w:val="right"/>
        <w:rPr>
          <w:rFonts w:ascii="Times New Roman" w:hAnsi="Times New Roman"/>
          <w:b/>
          <w:color w:val="000000"/>
          <w:sz w:val="20"/>
        </w:rPr>
      </w:pPr>
      <w:r>
        <w:rPr>
          <w:rFonts w:ascii="Times New Roman" w:hAnsi="Times New Roman"/>
          <w:b/>
          <w:color w:val="000000"/>
          <w:sz w:val="20"/>
        </w:rPr>
        <w:t>Exhibit 32.2</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Heading1"/>
        <w:bidi w:val="0"/>
        <w:jc w:val="center"/>
        <w:rPr>
          <w:rFonts w:ascii="Times New Roman" w:hAnsi="Times New Roman"/>
          <w:color w:val="000000"/>
          <w:sz w:val="20"/>
        </w:rPr>
      </w:pPr>
      <w:r>
        <w:rPr>
          <w:rFonts w:ascii="Times New Roman" w:hAnsi="Times New Roman"/>
          <w:color w:val="000000"/>
          <w:sz w:val="20"/>
        </w:rPr>
        <w:t>18 U.S.C. SECTION 1350</w:t>
      </w:r>
    </w:p>
    <w:p>
      <w:pPr>
        <w:pStyle w:val="Heading1"/>
        <w:bidi w:val="0"/>
        <w:jc w:val="center"/>
        <w:rPr>
          <w:rFonts w:ascii="Times New Roman" w:hAnsi="Times New Roman"/>
          <w:color w:val="000000"/>
          <w:sz w:val="20"/>
        </w:rPr>
      </w:pPr>
      <w:r>
        <w:rPr>
          <w:rFonts w:ascii="Times New Roman" w:hAnsi="Times New Roman"/>
          <w:color w:val="000000"/>
          <w:sz w:val="20"/>
        </w:rPr>
        <w:t>AS ADOPTED PURSUANT TO</w:t>
      </w:r>
    </w:p>
    <w:p>
      <w:pPr>
        <w:pStyle w:val="Heading1"/>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LSB Industries, Inc. (“LSB”) on Form 10-Q for the period ended June 30, 2025 as filed with the Securities and Exchange Commission on the date hereof (the “Report”), I, Cheryl A. Maguire, Executive Vice President and Chief Financial Officer of LSB, certify pursuant to 18 U.S.C. §1350, as adopted pursuant to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 (a) or 15 (d)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LSB.</w:t>
      </w:r>
    </w:p>
    <w:p>
      <w:pPr>
        <w:pStyle w:val="TextBody"/>
        <w:bidi w:val="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283"/>
              <w:jc w:val="left"/>
              <w:rPr>
                <w:sz w:val="4"/>
                <w:szCs w:val="4"/>
              </w:rPr>
            </w:pPr>
            <w:r>
              <w:rPr>
                <w:sz w:val="4"/>
                <w:szCs w:val="4"/>
              </w:rPr>
            </w:r>
          </w:p>
        </w:tc>
      </w:tr>
      <w:tr>
        <w:trPr/>
        <w:tc>
          <w:tcPr>
            <w:tcW w:w="37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Chief Financial Officer</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July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is furnished to the Securities and Exchange Commission solely for purpose of 18 U.S.C. §1350 subject to the knowledge standard contained therein and not for any other purpose.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0714/000119312513084410/d447083dex3i1.htm" TargetMode="External"/><Relationship Id="rId3" Type="http://schemas.openxmlformats.org/officeDocument/2006/relationships/hyperlink" Target="https://www.sec.gov/Archives/edgar/data/0000060714/000119312521331386/d173096dex3i2.htm" TargetMode="External"/><Relationship Id="rId4" Type="http://schemas.openxmlformats.org/officeDocument/2006/relationships/hyperlink" Target="https://www.sec.gov/Archives/edgar/data/60714/000095017025029046/lxu-ex3_ii-1.htm" TargetMode="External"/><Relationship Id="rId5" Type="http://schemas.openxmlformats.org/officeDocument/2006/relationships/hyperlink" Target="https://www.sec.gov/Archives/edgar/data/60714/000119312525146916/d96221ds8.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73895</Words>
  <Characters>381150</Characters>
  <CharactersWithSpaces>455252</CharactersWithSpaces>
  <Paragraphs>6968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