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14, 2026</w:t>
      </w:r>
    </w:p>
    <w:p>
      <w:pPr>
        <w:spacing w:after="0" w:line="27"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796925</wp:posOffset>
            </wp:positionH>
            <wp:positionV relativeFrom="paragraph">
              <wp:posOffset>62865</wp:posOffset>
            </wp:positionV>
            <wp:extent cx="55803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96520</wp:posOffset>
            </wp:positionV>
            <wp:extent cx="55803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116840</wp:posOffset>
            </wp:positionV>
            <wp:extent cx="11696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2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FORM S-3</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REGISTRATION STATEMENT</w:t>
      </w:r>
    </w:p>
    <w:p>
      <w:pPr>
        <w:jc w:val="center"/>
        <w:ind w:right="-1140"/>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123825</wp:posOffset>
            </wp:positionV>
            <wp:extent cx="11696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LSB INDUSTRIES, INC.</w:t>
      </w:r>
    </w:p>
    <w:p>
      <w:pPr>
        <w:spacing w:after="0" w:line="5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122555</wp:posOffset>
            </wp:positionV>
            <wp:extent cx="11696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96" w:lineRule="exact"/>
        <w:rPr>
          <w:sz w:val="24"/>
          <w:szCs w:val="24"/>
          <w:color w:val="auto"/>
        </w:rPr>
      </w:pPr>
    </w:p>
    <w:tbl>
      <w:tblPr>
        <w:tblLayout w:type="fixed"/>
        <w:tblInd w:w="2720" w:type="dxa"/>
        <w:tblCellMar>
          <w:top w:w="0" w:type="dxa"/>
          <w:left w:w="0" w:type="dxa"/>
          <w:bottom w:w="0" w:type="dxa"/>
          <w:right w:w="0" w:type="dxa"/>
        </w:tblCellMar>
      </w:tblPr>
      <w:tr>
        <w:trPr>
          <w:trHeight w:val="170"/>
        </w:trPr>
        <w:tc>
          <w:tcPr>
            <w:tcW w:w="3060" w:type="dxa"/>
            <w:vAlign w:val="bottom"/>
          </w:tcPr>
          <w:p>
            <w:pPr>
              <w:jc w:val="center"/>
              <w:ind w:right="149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00" w:type="dxa"/>
            <w:vAlign w:val="bottom"/>
          </w:tcPr>
          <w:p>
            <w:pPr>
              <w:jc w:val="center"/>
              <w:ind w:left="1498"/>
              <w:spacing w:after="0"/>
              <w:rPr>
                <w:sz w:val="20"/>
                <w:szCs w:val="20"/>
                <w:color w:val="auto"/>
              </w:rPr>
            </w:pPr>
            <w:r>
              <w:rPr>
                <w:rFonts w:ascii="Times New Roman" w:cs="Times New Roman" w:eastAsia="Times New Roman" w:hAnsi="Times New Roman"/>
                <w:sz w:val="14"/>
                <w:szCs w:val="14"/>
                <w:b w:val="1"/>
                <w:bCs w:val="1"/>
                <w:color w:val="auto"/>
              </w:rPr>
              <w:t>73-1015226</w:t>
            </w:r>
          </w:p>
        </w:tc>
      </w:tr>
      <w:tr>
        <w:trPr>
          <w:trHeight w:val="118"/>
        </w:trPr>
        <w:tc>
          <w:tcPr>
            <w:tcW w:w="3060" w:type="dxa"/>
            <w:vAlign w:val="bottom"/>
          </w:tcPr>
          <w:p>
            <w:pPr>
              <w:jc w:val="center"/>
              <w:ind w:right="1498"/>
              <w:spacing w:after="0" w:line="119"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700" w:type="dxa"/>
            <w:vAlign w:val="bottom"/>
          </w:tcPr>
          <w:p>
            <w:pPr>
              <w:jc w:val="center"/>
              <w:ind w:left="1498"/>
              <w:spacing w:after="0" w:line="119"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3060" w:type="dxa"/>
            <w:vAlign w:val="bottom"/>
          </w:tcPr>
          <w:p>
            <w:pPr>
              <w:jc w:val="center"/>
              <w:ind w:right="1498"/>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700" w:type="dxa"/>
            <w:vAlign w:val="bottom"/>
          </w:tcPr>
          <w:p>
            <w:pPr>
              <w:jc w:val="center"/>
              <w:ind w:left="1498"/>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3503 NW 63rd Street, Suite 500</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Oklahoma City, Oklahoma 73116</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(405) 235-4546</w:t>
      </w:r>
    </w:p>
    <w:p>
      <w:pPr>
        <w:spacing w:after="0" w:line="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114300</wp:posOffset>
            </wp:positionV>
            <wp:extent cx="11696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4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Michael J. Foster, Esq.</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Executive Vice President and General Counsel</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LSB Industries, Inc.</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3503 NW 63rd Street, Suite 500</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Oklahoma City, Oklahoma 73116</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(405) 235-4546</w:t>
      </w:r>
    </w:p>
    <w:p>
      <w:pPr>
        <w:spacing w:after="0" w:line="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114300</wp:posOffset>
            </wp:positionV>
            <wp:extent cx="11696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3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With copies of communications to:</w:t>
      </w:r>
    </w:p>
    <w:p>
      <w:pPr>
        <w:spacing w:after="0" w:line="9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Greg R. Samuel</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Rosebud Nau</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Haynes and Boone, LLP</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2801 N. Harwood Street, Suite 2300</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Dallas, Texas 75201</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(214) 651-5000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130810</wp:posOffset>
            </wp:positionV>
            <wp:extent cx="11696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6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75" w:lineRule="exact"/>
        <w:rPr>
          <w:sz w:val="24"/>
          <w:szCs w:val="24"/>
          <w:color w:val="auto"/>
        </w:rPr>
      </w:pPr>
    </w:p>
    <w:p>
      <w:pPr>
        <w:ind w:left="126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27" w:lineRule="exact"/>
        <w:rPr>
          <w:sz w:val="24"/>
          <w:szCs w:val="24"/>
          <w:color w:val="auto"/>
        </w:rPr>
      </w:pPr>
    </w:p>
    <w:p>
      <w:pPr>
        <w:ind w:left="1260" w:right="199"/>
        <w:spacing w:after="0" w:line="174"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13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59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57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21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159"/>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0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Accelerated filer</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0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8"/>
        </w:trPr>
        <w:tc>
          <w:tcPr>
            <w:tcW w:w="12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26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Emerging growth company</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1" w:lineRule="exact"/>
        <w:rPr>
          <w:sz w:val="24"/>
          <w:szCs w:val="24"/>
          <w:color w:val="auto"/>
        </w:rPr>
      </w:pPr>
    </w:p>
    <w:p>
      <w:pPr>
        <w:ind w:left="1260" w:right="41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796925</wp:posOffset>
            </wp:positionH>
            <wp:positionV relativeFrom="paragraph">
              <wp:posOffset>59690</wp:posOffset>
            </wp:positionV>
            <wp:extent cx="55803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93980</wp:posOffset>
            </wp:positionV>
            <wp:extent cx="55803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ectPr>
          <w:pgSz w:w="11900" w:h="16838" w:orient="portrait"/>
          <w:cols w:equalWidth="0" w:num="1">
            <w:col w:w="10159"/>
          </w:cols>
          <w:pgMar w:left="30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140970</wp:posOffset>
            </wp:positionV>
            <wp:extent cx="1402080" cy="765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02080" cy="76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LSB Industries, Inc.</w:t>
      </w:r>
    </w:p>
    <w:p>
      <w:pPr>
        <w:spacing w:after="0" w:line="1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196215</wp:posOffset>
            </wp:positionV>
            <wp:extent cx="116967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The securities identified above may be offered and sold from time to time by us in one or more offerings. In addition, selling stockholders may offer and sell shares of our common stock, par value $0.10 per share (“common stock”), from time to time in one or more offerings on terms described in a prospectus supplement. We will not receive any proceeds from the sale of our common stock by the selling stockholders.</w:t>
      </w:r>
    </w:p>
    <w:p>
      <w:pPr>
        <w:spacing w:after="0" w:line="136" w:lineRule="exact"/>
        <w:rPr>
          <w:sz w:val="20"/>
          <w:szCs w:val="20"/>
          <w:color w:val="auto"/>
        </w:rPr>
      </w:pPr>
    </w:p>
    <w:p>
      <w:pPr>
        <w:jc w:val="both"/>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We or any of the selling stockholders may offer and sell these securities to or through one or more underwriters, dealers and agents, or directly to purchasers, on a continuous or delayed basis. If we or any of the selling stockholders offer and sell these securities to or through underwriters, dealers or agents, their names and other applicable details will be included in a prospectus supplement.</w:t>
      </w:r>
    </w:p>
    <w:p>
      <w:pPr>
        <w:spacing w:after="0" w:line="136" w:lineRule="exact"/>
        <w:rPr>
          <w:sz w:val="20"/>
          <w:szCs w:val="20"/>
          <w:color w:val="auto"/>
        </w:rPr>
      </w:pPr>
    </w:p>
    <w:p>
      <w:pPr>
        <w:ind w:left="1260" w:right="139" w:firstLine="351"/>
        <w:spacing w:after="0" w:line="269"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that we or any of the selling stockholders may offer. To the extent required by applicable law, each time securities are offered, we will provide this prospectus and a prospectus supplement containing more specific information about the specific offering, and, if applicable, the selling stockholders. A prospectus supplement may also add, update or change information contained in this prospectus.</w:t>
      </w:r>
    </w:p>
    <w:p>
      <w:pPr>
        <w:spacing w:after="0" w:line="140"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We encourage you to carefully read this prospectus and any applicable prospectus supplement before you invest in our securities. We also encourage you to read the documents we have referred you to in the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section of this prospectus for information on us and for our financial statements.</w:t>
      </w:r>
    </w:p>
    <w:p>
      <w:pPr>
        <w:spacing w:after="0" w:line="136" w:lineRule="exact"/>
        <w:rPr>
          <w:sz w:val="20"/>
          <w:szCs w:val="20"/>
          <w:color w:val="auto"/>
        </w:rPr>
      </w:pPr>
    </w:p>
    <w:p>
      <w:pPr>
        <w:ind w:left="1260" w:right="339" w:firstLine="351"/>
        <w:spacing w:after="0" w:line="294"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“LXU.” As of May 12, 2026, the closing price of our common stock was $15.44.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162560</wp:posOffset>
            </wp:positionV>
            <wp:extent cx="116967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400" w:lineRule="exact"/>
        <w:rPr>
          <w:sz w:val="20"/>
          <w:szCs w:val="20"/>
          <w:color w:val="auto"/>
        </w:rPr>
      </w:pPr>
    </w:p>
    <w:p>
      <w:pPr>
        <w:ind w:left="1260" w:right="679" w:firstLine="351"/>
        <w:spacing w:after="0" w:line="278"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You should carefully consider the risks described under “</w:t>
      </w:r>
      <w:r>
        <w:rPr>
          <w:rFonts w:ascii="Times New Roman" w:cs="Times New Roman" w:eastAsia="Times New Roman" w:hAnsi="Times New Roman"/>
          <w:sz w:val="14"/>
          <w:szCs w:val="14"/>
          <w:b w:val="1"/>
          <w:bCs w:val="1"/>
          <w:i w:val="1"/>
          <w:iCs w:val="1"/>
          <w:u w:val="single" w:color="auto"/>
          <w:color w:val="0000EE"/>
        </w:rPr>
        <w:t>Risk Factors</w:t>
      </w:r>
      <w:r>
        <w:rPr>
          <w:rFonts w:ascii="Times New Roman" w:cs="Times New Roman" w:eastAsia="Times New Roman" w:hAnsi="Times New Roman"/>
          <w:sz w:val="14"/>
          <w:szCs w:val="14"/>
          <w:b w:val="1"/>
          <w:bCs w:val="1"/>
          <w:color w:val="auto"/>
        </w:rPr>
        <w:t>” on page 7 of this prospectus, as well as the other information contained or incorporated by reference in this prospectus and the applicable prospectus supplement, before making a decision to invest in our securities.</w:t>
      </w:r>
    </w:p>
    <w:p>
      <w:pPr>
        <w:spacing w:after="0" w:line="132" w:lineRule="exact"/>
        <w:rPr>
          <w:sz w:val="20"/>
          <w:szCs w:val="20"/>
          <w:color w:val="auto"/>
        </w:rPr>
      </w:pPr>
    </w:p>
    <w:p>
      <w:pPr>
        <w:ind w:left="1260" w:right="679" w:firstLine="351"/>
        <w:spacing w:after="0" w:line="29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the securities described herein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154305</wp:posOffset>
            </wp:positionV>
            <wp:extent cx="116967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38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The date of this prospectus is May 14, 2026.</w:t>
      </w:r>
    </w:p>
    <w:p>
      <w:pPr>
        <w:sectPr>
          <w:pgSz w:w="11900" w:h="16838" w:orient="portrait"/>
          <w:cols w:equalWidth="0" w:num="1">
            <w:col w:w="10159"/>
          </w:cols>
          <w:pgMar w:left="300" w:top="39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140" w:type="dxa"/>
            <w:vAlign w:val="bottom"/>
            <w:gridSpan w:val="2"/>
          </w:tcPr>
          <w:p>
            <w:pPr>
              <w:jc w:val="right"/>
              <w:ind w:right="3508"/>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13"/>
        </w:trPr>
        <w:tc>
          <w:tcPr>
            <w:tcW w:w="13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300" w:type="dxa"/>
            <w:vAlign w:val="bottom"/>
            <w:gridSpan w:val="6"/>
            <w:vMerge w:val="restart"/>
          </w:tcPr>
          <w:p>
            <w:pPr>
              <w:spacing w:after="0"/>
              <w:rPr>
                <w:sz w:val="24"/>
                <w:szCs w:val="24"/>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6"/>
        </w:trPr>
        <w:tc>
          <w:tcPr>
            <w:tcW w:w="1300" w:type="dxa"/>
            <w:vAlign w:val="bottom"/>
            <w:tcBorders>
              <w:bottom w:val="single" w:sz="8" w:color="0000EE"/>
            </w:tcBorders>
            <w:gridSpan w:val="7"/>
            <w:vMerge w:val="continue"/>
          </w:tcPr>
          <w:p>
            <w:pPr>
              <w:spacing w:after="0"/>
              <w:rPr>
                <w:sz w:val="11"/>
                <w:szCs w:val="11"/>
                <w:color w:val="auto"/>
              </w:rPr>
            </w:pPr>
          </w:p>
        </w:tc>
        <w:tc>
          <w:tcPr>
            <w:tcW w:w="2300" w:type="dxa"/>
            <w:vAlign w:val="bottom"/>
            <w:gridSpan w:val="6"/>
            <w:vMerge w:val="continue"/>
          </w:tcPr>
          <w:p>
            <w:pPr>
              <w:spacing w:after="0"/>
              <w:rPr>
                <w:sz w:val="11"/>
                <w:szCs w:val="11"/>
                <w:color w:val="auto"/>
              </w:rPr>
            </w:pPr>
          </w:p>
        </w:tc>
        <w:tc>
          <w:tcPr>
            <w:tcW w:w="4900" w:type="dxa"/>
            <w:vAlign w:val="bottom"/>
          </w:tcPr>
          <w:p>
            <w:pPr>
              <w:spacing w:after="0"/>
              <w:rPr>
                <w:sz w:val="11"/>
                <w:szCs w:val="11"/>
                <w:color w:val="auto"/>
              </w:rPr>
            </w:pPr>
          </w:p>
        </w:tc>
        <w:tc>
          <w:tcPr>
            <w:tcW w:w="2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2"/>
        </w:trPr>
        <w:tc>
          <w:tcPr>
            <w:tcW w:w="3600" w:type="dxa"/>
            <w:vAlign w:val="bottom"/>
            <w:tcBorders>
              <w:bottom w:val="single" w:sz="8" w:color="0000EE"/>
            </w:tcBorders>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2"/>
        </w:trPr>
        <w:tc>
          <w:tcPr>
            <w:tcW w:w="360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About LSB Industries, Inc.</w:t>
            </w: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2"/>
        </w:trPr>
        <w:tc>
          <w:tcPr>
            <w:tcW w:w="720" w:type="dxa"/>
            <w:vAlign w:val="bottom"/>
            <w:tcBorders>
              <w:top w:val="single" w:sz="8" w:color="0000EE"/>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4"/>
                <w:szCs w:val="14"/>
                <w:color w:val="0000EE"/>
                <w:w w:val="99"/>
              </w:rPr>
              <w:t>Risk Factors</w:t>
            </w:r>
          </w:p>
        </w:tc>
        <w:tc>
          <w:tcPr>
            <w:tcW w:w="820" w:type="dxa"/>
            <w:vAlign w:val="bottom"/>
            <w:tcBorders>
              <w:top w:val="single" w:sz="8" w:color="0000EE"/>
            </w:tcBorders>
            <w:gridSpan w:val="6"/>
          </w:tcPr>
          <w:p>
            <w:pPr>
              <w:spacing w:after="0"/>
              <w:rPr>
                <w:sz w:val="13"/>
                <w:szCs w:val="13"/>
                <w:color w:val="auto"/>
              </w:rPr>
            </w:pPr>
          </w:p>
        </w:tc>
        <w:tc>
          <w:tcPr>
            <w:tcW w:w="2060" w:type="dxa"/>
            <w:vAlign w:val="bottom"/>
            <w:gridSpan w:val="5"/>
          </w:tcPr>
          <w:p>
            <w:pPr>
              <w:spacing w:after="0"/>
              <w:rPr>
                <w:sz w:val="13"/>
                <w:szCs w:val="13"/>
                <w:color w:val="auto"/>
              </w:rPr>
            </w:pP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2"/>
        </w:trPr>
        <w:tc>
          <w:tcPr>
            <w:tcW w:w="360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Use of Proceeds</w:t>
            </w: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40" w:type="dxa"/>
            <w:vAlign w:val="bottom"/>
            <w:tcBorders>
              <w:bottom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4"/>
                <w:szCs w:val="14"/>
                <w:color w:val="0000EE"/>
              </w:rPr>
              <w:t>Plan of Distribution</w:t>
            </w:r>
          </w:p>
        </w:tc>
        <w:tc>
          <w:tcPr>
            <w:tcW w:w="2460" w:type="dxa"/>
            <w:vAlign w:val="bottom"/>
            <w:gridSpan w:val="8"/>
          </w:tcPr>
          <w:p>
            <w:pPr>
              <w:spacing w:after="0"/>
              <w:rPr>
                <w:sz w:val="13"/>
                <w:szCs w:val="13"/>
                <w:color w:val="auto"/>
              </w:rPr>
            </w:pP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2"/>
        </w:trPr>
        <w:tc>
          <w:tcPr>
            <w:tcW w:w="360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740" w:type="dxa"/>
            <w:vAlign w:val="bottom"/>
            <w:tcBorders>
              <w:bottom w:val="single" w:sz="8" w:color="0000EE"/>
            </w:tcBorders>
            <w:gridSpan w:val="10"/>
          </w:tcPr>
          <w:p>
            <w:pPr>
              <w:spacing w:after="0" w:line="15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860" w:type="dxa"/>
            <w:vAlign w:val="bottom"/>
            <w:gridSpan w:val="3"/>
          </w:tcPr>
          <w:p>
            <w:pPr>
              <w:spacing w:after="0"/>
              <w:rPr>
                <w:sz w:val="13"/>
                <w:szCs w:val="13"/>
                <w:color w:val="auto"/>
              </w:rPr>
            </w:pP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52"/>
        </w:trPr>
        <w:tc>
          <w:tcPr>
            <w:tcW w:w="360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Selling Stockholders</w:t>
            </w: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52"/>
        </w:trPr>
        <w:tc>
          <w:tcPr>
            <w:tcW w:w="800" w:type="dxa"/>
            <w:vAlign w:val="bottom"/>
            <w:tcBorders>
              <w:top w:val="single" w:sz="8" w:color="0000EE"/>
              <w:bottom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4"/>
                <w:szCs w:val="14"/>
                <w:color w:val="0000EE"/>
                <w:w w:val="99"/>
              </w:rPr>
              <w:t>Legal Matters</w:t>
            </w:r>
          </w:p>
        </w:tc>
        <w:tc>
          <w:tcPr>
            <w:tcW w:w="380" w:type="dxa"/>
            <w:vAlign w:val="bottom"/>
            <w:tcBorders>
              <w:top w:val="single" w:sz="8" w:color="0000EE"/>
            </w:tcBorders>
            <w:gridSpan w:val="3"/>
          </w:tcPr>
          <w:p>
            <w:pPr>
              <w:spacing w:after="0"/>
              <w:rPr>
                <w:sz w:val="13"/>
                <w:szCs w:val="13"/>
                <w:color w:val="auto"/>
              </w:rPr>
            </w:pPr>
          </w:p>
        </w:tc>
        <w:tc>
          <w:tcPr>
            <w:tcW w:w="2420" w:type="dxa"/>
            <w:vAlign w:val="bottom"/>
            <w:gridSpan w:val="7"/>
          </w:tcPr>
          <w:p>
            <w:pPr>
              <w:spacing w:after="0"/>
              <w:rPr>
                <w:sz w:val="13"/>
                <w:szCs w:val="13"/>
                <w:color w:val="auto"/>
              </w:rPr>
            </w:pP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52"/>
        </w:trPr>
        <w:tc>
          <w:tcPr>
            <w:tcW w:w="360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Experts</w:t>
            </w: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80" w:type="dxa"/>
            <w:vAlign w:val="bottom"/>
            <w:tcBorders>
              <w:bottom w:val="single" w:sz="8" w:color="0000EE"/>
            </w:tcBorders>
            <w:gridSpan w:val="11"/>
          </w:tcPr>
          <w:p>
            <w:pPr>
              <w:spacing w:after="0" w:line="15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320" w:type="dxa"/>
            <w:vAlign w:val="bottom"/>
            <w:gridSpan w:val="2"/>
          </w:tcPr>
          <w:p>
            <w:pPr>
              <w:spacing w:after="0"/>
              <w:rPr>
                <w:sz w:val="13"/>
                <w:szCs w:val="13"/>
                <w:color w:val="auto"/>
              </w:rPr>
            </w:pP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52"/>
        </w:trPr>
        <w:tc>
          <w:tcPr>
            <w:tcW w:w="2420" w:type="dxa"/>
            <w:vAlign w:val="bottom"/>
            <w:tcBorders>
              <w:bottom w:val="single" w:sz="8" w:color="0000EE"/>
            </w:tcBorders>
            <w:gridSpan w:val="12"/>
          </w:tcPr>
          <w:p>
            <w:pPr>
              <w:spacing w:after="0" w:line="153" w:lineRule="exact"/>
              <w:rPr>
                <w:sz w:val="20"/>
                <w:szCs w:val="20"/>
                <w:color w:val="auto"/>
              </w:rPr>
            </w:pPr>
            <w:r>
              <w:rPr>
                <w:rFonts w:ascii="Times New Roman" w:cs="Times New Roman" w:eastAsia="Times New Roman" w:hAnsi="Times New Roman"/>
                <w:sz w:val="14"/>
                <w:szCs w:val="14"/>
                <w:color w:val="0000EE"/>
              </w:rPr>
              <w:t>Incorporation of Documents by Reference</w:t>
            </w:r>
          </w:p>
        </w:tc>
        <w:tc>
          <w:tcPr>
            <w:tcW w:w="1180" w:type="dxa"/>
            <w:vAlign w:val="bottom"/>
          </w:tcPr>
          <w:p>
            <w:pPr>
              <w:spacing w:after="0"/>
              <w:rPr>
                <w:sz w:val="13"/>
                <w:szCs w:val="13"/>
                <w:color w:val="auto"/>
              </w:rPr>
            </w:pPr>
          </w:p>
        </w:tc>
        <w:tc>
          <w:tcPr>
            <w:tcW w:w="5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6"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Securities and Exchange Commission (the “SEC”) using a “shelf” registration process. Using this process, we may offer, from time to time, any combination of the securities described in this prospectus in one or more offerings, and any selling stockholders to be named in a prospectus supplement may, from time to time, offer shares of common stock in one or more offerings. This prospectus provides you with a summary description of the securities we or any of the selling stockholders may offer. Each time we or any of the selling stockholders use this prospectus to offer securities, we will provide a prospectus supplement and, if applicable, a pricing supplement that will describe the specific terms of the offering. The prospectus supplement and any pricing supplement also may add to, update or change the information contained in this prospectus. Any information contained in this prospectus will be deemed to be modified or superseded by any inconsistent information contained in a prospectus supplement or a pricing supplement. You should read this prospectus, the prospectus supplement and any pricing supplement, including any applicable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in addition to the information contained in the documents we refer to under the heading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260" w:right="179" w:firstLine="351"/>
        <w:spacing w:after="0" w:line="263"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or incorporated by reference into, this prospectus, the prospectus supplement and any pricing supplement. Neither we nor any selling stockholder have authorized any person to provide information other than that provided in this prospectus, the prospectus supplement or any pricing supplement. Neither we nor any selling stockholder have authorized anyone to provide you with different information. Neither we nor any selling stockholder is making an offer of the securities in any jurisdiction where the offer is not permitted. You should assume that the information in this prospectus, the prospectus supplement and any pricing supplement is accurate only as of the date on its cover page and that any information we have incorporated by reference is accurate only as of the date of the document incorporated by reference.</w:t>
      </w:r>
    </w:p>
    <w:p>
      <w:pPr>
        <w:spacing w:after="0" w:line="146" w:lineRule="exact"/>
        <w:rPr>
          <w:sz w:val="20"/>
          <w:szCs w:val="20"/>
          <w:color w:val="auto"/>
        </w:rPr>
      </w:pPr>
    </w:p>
    <w:p>
      <w:pPr>
        <w:ind w:left="1260" w:right="119" w:firstLine="351"/>
        <w:spacing w:after="0" w:line="294" w:lineRule="auto"/>
        <w:rPr>
          <w:sz w:val="20"/>
          <w:szCs w:val="20"/>
          <w:color w:val="auto"/>
        </w:rPr>
      </w:pPr>
      <w:r>
        <w:rPr>
          <w:rFonts w:ascii="Times New Roman" w:cs="Times New Roman" w:eastAsia="Times New Roman" w:hAnsi="Times New Roman"/>
          <w:sz w:val="14"/>
          <w:szCs w:val="14"/>
          <w:color w:val="auto"/>
        </w:rPr>
        <w:t>When used in this prospectus, any prospectus supplement or any pricing supplement, the terms “LSB,” the “Company,” “we,” “our” and “us” refer to LSB Industries, Inc. and its consolidated subsidiaries, unless otherwise indicated or the context otherwise requires.</w:t>
      </w:r>
    </w:p>
    <w:p>
      <w:pPr>
        <w:spacing w:after="0" w:line="6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6" w:lineRule="exact"/>
        <w:rPr>
          <w:sz w:val="20"/>
          <w:szCs w:val="20"/>
          <w:color w:val="auto"/>
        </w:rPr>
      </w:pPr>
    </w:p>
    <w:p>
      <w:pPr>
        <w:ind w:left="1260" w:right="119" w:firstLine="351"/>
        <w:spacing w:after="0" w:line="264" w:lineRule="auto"/>
        <w:rPr>
          <w:sz w:val="20"/>
          <w:szCs w:val="20"/>
          <w:color w:val="auto"/>
        </w:rPr>
      </w:pPr>
      <w:r>
        <w:rPr>
          <w:rFonts w:ascii="Times New Roman" w:cs="Times New Roman" w:eastAsia="Times New Roman" w:hAnsi="Times New Roman"/>
          <w:sz w:val="14"/>
          <w:szCs w:val="14"/>
          <w:color w:val="auto"/>
        </w:rPr>
        <w:t>This prospectus and the documents that we incorporate by reference in this prospectus contain statements that are considered “forward-looking statements” within the meaning of Section 27A of the Securities Act of 1933, as amended (the “Securities Act”), and Section 21E of the Securities Exchange Act of 1934, as amended (the “Exchange Act”). Forward-looking statements, including statements about industry trends and other matters that do not relate strictly to historical facts, are based on management’s expectations and assumptions, and are often identified by such forward-looking terminology as “expect,” “look,” “believe,” “anticipate,” “estimate,” “seek,” “may,” “trend,” “target,” and “goal” or similar statements or variations of such terms. Forward-looking statements may include, among other things, statements regarding:</w:t>
      </w:r>
    </w:p>
    <w:p>
      <w:pPr>
        <w:spacing w:after="0" w:line="68" w:lineRule="exact"/>
        <w:rPr>
          <w:sz w:val="20"/>
          <w:szCs w:val="20"/>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invest in projects that will generate the best returns for our stockholders;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liquidity outlook;</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outlook of our chemical products and related markets;</w:t>
      </w:r>
    </w:p>
    <w:p>
      <w:pPr>
        <w:spacing w:after="0" w:line="108" w:lineRule="exact"/>
        <w:rPr>
          <w:rFonts w:ascii="Times New Roman" w:cs="Times New Roman" w:eastAsia="Times New Roman" w:hAnsi="Times New Roman"/>
          <w:sz w:val="14"/>
          <w:szCs w:val="14"/>
          <w:color w:val="auto"/>
        </w:rPr>
      </w:pPr>
    </w:p>
    <w:p>
      <w:pPr>
        <w:ind w:left="2020" w:right="259" w:hanging="339"/>
        <w:spacing w:after="0" w:line="294" w:lineRule="auto"/>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leverage our existing business platform and portfolio of assets to produce low carbon products and execute our strategy to become a leader in the energy transition in the chemical industry;</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timing and effect on the nitrogen market from current nitrogen expansion projects;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from the lack of non-seasonal volume;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that competition is based upon service, price, location of production and distribution sites, and product quality and performance;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outlook for the industrial end markets;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raw materials;</w:t>
      </w:r>
    </w:p>
    <w:p>
      <w:pPr>
        <w:spacing w:after="0" w:line="108" w:lineRule="exact"/>
        <w:rPr>
          <w:rFonts w:ascii="Times New Roman" w:cs="Times New Roman" w:eastAsia="Times New Roman" w:hAnsi="Times New Roman"/>
          <w:sz w:val="14"/>
          <w:szCs w:val="14"/>
          <w:color w:val="auto"/>
        </w:rPr>
      </w:pPr>
    </w:p>
    <w:p>
      <w:pPr>
        <w:ind w:left="2020" w:right="159" w:hanging="339"/>
        <w:spacing w:after="0" w:line="294" w:lineRule="auto"/>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broaden the distribution of our products, including our ability to leverage our nitric acid production capacity at our El Dorado facility;</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ongoing initiatives to increase the distribution of our products within our industrial end markets;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success of our advanced low carbon ammonia initiatives;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future ammonia pricing;</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 of our product and market diversification strategy;</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fertilizer production;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increasing output and capacity of our existing production facilities;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at our production facilities;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moderate risks inherent in agricultural markets;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sources to fund our cash needs and how this cash will be used;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additional borrowings;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cost and timing of our capital projects;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costs covered under warranty provisions;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pass to our customers cost increases in the form of higher prices;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as to whether we have sufficient sources for materials and components;</w:t>
      </w:r>
    </w:p>
    <w:p>
      <w:pPr>
        <w:spacing w:after="0" w:line="108" w:lineRule="exact"/>
        <w:rPr>
          <w:rFonts w:ascii="Times New Roman" w:cs="Times New Roman" w:eastAsia="Times New Roman" w:hAnsi="Times New Roman"/>
          <w:sz w:val="14"/>
          <w:szCs w:val="14"/>
          <w:color w:val="auto"/>
        </w:rPr>
      </w:pPr>
    </w:p>
    <w:p>
      <w:pPr>
        <w:ind w:left="2020" w:right="399" w:hanging="339"/>
        <w:spacing w:after="0" w:line="294" w:lineRule="auto"/>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regarding our estimates and contingencies with respect to claims and legal actions in the ordinary course of our business and their effect on our business, financial condition, results of operations or cash flows;</w:t>
      </w:r>
    </w:p>
    <w:p>
      <w:pPr>
        <w:spacing w:after="0" w:line="6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natural gas requirements;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the market and demand for low carbon ammonia;</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by our facilities with the terms of our permits;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compliance with environmental laws, health laws, security regulations and transportation regulations;</w:t>
      </w:r>
    </w:p>
    <w:p>
      <w:pPr>
        <w:spacing w:after="0" w:line="108" w:lineRule="exact"/>
        <w:rPr>
          <w:rFonts w:ascii="Times New Roman" w:cs="Times New Roman" w:eastAsia="Times New Roman" w:hAnsi="Times New Roman"/>
          <w:sz w:val="14"/>
          <w:szCs w:val="14"/>
          <w:color w:val="auto"/>
        </w:rPr>
      </w:pPr>
    </w:p>
    <w:p>
      <w:pPr>
        <w:ind w:left="2020" w:right="299" w:hanging="339"/>
        <w:spacing w:after="0" w:line="294"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as to when “turnarounds” or planned shutdown of a facility or production unit to perform significant maintenance, inspections and repairs will be performed and completed;</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 connection with environmental projects;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litigation and other contingencies;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in interest expense;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debt servicing and covenants;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debt maturities or redemption obligations when due;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repurchase program on our stock price and cash reserves; and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as to whether we can meet all required covenant tests for the next twelve months.</w:t>
      </w:r>
    </w:p>
    <w:p>
      <w:pPr>
        <w:spacing w:after="0" w:line="184" w:lineRule="exact"/>
        <w:rPr>
          <w:sz w:val="20"/>
          <w:szCs w:val="20"/>
          <w:color w:val="auto"/>
        </w:rPr>
      </w:pPr>
    </w:p>
    <w:p>
      <w:pPr>
        <w:ind w:left="1260" w:right="139" w:firstLine="351"/>
        <w:spacing w:after="0" w:line="275" w:lineRule="auto"/>
        <w:rPr>
          <w:sz w:val="20"/>
          <w:szCs w:val="20"/>
          <w:color w:val="auto"/>
        </w:rPr>
      </w:pPr>
      <w:r>
        <w:rPr>
          <w:rFonts w:ascii="Times New Roman" w:cs="Times New Roman" w:eastAsia="Times New Roman" w:hAnsi="Times New Roman"/>
          <w:sz w:val="14"/>
          <w:szCs w:val="14"/>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or incorporated by reference in this prospectus or any prospectus supplement including, but not limited to, the following:</w:t>
      </w:r>
    </w:p>
    <w:p>
      <w:pPr>
        <w:spacing w:after="0" w:line="60" w:lineRule="exact"/>
        <w:rPr>
          <w:sz w:val="20"/>
          <w:szCs w:val="20"/>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conditions, both domestic and foreign;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reductions in revenues;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changes in interest rates;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collect in a timely manner a material amount of receivables;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competitive pressures;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effects of increases in prices of raw materials;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federal, state and local laws and regulations, or in the interpretation of such laws and regulations;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or other issues related to climate change;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releases of pollutants into the environment exceeding our permitted limits;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increases in equipment, maintenance, operating or labor costs not presently anticipated by us;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to use internally generated funds for purposes not presently anticipated;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secure additional financing for planned capital expenditures or financing obligations due in the near future;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existing indebtedness;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changes in the cost of natural gas and certain precious metals;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due to financial covenants;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competition;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significant customer;</w:t>
      </w:r>
    </w:p>
    <w:p>
      <w:pPr>
        <w:spacing w:after="0" w:line="1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cost to maintain internal control over financial reporting;</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strategy or development plans;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fund the working capital and expansion of our businesses;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production efficiency of our facilities;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results in our contingencies including pending litigation;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unplanned downtime at one or more of our chemical facilities;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production rates at any of our chemical plants;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obtain necessary raw materials and purchased components;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increases in cost of raw materials;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changes in our accounting estimates;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problems within our production equipment;</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fire or natural disasters;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obtain or retain our insurance coverage;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obtaining necessary permits;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obtaining third-party financing;</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proxy contests initiated by dissident stockholders;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fertilizer production;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acres planted for crops requiring fertilizer;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duties for products we sell resulting in an increase in imported products into the United States;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effects from regulatory policies, including tariffs;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concerns;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of natural gas prices;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increases resulting from increased inflation;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including the effects of climate change;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imported agricultural products;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supply chain disruptions; and</w:t>
      </w:r>
    </w:p>
    <w:p>
      <w:pPr>
        <w:spacing w:after="0" w:line="106" w:lineRule="exact"/>
        <w:rPr>
          <w:rFonts w:ascii="Times New Roman" w:cs="Times New Roman" w:eastAsia="Times New Roman" w:hAnsi="Times New Roman"/>
          <w:sz w:val="14"/>
          <w:szCs w:val="14"/>
          <w:color w:val="auto"/>
        </w:rPr>
      </w:pPr>
    </w:p>
    <w:p>
      <w:pPr>
        <w:ind w:left="2020" w:right="659" w:hanging="339"/>
        <w:spacing w:after="0" w:line="297"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described in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of this prospectus or any applicable prospectus supplement and in the annual, quarterly and other reports we file from time to time with the SEC.</w:t>
      </w:r>
    </w:p>
    <w:p>
      <w:pPr>
        <w:spacing w:after="0" w:line="120" w:lineRule="exact"/>
        <w:rPr>
          <w:sz w:val="20"/>
          <w:szCs w:val="20"/>
          <w:color w:val="auto"/>
        </w:rPr>
      </w:pPr>
    </w:p>
    <w:p>
      <w:pPr>
        <w:ind w:left="1260" w:right="679" w:firstLine="351"/>
        <w:spacing w:after="0" w:line="294" w:lineRule="auto"/>
        <w:rPr>
          <w:sz w:val="20"/>
          <w:szCs w:val="20"/>
          <w:color w:val="auto"/>
        </w:rPr>
      </w:pPr>
      <w:r>
        <w:rPr>
          <w:rFonts w:ascii="Times New Roman" w:cs="Times New Roman" w:eastAsia="Times New Roman" w:hAnsi="Times New Roman"/>
          <w:sz w:val="14"/>
          <w:szCs w:val="14"/>
          <w:color w:val="auto"/>
        </w:rPr>
        <w:t>We caution you that the foregoing list may not contain all of the risk factors that may impact the forward-looking statements made in this prospectus or any applicable prospectus supplement and the documents incorporated herein.</w:t>
      </w:r>
    </w:p>
    <w:p>
      <w:pPr>
        <w:spacing w:after="0" w:line="123" w:lineRule="exact"/>
        <w:rPr>
          <w:sz w:val="20"/>
          <w:szCs w:val="20"/>
          <w:color w:val="auto"/>
        </w:rPr>
      </w:pPr>
    </w:p>
    <w:p>
      <w:pPr>
        <w:ind w:left="1260" w:right="199" w:firstLine="351"/>
        <w:spacing w:after="0" w:line="269"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or any applicable</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59"/>
        <w:spacing w:after="0" w:line="266" w:lineRule="auto"/>
        <w:rPr>
          <w:sz w:val="20"/>
          <w:szCs w:val="20"/>
          <w:color w:val="auto"/>
        </w:rPr>
      </w:pPr>
      <w:r>
        <w:rPr>
          <w:rFonts w:ascii="Times New Roman" w:cs="Times New Roman" w:eastAsia="Times New Roman" w:hAnsi="Times New Roman"/>
          <w:sz w:val="14"/>
          <w:szCs w:val="14"/>
          <w:color w:val="auto"/>
        </w:rPr>
        <w:t>prospectus supplement and in the documents incorporated by reference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42" w:lineRule="exact"/>
        <w:rPr>
          <w:sz w:val="20"/>
          <w:szCs w:val="20"/>
          <w:color w:val="auto"/>
        </w:rPr>
      </w:pPr>
    </w:p>
    <w:p>
      <w:pPr>
        <w:ind w:left="1260" w:right="139" w:firstLine="351"/>
        <w:spacing w:after="0" w:line="263" w:lineRule="auto"/>
        <w:rPr>
          <w:sz w:val="20"/>
          <w:szCs w:val="20"/>
          <w:color w:val="auto"/>
        </w:rPr>
      </w:pPr>
      <w:r>
        <w:rPr>
          <w:rFonts w:ascii="Times New Roman" w:cs="Times New Roman" w:eastAsia="Times New Roman" w:hAnsi="Times New Roman"/>
          <w:sz w:val="14"/>
          <w:szCs w:val="14"/>
          <w:color w:val="auto"/>
        </w:rPr>
        <w:t>The forward-looking statements made, or incorporated by reference, in this prospectus or any applicable prospectus supplement relate only to events as of the date on which such statements are made. We undertake no obligation to update any forward-looking statements made or incorporated by reference in this prospectus or any applicable prospectus supplement to reflect events or circumstances after the date of this prospectus or any applicable prospectus supplement or the documents incorporated by reference herein,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LSB INDUSTRIES, INC.</w:t>
      </w:r>
    </w:p>
    <w:p>
      <w:pPr>
        <w:spacing w:after="0" w:line="186" w:lineRule="exact"/>
        <w:rPr>
          <w:sz w:val="20"/>
          <w:szCs w:val="20"/>
          <w:color w:val="auto"/>
        </w:rPr>
      </w:pPr>
    </w:p>
    <w:p>
      <w:pPr>
        <w:ind w:left="1260" w:right="299" w:firstLine="351"/>
        <w:spacing w:after="0" w:line="266" w:lineRule="auto"/>
        <w:rPr>
          <w:sz w:val="20"/>
          <w:szCs w:val="20"/>
          <w:color w:val="auto"/>
        </w:rPr>
      </w:pPr>
      <w:r>
        <w:rPr>
          <w:rFonts w:ascii="Times New Roman" w:cs="Times New Roman" w:eastAsia="Times New Roman" w:hAnsi="Times New Roman"/>
          <w:sz w:val="14"/>
          <w:szCs w:val="14"/>
          <w:color w:val="auto"/>
        </w:rPr>
        <w:t>LSB Industries, Inc. was formed in 1968 as an Oklahoma corporation and became a Delaware corporation in 1977. We manufacture and market chemical products for the industrial and agricultural markets. We manufacture ammonia and ammonia-related products in El Dorado, Arkansas, Cherokee, Alabama, and Pryor, Oklahoma, and operate a facility on behalf of Covestro LLC in Baytown, Texas. Our products are sold through distributors and directly to end customers, such as farmers, ranchers, and fertilizer dealers, throughout the United States and parts of Canada, and to explosives manufacturers in the United States and other parts of North America.</w:t>
      </w:r>
    </w:p>
    <w:p>
      <w:pPr>
        <w:spacing w:after="0" w:line="14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principal executive offices are located at 3503 NW 63rd Street, Suite 500, Oklahoma City, Oklahoma 73116 and our telephone number is</w:t>
      </w:r>
    </w:p>
    <w:p>
      <w:pPr>
        <w:spacing w:after="0" w:line="25" w:lineRule="exact"/>
        <w:rPr>
          <w:sz w:val="20"/>
          <w:szCs w:val="20"/>
          <w:color w:val="auto"/>
        </w:rPr>
      </w:pPr>
    </w:p>
    <w:p>
      <w:pPr>
        <w:ind w:left="1260" w:right="259" w:hanging="10"/>
        <w:spacing w:after="0" w:line="261" w:lineRule="auto"/>
        <w:tabs>
          <w:tab w:leader="none" w:pos="160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235-4546. Our internet website address is </w:t>
      </w:r>
      <w:r>
        <w:rPr>
          <w:rFonts w:ascii="Times New Roman" w:cs="Times New Roman" w:eastAsia="Times New Roman" w:hAnsi="Times New Roman"/>
          <w:sz w:val="14"/>
          <w:szCs w:val="14"/>
          <w:i w:val="1"/>
          <w:iCs w:val="1"/>
          <w:color w:val="auto"/>
        </w:rPr>
        <w:t>www.lsbindustries.com</w:t>
      </w:r>
      <w:r>
        <w:rPr>
          <w:rFonts w:ascii="Times New Roman" w:cs="Times New Roman" w:eastAsia="Times New Roman" w:hAnsi="Times New Roman"/>
          <w:sz w:val="14"/>
          <w:szCs w:val="14"/>
          <w:color w:val="auto"/>
        </w:rPr>
        <w:t xml:space="preserve">. The information on, or that can be accessed through, our website is not part of this prospectus or any applicable prospectus supplement, and you should not rely on any such information in making the decision whether to purchase our securities. You may review filings that we make with the SEC, including our Annual Reports on Form 10-K, Quarterly Reports on Form 10-Q, Current Reports on Form 8-K and amendments to those reports electronically filed or furnished pursuant to Sections 13(a), 13(c), 14 and 15(d) of the Exchange Act,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6" w:lineRule="exact"/>
        <w:rPr>
          <w:sz w:val="20"/>
          <w:szCs w:val="20"/>
          <w:color w:val="auto"/>
        </w:rPr>
      </w:pPr>
    </w:p>
    <w:p>
      <w:pPr>
        <w:ind w:left="1260" w:right="159" w:firstLine="351"/>
        <w:spacing w:after="0" w:line="264"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Prior to making a decision about investing in our securities, you should carefully consider the risks, uncertainties and assumptions discussed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our most recent Annual Report on Form 10-K and any updates in our Quarterly Reports on Form 10-Q or in other documents that are filed with the SEC after the date hereof, which are incorporated herein by reference as described in this prospectus under the headings “</w:t>
      </w:r>
      <w:r>
        <w:rPr>
          <w:rFonts w:ascii="Times New Roman" w:cs="Times New Roman" w:eastAsia="Times New Roman" w:hAnsi="Times New Roman"/>
          <w:sz w:val="14"/>
          <w:szCs w:val="14"/>
          <w:i w:val="1"/>
          <w:iCs w:val="1"/>
          <w:color w:val="auto"/>
        </w:rPr>
        <w:t>Incorporation of Documents by Reference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the risk factors and other information contained in the applicable prospectus supplement. The risks and uncertainties we have described in such documents are not the only risks that we face.</w:t>
      </w:r>
    </w:p>
    <w:p>
      <w:pPr>
        <w:spacing w:after="0" w:line="144" w:lineRule="exact"/>
        <w:rPr>
          <w:sz w:val="20"/>
          <w:szCs w:val="20"/>
          <w:color w:val="auto"/>
        </w:rPr>
      </w:pPr>
    </w:p>
    <w:p>
      <w:pPr>
        <w:ind w:left="1260" w:right="279" w:firstLine="351"/>
        <w:spacing w:after="0" w:line="266" w:lineRule="auto"/>
        <w:rPr>
          <w:sz w:val="20"/>
          <w:szCs w:val="20"/>
          <w:color w:val="auto"/>
        </w:rPr>
      </w:pPr>
      <w:r>
        <w:rPr>
          <w:rFonts w:ascii="Times New Roman" w:cs="Times New Roman" w:eastAsia="Times New Roman" w:hAnsi="Times New Roman"/>
          <w:sz w:val="14"/>
          <w:szCs w:val="14"/>
          <w:color w:val="auto"/>
        </w:rPr>
        <w:t>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securities to decline, resulting in a loss of all or part of your investment. Please also read carefully the section above titled “</w:t>
      </w:r>
      <w:r>
        <w:rPr>
          <w:rFonts w:ascii="Times New Roman" w:cs="Times New Roman" w:eastAsia="Times New Roman" w:hAnsi="Times New Roman"/>
          <w:sz w:val="14"/>
          <w:szCs w:val="14"/>
          <w:i w:val="1"/>
          <w:iCs w:val="1"/>
          <w:color w:val="auto"/>
        </w:rPr>
        <w:t>Cautionary Statement Regarding Forward-Looking Statements</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6" w:lineRule="exact"/>
        <w:rPr>
          <w:sz w:val="20"/>
          <w:szCs w:val="20"/>
          <w:color w:val="auto"/>
        </w:rPr>
      </w:pPr>
    </w:p>
    <w:p>
      <w:pPr>
        <w:ind w:left="1260" w:right="139" w:firstLine="351"/>
        <w:spacing w:after="0" w:line="269" w:lineRule="auto"/>
        <w:rPr>
          <w:sz w:val="20"/>
          <w:szCs w:val="20"/>
          <w:color w:val="auto"/>
        </w:rPr>
      </w:pPr>
      <w:r>
        <w:rPr>
          <w:rFonts w:ascii="Times New Roman" w:cs="Times New Roman" w:eastAsia="Times New Roman" w:hAnsi="Times New Roman"/>
          <w:sz w:val="14"/>
          <w:szCs w:val="14"/>
          <w:color w:val="auto"/>
        </w:rPr>
        <w:t>Unless we indicate otherwise in the applicable prospectus supplement, we intend to use the net proceeds of the securities offered by this prospectus for general corporate purposes, which may include an increase in working capital, expansion of our facilities, the repayment or refinancing of outstanding indebtedness, the acquisition of assets or businesses and repurchases of securities. Net proceeds may be temporarily invested prior to use. We will not receive any proceeds from the sale of common stock by any selling stockholder.</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2"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6" w:lineRule="exact"/>
        <w:rPr>
          <w:sz w:val="20"/>
          <w:szCs w:val="20"/>
          <w:color w:val="auto"/>
        </w:rPr>
      </w:pPr>
    </w:p>
    <w:p>
      <w:pPr>
        <w:ind w:left="1260" w:right="239" w:firstLine="351"/>
        <w:spacing w:after="0" w:line="294" w:lineRule="auto"/>
        <w:rPr>
          <w:sz w:val="20"/>
          <w:szCs w:val="20"/>
          <w:color w:val="auto"/>
        </w:rPr>
      </w:pPr>
      <w:r>
        <w:rPr>
          <w:rFonts w:ascii="Times New Roman" w:cs="Times New Roman" w:eastAsia="Times New Roman" w:hAnsi="Times New Roman"/>
          <w:sz w:val="14"/>
          <w:szCs w:val="14"/>
          <w:color w:val="auto"/>
        </w:rPr>
        <w:t>We and/or the selling stockholders may use this prospectus and any accompanying prospectus supplement to sell our securities from time to time in one or more transactions, including, without limitation:</w:t>
      </w:r>
    </w:p>
    <w:p>
      <w:pPr>
        <w:spacing w:after="0" w:line="47" w:lineRule="exact"/>
        <w:rPr>
          <w:sz w:val="20"/>
          <w:szCs w:val="20"/>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to or through a market maker or into an existing trading market, securities exchange or otherwise;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brokers or dealers; or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these methods or any other method permitted by applicable law.</w:t>
      </w:r>
    </w:p>
    <w:p>
      <w:pPr>
        <w:spacing w:after="0" w:line="184" w:lineRule="exact"/>
        <w:rPr>
          <w:sz w:val="20"/>
          <w:szCs w:val="20"/>
          <w:color w:val="auto"/>
        </w:rPr>
      </w:pPr>
    </w:p>
    <w:p>
      <w:pPr>
        <w:ind w:left="1260" w:right="619" w:firstLine="351"/>
        <w:spacing w:after="0" w:line="294" w:lineRule="auto"/>
        <w:rPr>
          <w:sz w:val="20"/>
          <w:szCs w:val="20"/>
          <w:color w:val="auto"/>
        </w:rPr>
      </w:pPr>
      <w:r>
        <w:rPr>
          <w:rFonts w:ascii="Times New Roman" w:cs="Times New Roman" w:eastAsia="Times New Roman" w:hAnsi="Times New Roman"/>
          <w:sz w:val="14"/>
          <w:szCs w:val="14"/>
          <w:color w:val="auto"/>
        </w:rPr>
        <w:t>The manner in which we and/or the selling stockholders may sell some or all of the securities covered by this prospectus includes, without limitation, through:</w:t>
      </w:r>
    </w:p>
    <w:p>
      <w:pPr>
        <w:spacing w:after="0" w:line="47" w:lineRule="exact"/>
        <w:rPr>
          <w:sz w:val="20"/>
          <w:szCs w:val="20"/>
          <w:color w:val="auto"/>
        </w:rPr>
      </w:pPr>
    </w:p>
    <w:p>
      <w:pPr>
        <w:ind w:left="2020" w:right="119" w:hanging="339"/>
        <w:spacing w:after="0" w:line="294"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block trade in which a broker-dealer will attempt to sell as agent, but may position or resell a portion of the block, as principal, in order to facilitate the transaction;</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a broker solicits purchasers;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 or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84" w:lineRule="exact"/>
        <w:rPr>
          <w:sz w:val="20"/>
          <w:szCs w:val="20"/>
          <w:color w:val="auto"/>
        </w:rPr>
      </w:pPr>
    </w:p>
    <w:p>
      <w:pPr>
        <w:ind w:left="1260" w:right="139" w:firstLine="351"/>
        <w:spacing w:after="0" w:line="263" w:lineRule="auto"/>
        <w:rPr>
          <w:sz w:val="20"/>
          <w:szCs w:val="20"/>
          <w:color w:val="auto"/>
        </w:rPr>
      </w:pPr>
      <w:r>
        <w:rPr>
          <w:rFonts w:ascii="Times New Roman" w:cs="Times New Roman" w:eastAsia="Times New Roman" w:hAnsi="Times New Roman"/>
          <w:sz w:val="14"/>
          <w:szCs w:val="14"/>
          <w:color w:val="auto"/>
        </w:rPr>
        <w:t>In addition, we and/or the selling stockholders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other offering materials, as the case may be. If so, the third party may use securities borrowed from us and/or the selling stockholders or others to settle such sales and may use securities received from us and/or the selling stockholders to close out any related short positions. We and/or the selling stockholders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other offering materials, as the case may be.</w:t>
      </w:r>
    </w:p>
    <w:p>
      <w:pPr>
        <w:spacing w:after="0" w:line="14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 prospectus supplement with respect to each class and/or series of securities will state the terms of the offering of the securities, including:</w:t>
      </w:r>
    </w:p>
    <w:p>
      <w:pPr>
        <w:spacing w:after="0" w:line="108" w:lineRule="exact"/>
        <w:rPr>
          <w:sz w:val="20"/>
          <w:szCs w:val="20"/>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or agents and the amounts of securities underwritten or purchased by each of them, if any;</w:t>
      </w:r>
    </w:p>
    <w:p>
      <w:pPr>
        <w:spacing w:after="0" w:line="108" w:lineRule="exact"/>
        <w:rPr>
          <w:rFonts w:ascii="Times New Roman" w:cs="Times New Roman" w:eastAsia="Times New Roman" w:hAnsi="Times New Roman"/>
          <w:sz w:val="14"/>
          <w:szCs w:val="14"/>
          <w:color w:val="auto"/>
        </w:rPr>
      </w:pPr>
    </w:p>
    <w:p>
      <w:pPr>
        <w:ind w:left="2020" w:right="279" w:hanging="339"/>
        <w:spacing w:after="0" w:line="294" w:lineRule="auto"/>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 or purchase price of the securities and the net proceeds to be received by us and/or the selling stockholders from the sale;</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on which the securities may be listed.</w:t>
      </w:r>
    </w:p>
    <w:p>
      <w:pPr>
        <w:spacing w:after="0" w:line="1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499" w:firstLine="351"/>
        <w:spacing w:after="0" w:line="294" w:lineRule="auto"/>
        <w:rPr>
          <w:sz w:val="20"/>
          <w:szCs w:val="20"/>
          <w:color w:val="auto"/>
        </w:rPr>
      </w:pPr>
      <w:r>
        <w:rPr>
          <w:rFonts w:ascii="Times New Roman" w:cs="Times New Roman" w:eastAsia="Times New Roman" w:hAnsi="Times New Roman"/>
          <w:sz w:val="14"/>
          <w:szCs w:val="14"/>
          <w:color w:val="auto"/>
        </w:rPr>
        <w:t>The offer and sale of the securities described in this prospectus by us, the selling stockholders, the underwriters or the third parties described above may be effected from time to time in one or more transactions, including privately negotiated transactions, either:</w:t>
      </w:r>
    </w:p>
    <w:p>
      <w:pPr>
        <w:spacing w:after="0" w:line="47" w:lineRule="exact"/>
        <w:rPr>
          <w:sz w:val="20"/>
          <w:szCs w:val="20"/>
          <w:color w:val="auto"/>
        </w:rPr>
      </w:pPr>
    </w:p>
    <w:p>
      <w:pPr>
        <w:ind w:left="2020" w:hanging="339"/>
        <w:spacing w:after="0"/>
        <w:tabs>
          <w:tab w:leader="none" w:pos="2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08" w:lineRule="exact"/>
        <w:rPr>
          <w:rFonts w:ascii="Times New Roman" w:cs="Times New Roman" w:eastAsia="Times New Roman" w:hAnsi="Times New Roman"/>
          <w:sz w:val="14"/>
          <w:szCs w:val="14"/>
          <w:color w:val="auto"/>
        </w:rPr>
      </w:pPr>
    </w:p>
    <w:p>
      <w:pPr>
        <w:ind w:left="2020" w:right="159" w:hanging="339"/>
        <w:spacing w:after="0" w:line="294" w:lineRule="auto"/>
        <w:tabs>
          <w:tab w:leader="none" w:pos="2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 including in “at the market” offerings within the meaning of Rule 415(a)(4) of the Securities Act;</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the prevailing market prices; or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84" w:lineRule="exact"/>
        <w:rPr>
          <w:sz w:val="20"/>
          <w:szCs w:val="20"/>
          <w:color w:val="auto"/>
        </w:rPr>
      </w:pPr>
    </w:p>
    <w:p>
      <w:pPr>
        <w:ind w:left="1260" w:right="239" w:firstLine="351"/>
        <w:spacing w:after="0" w:line="264" w:lineRule="auto"/>
        <w:rPr>
          <w:sz w:val="20"/>
          <w:szCs w:val="20"/>
          <w:color w:val="auto"/>
        </w:rPr>
      </w:pPr>
      <w:r>
        <w:rPr>
          <w:rFonts w:ascii="Times New Roman" w:cs="Times New Roman" w:eastAsia="Times New Roman" w:hAnsi="Times New Roman"/>
          <w:sz w:val="14"/>
          <w:szCs w:val="14"/>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and/or the selling stockholders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as the case may be.</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Underwriters and Agents</w:t>
      </w:r>
    </w:p>
    <w:p>
      <w:pPr>
        <w:spacing w:after="0" w:line="99" w:lineRule="exact"/>
        <w:rPr>
          <w:sz w:val="20"/>
          <w:szCs w:val="20"/>
          <w:color w:val="auto"/>
        </w:rPr>
      </w:pPr>
    </w:p>
    <w:p>
      <w:pPr>
        <w:ind w:left="1260" w:right="199" w:firstLine="351"/>
        <w:spacing w:after="0" w:line="264" w:lineRule="auto"/>
        <w:rPr>
          <w:sz w:val="20"/>
          <w:szCs w:val="20"/>
          <w:color w:val="auto"/>
        </w:rPr>
      </w:pPr>
      <w:r>
        <w:rPr>
          <w:rFonts w:ascii="Times New Roman" w:cs="Times New Roman" w:eastAsia="Times New Roman" w:hAnsi="Times New Roman"/>
          <w:sz w:val="14"/>
          <w:szCs w:val="14"/>
          <w:color w:val="auto"/>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which may vary and will be determined at the time of the sale. We and/or the selling stockholders may offer the securities to the public through an underwriting syndicate or through a single underwriter. The underwriters in any particular offering will be identified in the applicable prospectus supplement or other offering materials, as the case may be.</w:t>
      </w:r>
    </w:p>
    <w:p>
      <w:pPr>
        <w:spacing w:after="0" w:line="144" w:lineRule="exact"/>
        <w:rPr>
          <w:sz w:val="20"/>
          <w:szCs w:val="20"/>
          <w:color w:val="auto"/>
        </w:rPr>
      </w:pPr>
    </w:p>
    <w:p>
      <w:pPr>
        <w:ind w:left="1260" w:right="179" w:firstLine="351"/>
        <w:spacing w:after="0" w:line="266"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the obligations of the underwriters to purchase the offered securities will be subject to certain conditions contained in an underwriting agreement that we and/or the selling stockholders will enter into with the underwriters at the time of the sale to them. The underwriters will be obligated to purchase all of the securities of the series offered if any of the securities are purchased, unless the applicable prospectus supplement says otherwise. Any initial public offering price and any discounts or concessions allowed, reallowed or paid to dealers may be changed from time to time.</w:t>
      </w:r>
    </w:p>
    <w:p>
      <w:pPr>
        <w:spacing w:after="0" w:line="142" w:lineRule="exact"/>
        <w:rPr>
          <w:sz w:val="20"/>
          <w:szCs w:val="20"/>
          <w:color w:val="auto"/>
        </w:rPr>
      </w:pPr>
    </w:p>
    <w:p>
      <w:pPr>
        <w:ind w:left="1260" w:right="119" w:firstLine="351"/>
        <w:spacing w:after="0" w:line="264" w:lineRule="auto"/>
        <w:rPr>
          <w:sz w:val="20"/>
          <w:szCs w:val="20"/>
          <w:color w:val="auto"/>
        </w:rPr>
      </w:pPr>
      <w:r>
        <w:rPr>
          <w:rFonts w:ascii="Times New Roman" w:cs="Times New Roman" w:eastAsia="Times New Roman" w:hAnsi="Times New Roman"/>
          <w:sz w:val="14"/>
          <w:szCs w:val="14"/>
          <w:color w:val="auto"/>
        </w:rPr>
        <w:t>We and/or the selling stockholders may designate agents to sell the offered securities. Unless the applicable prospectus supplement states otherwise, the agents will agree to use their best efforts to solicit purchases for the period of their appointment. We and/or the selling stockholders may also sell the offered securities to one or more remarketing firms, acting as principals for their own accounts or as agents for us and/or the selling stockholders. These firms will remarket the offered securities upon purchasing them in accordance with a redemption or repayment pursuant to the terms of the offered securities. A prospectus supplement or other offering materials, as the case may be, will identify any remarketing firm and will describe the terms of its agreement, if any, with us and/or the selling stockholders and its compensation.</w:t>
      </w:r>
    </w:p>
    <w:p>
      <w:pPr>
        <w:spacing w:after="0" w:line="144" w:lineRule="exact"/>
        <w:rPr>
          <w:sz w:val="20"/>
          <w:szCs w:val="20"/>
          <w:color w:val="auto"/>
        </w:rPr>
      </w:pPr>
    </w:p>
    <w:p>
      <w:pPr>
        <w:ind w:left="1260" w:right="179" w:firstLine="351"/>
        <w:spacing w:after="0" w:line="269" w:lineRule="auto"/>
        <w:rPr>
          <w:sz w:val="20"/>
          <w:szCs w:val="20"/>
          <w:color w:val="auto"/>
        </w:rPr>
      </w:pPr>
      <w:r>
        <w:rPr>
          <w:rFonts w:ascii="Times New Roman" w:cs="Times New Roman" w:eastAsia="Times New Roman" w:hAnsi="Times New Roman"/>
          <w:sz w:val="14"/>
          <w:szCs w:val="14"/>
          <w:color w:val="auto"/>
        </w:rPr>
        <w:t>In connection with offerings made through underwriters or agents, we and/or the selling stockholders may enter into agreements with such underwriters or agents pursuant to which we and/or the selling stockholders receive our and/or their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339"/>
        <w:spacing w:after="0" w:line="294" w:lineRule="auto"/>
        <w:rPr>
          <w:sz w:val="20"/>
          <w:szCs w:val="20"/>
          <w:color w:val="auto"/>
        </w:rPr>
      </w:pPr>
      <w:r>
        <w:rPr>
          <w:rFonts w:ascii="Times New Roman" w:cs="Times New Roman" w:eastAsia="Times New Roman" w:hAnsi="Times New Roman"/>
          <w:sz w:val="14"/>
          <w:szCs w:val="14"/>
          <w:color w:val="auto"/>
        </w:rPr>
        <w:t>underwriters or agents may use the securities received from us and/or the selling stockholders under these arrangements to close out any related open borrowings of securities.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Dealers</w:t>
      </w:r>
    </w:p>
    <w:p>
      <w:pPr>
        <w:spacing w:after="0" w:line="99" w:lineRule="exact"/>
        <w:rPr>
          <w:sz w:val="20"/>
          <w:szCs w:val="20"/>
          <w:color w:val="auto"/>
        </w:rPr>
      </w:pPr>
    </w:p>
    <w:p>
      <w:pPr>
        <w:jc w:val="both"/>
        <w:ind w:left="1260" w:right="259" w:firstLine="351"/>
        <w:spacing w:after="0" w:line="294" w:lineRule="auto"/>
        <w:rPr>
          <w:sz w:val="20"/>
          <w:szCs w:val="20"/>
          <w:color w:val="auto"/>
        </w:rPr>
      </w:pPr>
      <w:r>
        <w:rPr>
          <w:rFonts w:ascii="Times New Roman" w:cs="Times New Roman" w:eastAsia="Times New Roman" w:hAnsi="Times New Roman"/>
          <w:sz w:val="14"/>
          <w:szCs w:val="14"/>
          <w:color w:val="auto"/>
        </w:rPr>
        <w:t>We and/or the selling stockholders may sell the offered securities to dealers as principals. The dealer may then resell such securities to the public either at varying prices to be determined by the dealer or at a fixed offering price agreed to with us and/or the selling stockholders at the time of resale.</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 Sales</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and/or the selling stockholders may choose to sell the offered securities directly. In this case, no underwriters or agents would be involved.</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Institutional Purchasers</w:t>
      </w:r>
    </w:p>
    <w:p>
      <w:pPr>
        <w:spacing w:after="0" w:line="99" w:lineRule="exact"/>
        <w:rPr>
          <w:sz w:val="20"/>
          <w:szCs w:val="20"/>
          <w:color w:val="auto"/>
        </w:rPr>
      </w:pPr>
    </w:p>
    <w:p>
      <w:pPr>
        <w:ind w:left="1260" w:right="119" w:firstLine="351"/>
        <w:spacing w:after="0" w:line="269" w:lineRule="auto"/>
        <w:rPr>
          <w:sz w:val="20"/>
          <w:szCs w:val="20"/>
          <w:color w:val="auto"/>
        </w:rPr>
      </w:pPr>
      <w:r>
        <w:rPr>
          <w:rFonts w:ascii="Times New Roman" w:cs="Times New Roman" w:eastAsia="Times New Roman" w:hAnsi="Times New Roman"/>
          <w:sz w:val="14"/>
          <w:szCs w:val="14"/>
          <w:color w:val="auto"/>
        </w:rPr>
        <w:t>We and/or the selling stockholders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spacing w:after="0" w:line="140" w:lineRule="exact"/>
        <w:rPr>
          <w:sz w:val="20"/>
          <w:szCs w:val="20"/>
          <w:color w:val="auto"/>
        </w:rPr>
      </w:pPr>
    </w:p>
    <w:p>
      <w:pPr>
        <w:jc w:val="both"/>
        <w:ind w:left="1260" w:right="139" w:firstLine="351"/>
        <w:spacing w:after="0" w:line="275" w:lineRule="auto"/>
        <w:rPr>
          <w:sz w:val="20"/>
          <w:szCs w:val="20"/>
          <w:color w:val="auto"/>
        </w:rPr>
      </w:pPr>
      <w:r>
        <w:rPr>
          <w:rFonts w:ascii="Times New Roman" w:cs="Times New Roman" w:eastAsia="Times New Roman" w:hAnsi="Times New Roman"/>
          <w:sz w:val="14"/>
          <w:szCs w:val="14"/>
          <w:color w:val="auto"/>
        </w:rPr>
        <w:t>We and/or the selling stockholders will enter into such delayed contracts only with institutional purchasers that we and/or the selling stockholders approve. These institutions may include commercial and savings banks, insurance companies, pension funds, investment companies and educational and charitable institutions.</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Indemnification; Other Relationships</w:t>
      </w:r>
    </w:p>
    <w:p>
      <w:pPr>
        <w:spacing w:after="0" w:line="99" w:lineRule="exact"/>
        <w:rPr>
          <w:sz w:val="20"/>
          <w:szCs w:val="20"/>
          <w:color w:val="auto"/>
        </w:rPr>
      </w:pPr>
    </w:p>
    <w:p>
      <w:pPr>
        <w:ind w:left="1260" w:right="439" w:firstLine="351"/>
        <w:spacing w:after="0" w:line="269" w:lineRule="auto"/>
        <w:rPr>
          <w:sz w:val="20"/>
          <w:szCs w:val="20"/>
          <w:color w:val="auto"/>
        </w:rPr>
      </w:pPr>
      <w:r>
        <w:rPr>
          <w:rFonts w:ascii="Times New Roman" w:cs="Times New Roman" w:eastAsia="Times New Roman" w:hAnsi="Times New Roman"/>
          <w:sz w:val="14"/>
          <w:szCs w:val="14"/>
          <w:color w:val="auto"/>
        </w:rPr>
        <w:t>We and/or the selling stockholders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and/or the selling stockholders in the ordinary course of business. This includes commercial banking and investment banking transactions.</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Market-Making, Stabilization and Other Transactions</w:t>
      </w:r>
    </w:p>
    <w:p>
      <w:pPr>
        <w:spacing w:after="0" w:line="99" w:lineRule="exact"/>
        <w:rPr>
          <w:sz w:val="20"/>
          <w:szCs w:val="20"/>
          <w:color w:val="auto"/>
        </w:rPr>
      </w:pPr>
    </w:p>
    <w:p>
      <w:pPr>
        <w:ind w:left="1260" w:right="159" w:firstLine="351"/>
        <w:spacing w:after="0" w:line="263" w:lineRule="auto"/>
        <w:rPr>
          <w:sz w:val="20"/>
          <w:szCs w:val="20"/>
          <w:color w:val="auto"/>
        </w:rPr>
      </w:pPr>
      <w:r>
        <w:rPr>
          <w:rFonts w:ascii="Times New Roman" w:cs="Times New Roman" w:eastAsia="Times New Roman" w:hAnsi="Times New Roman"/>
          <w:sz w:val="14"/>
          <w:szCs w:val="14"/>
          <w:color w:val="auto"/>
        </w:rPr>
        <w:t>There is currently no market for any of the offered securities, other than our common stock, which is listed on the New York Stock Exchange.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and/or the selling stockholders that it intends to make a market in the offered securities, such underwriter would not be obligated to do so, and any such market-making could be discontinued at any time without notice. Therefore, an active trading market may not develop for the offered securities. We have no current plans for listing the preferred stock or debt securities on any securities exchange or quotation system; any such listing with respect to any particular securities will be described in the applicable prospectus supplement or other offering materials, as the case may be.</w:t>
      </w:r>
    </w:p>
    <w:p>
      <w:pPr>
        <w:spacing w:after="0" w:line="144" w:lineRule="exact"/>
        <w:rPr>
          <w:sz w:val="20"/>
          <w:szCs w:val="20"/>
          <w:color w:val="auto"/>
        </w:rPr>
      </w:pPr>
    </w:p>
    <w:p>
      <w:pPr>
        <w:ind w:left="1260" w:right="279" w:firstLine="351"/>
        <w:spacing w:after="0" w:line="269" w:lineRule="auto"/>
        <w:rPr>
          <w:sz w:val="20"/>
          <w:szCs w:val="20"/>
          <w:color w:val="auto"/>
        </w:rPr>
      </w:pPr>
      <w:r>
        <w:rPr>
          <w:rFonts w:ascii="Times New Roman" w:cs="Times New Roman" w:eastAsia="Times New Roman" w:hAnsi="Times New Roman"/>
          <w:sz w:val="14"/>
          <w:szCs w:val="14"/>
          <w:color w:val="auto"/>
        </w:rPr>
        <w:t>Any underwriter may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99" w:firstLine="351"/>
        <w:spacing w:after="0" w:line="269" w:lineRule="auto"/>
        <w:rPr>
          <w:sz w:val="20"/>
          <w:szCs w:val="20"/>
          <w:color w:val="auto"/>
        </w:rPr>
      </w:pPr>
      <w:r>
        <w:rPr>
          <w:rFonts w:ascii="Times New Roman" w:cs="Times New Roman" w:eastAsia="Times New Roman" w:hAnsi="Times New Roman"/>
          <w:sz w:val="14"/>
          <w:szCs w:val="14"/>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these transactions. The underwriters may, if they commence these transactions, discontinue them at any time.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6"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following is a description of the material terms of our capital stock. It does not purport to be complete and is qualified in its entirety by reference to our Restated Certificate of Incorporation, as amended (our “Certificate of Incorporation”), our Third Amended and Restated Bylaws (our “Bylaws”) and the Amended and Restated Section 382 Rights Agreement, dated as of August 22, 2023, between the Company and Computershare Trust Company, N.A., as rights agent (as amended on May 2, 2024, the “Rights Agreement”), each of which is incorporated by reference into the registration statement of which this prospectus forms a part. The Delaware General Corporation Law, as amended (the “DGCL”), may also affect the terms of these securities.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99" w:lineRule="exact"/>
        <w:rPr>
          <w:sz w:val="20"/>
          <w:szCs w:val="20"/>
          <w:color w:val="auto"/>
        </w:rPr>
      </w:pPr>
    </w:p>
    <w:p>
      <w:pPr>
        <w:ind w:left="1260" w:right="259" w:firstLine="351"/>
        <w:spacing w:after="0" w:line="294" w:lineRule="auto"/>
        <w:rPr>
          <w:sz w:val="20"/>
          <w:szCs w:val="20"/>
          <w:color w:val="auto"/>
        </w:rPr>
      </w:pPr>
      <w:r>
        <w:rPr>
          <w:rFonts w:ascii="Times New Roman" w:cs="Times New Roman" w:eastAsia="Times New Roman" w:hAnsi="Times New Roman"/>
          <w:sz w:val="14"/>
          <w:szCs w:val="14"/>
          <w:color w:val="auto"/>
        </w:rPr>
        <w:t>The Company’s authorized capital stock consists of 150,000,000 shares of common stock, $0.10 par value per share, 250,000 shares of preferred stock, $100 par value per share, and 5,000,000 shares of Class C Preferred Stock, no par value (“Class C Preferred Stock”).</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7" w:lineRule="exact"/>
        <w:rPr>
          <w:sz w:val="20"/>
          <w:szCs w:val="20"/>
          <w:color w:val="auto"/>
        </w:rPr>
      </w:pPr>
    </w:p>
    <w:p>
      <w:pPr>
        <w:ind w:left="1260" w:right="379" w:firstLine="351"/>
        <w:spacing w:after="0" w:line="297" w:lineRule="auto"/>
        <w:rPr>
          <w:sz w:val="20"/>
          <w:szCs w:val="20"/>
          <w:color w:val="auto"/>
        </w:rPr>
      </w:pPr>
      <w:r>
        <w:rPr>
          <w:rFonts w:ascii="Times New Roman" w:cs="Times New Roman" w:eastAsia="Times New Roman" w:hAnsi="Times New Roman"/>
          <w:sz w:val="14"/>
          <w:szCs w:val="14"/>
          <w:i w:val="1"/>
          <w:iCs w:val="1"/>
          <w:color w:val="auto"/>
        </w:rPr>
        <w:t>Common Stock Outstanding</w:t>
      </w:r>
      <w:r>
        <w:rPr>
          <w:rFonts w:ascii="Times New Roman" w:cs="Times New Roman" w:eastAsia="Times New Roman" w:hAnsi="Times New Roman"/>
          <w:sz w:val="14"/>
          <w:szCs w:val="14"/>
          <w:color w:val="auto"/>
        </w:rPr>
        <w:t>. As of May 12, 2026, 71,938,845 shares of our common stock were issued and outstanding, excluding 19,229,279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held in treasury. All outstanding shares of our common stock are duly authorized, fully paid and nonassessable.</w:t>
      </w:r>
    </w:p>
    <w:p>
      <w:pPr>
        <w:spacing w:after="0" w:line="118" w:lineRule="exact"/>
        <w:rPr>
          <w:sz w:val="20"/>
          <w:szCs w:val="20"/>
          <w:color w:val="auto"/>
        </w:rPr>
      </w:pPr>
    </w:p>
    <w:p>
      <w:pPr>
        <w:ind w:left="1260" w:right="279" w:firstLine="351"/>
        <w:spacing w:after="0" w:line="297"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holder of shares of common stock is entitled to one vote for each share, in person or by proxy, at any and all meetings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of the Company, on all propositions before such meetings.</w:t>
      </w:r>
    </w:p>
    <w:p>
      <w:pPr>
        <w:spacing w:after="0" w:line="118" w:lineRule="exact"/>
        <w:rPr>
          <w:sz w:val="20"/>
          <w:szCs w:val="20"/>
          <w:color w:val="auto"/>
        </w:rPr>
      </w:pPr>
    </w:p>
    <w:p>
      <w:pPr>
        <w:ind w:left="1260" w:right="15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preferential dividend rights of any other class or series of stock, the holders of common stock are entitled to receive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including dividends of stock, if, as and when declared by the Board of Directors, subject to any limitations applicable by law and to the rights of the holders, if any, of the Company’s preferred stock.</w:t>
      </w:r>
    </w:p>
    <w:p>
      <w:pPr>
        <w:spacing w:after="0" w:line="134" w:lineRule="exact"/>
        <w:rPr>
          <w:sz w:val="20"/>
          <w:szCs w:val="20"/>
          <w:color w:val="auto"/>
        </w:rPr>
      </w:pPr>
    </w:p>
    <w:p>
      <w:pPr>
        <w:jc w:val="both"/>
        <w:ind w:left="1260" w:right="27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Liquidation</w:t>
      </w:r>
      <w:r>
        <w:rPr>
          <w:rFonts w:ascii="Times New Roman" w:cs="Times New Roman" w:eastAsia="Times New Roman" w:hAnsi="Times New Roman"/>
          <w:sz w:val="14"/>
          <w:szCs w:val="14"/>
          <w:color w:val="auto"/>
        </w:rPr>
        <w:t>. In the event we are liquidated, dissolved or our affairs are wound up, after we pay or make adequate provision for all of our known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debts and liabilities, each holder of our common stock will be entitled to share ratably in all assets that remain, subject to any rights that are granted to the holders of any class or series of preferred stock.</w:t>
      </w:r>
    </w:p>
    <w:p>
      <w:pPr>
        <w:spacing w:after="0" w:line="134" w:lineRule="exact"/>
        <w:rPr>
          <w:sz w:val="20"/>
          <w:szCs w:val="20"/>
          <w:color w:val="auto"/>
        </w:rPr>
      </w:pPr>
    </w:p>
    <w:p>
      <w:pPr>
        <w:ind w:left="1260" w:right="2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Other Rights and Restrictions</w:t>
      </w:r>
      <w:r>
        <w:rPr>
          <w:rFonts w:ascii="Times New Roman" w:cs="Times New Roman" w:eastAsia="Times New Roman" w:hAnsi="Times New Roman"/>
          <w:sz w:val="14"/>
          <w:szCs w:val="14"/>
          <w:color w:val="auto"/>
        </w:rPr>
        <w:t>. Subject to the preferential rights of any other class or series of stock, all shares of our common stock have equal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 distribution, liquidation and other rights, and have no preference, appraisal or exchange rights, except for any appraisal rights provided by Delaware law. Furthermore, holders of our common stock have no conversion, sinking fund or redemption rights, or preemptive rights to subscribe for any of our securities. Our Certificate of Incorporation and Bylaws do not restrict the ability of a holder of our common stock to transfer the holder’s shares of our common stock.</w:t>
      </w:r>
    </w:p>
    <w:p>
      <w:pPr>
        <w:spacing w:after="0" w:line="144" w:lineRule="exact"/>
        <w:rPr>
          <w:sz w:val="20"/>
          <w:szCs w:val="20"/>
          <w:color w:val="auto"/>
        </w:rPr>
      </w:pPr>
    </w:p>
    <w:p>
      <w:pPr>
        <w:ind w:left="1260" w:right="479" w:firstLine="351"/>
        <w:spacing w:after="0" w:line="294" w:lineRule="auto"/>
        <w:rPr>
          <w:sz w:val="20"/>
          <w:szCs w:val="20"/>
          <w:color w:val="auto"/>
        </w:rPr>
      </w:pPr>
      <w:r>
        <w:rPr>
          <w:rFonts w:ascii="Times New Roman" w:cs="Times New Roman" w:eastAsia="Times New Roman" w:hAnsi="Times New Roman"/>
          <w:sz w:val="14"/>
          <w:szCs w:val="14"/>
          <w:color w:val="auto"/>
        </w:rPr>
        <w:t>The rights, powers, preferences and privileges of holders of our common stock are subject to, and may be adversely affected by, the rights of holders of shares of our outstanding preferred stock and of any series of preferred stock which we may designate and issue in the future.</w:t>
      </w:r>
    </w:p>
    <w:p>
      <w:pPr>
        <w:spacing w:after="0" w:line="1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Listing</w:t>
      </w:r>
      <w:r>
        <w:rPr>
          <w:rFonts w:ascii="Times New Roman" w:cs="Times New Roman" w:eastAsia="Times New Roman" w:hAnsi="Times New Roman"/>
          <w:sz w:val="14"/>
          <w:szCs w:val="14"/>
          <w:color w:val="auto"/>
        </w:rPr>
        <w:t>. Our common stock is listed on the New York Stock Exchange under the symbol “LXU.”</w:t>
      </w:r>
    </w:p>
    <w:p>
      <w:pPr>
        <w:spacing w:after="0" w:line="1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The transfer agent for our common stock is Computershare Limited.</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9" w:lineRule="exact"/>
        <w:rPr>
          <w:sz w:val="20"/>
          <w:szCs w:val="20"/>
          <w:color w:val="auto"/>
        </w:rPr>
      </w:pPr>
    </w:p>
    <w:p>
      <w:pPr>
        <w:ind w:left="1260" w:right="159" w:firstLine="351"/>
        <w:spacing w:after="0" w:line="294" w:lineRule="auto"/>
        <w:rPr>
          <w:sz w:val="20"/>
          <w:szCs w:val="20"/>
          <w:color w:val="auto"/>
        </w:rPr>
      </w:pPr>
      <w:r>
        <w:rPr>
          <w:rFonts w:ascii="Times New Roman" w:cs="Times New Roman" w:eastAsia="Times New Roman" w:hAnsi="Times New Roman"/>
          <w:sz w:val="14"/>
          <w:szCs w:val="14"/>
          <w:color w:val="auto"/>
        </w:rPr>
        <w:t>Under our Certificate of Incorporation we have authority, subject to any limitations prescribed by law and without further stockholder approval, to issue from time to time up to 250,000 shares of preferred stock, and</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739"/>
        <w:spacing w:after="0" w:line="294" w:lineRule="auto"/>
        <w:rPr>
          <w:sz w:val="20"/>
          <w:szCs w:val="20"/>
          <w:color w:val="auto"/>
        </w:rPr>
      </w:pPr>
      <w:r>
        <w:rPr>
          <w:rFonts w:ascii="Times New Roman" w:cs="Times New Roman" w:eastAsia="Times New Roman" w:hAnsi="Times New Roman"/>
          <w:sz w:val="14"/>
          <w:szCs w:val="14"/>
          <w:color w:val="auto"/>
        </w:rPr>
        <w:t>5,000,000 shares of Class C Preferred Stock. As of May 12, 2026, no shares of our preferred stock or Class C Preferred Stock were issued and outstanding.</w:t>
      </w:r>
    </w:p>
    <w:p>
      <w:pPr>
        <w:spacing w:after="0" w:line="123" w:lineRule="exact"/>
        <w:rPr>
          <w:sz w:val="20"/>
          <w:szCs w:val="20"/>
          <w:color w:val="auto"/>
        </w:rPr>
      </w:pPr>
    </w:p>
    <w:p>
      <w:pPr>
        <w:ind w:left="1260" w:right="139" w:firstLine="351"/>
        <w:spacing w:after="0" w:line="294" w:lineRule="auto"/>
        <w:rPr>
          <w:sz w:val="20"/>
          <w:szCs w:val="20"/>
          <w:color w:val="auto"/>
        </w:rPr>
      </w:pPr>
      <w:r>
        <w:rPr>
          <w:rFonts w:ascii="Times New Roman" w:cs="Times New Roman" w:eastAsia="Times New Roman" w:hAnsi="Times New Roman"/>
          <w:sz w:val="14"/>
          <w:szCs w:val="14"/>
          <w:color w:val="auto"/>
        </w:rPr>
        <w:t>The preferred stock and Class C Preferred Stock are issuable in one or more series, each with such designations, preferences, rights, qualifications, limitations and restrictions as our Board of Directors may determine in resolutions providing for their issuance.</w:t>
      </w:r>
    </w:p>
    <w:p>
      <w:pPr>
        <w:spacing w:after="0" w:line="123" w:lineRule="exact"/>
        <w:rPr>
          <w:sz w:val="20"/>
          <w:szCs w:val="20"/>
          <w:color w:val="auto"/>
        </w:rPr>
      </w:pPr>
    </w:p>
    <w:p>
      <w:pPr>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The issuance of preferred stock may have the effect of delaying, deferring or preventing a change in control of us without further action by the stockholders and may adversely affect the voting and other rights of the holders of our common stock. The issuance of preferred stock with voting and conversion rights may adversely affect the voting power of the holders of common stock, including loss of voting control to others.</w:t>
      </w:r>
    </w:p>
    <w:p>
      <w:pPr>
        <w:spacing w:after="0" w:line="136" w:lineRule="exact"/>
        <w:rPr>
          <w:sz w:val="20"/>
          <w:szCs w:val="20"/>
          <w:color w:val="auto"/>
        </w:rPr>
      </w:pPr>
    </w:p>
    <w:p>
      <w:pPr>
        <w:ind w:left="1260" w:right="199" w:firstLine="351"/>
        <w:spacing w:after="0" w:line="263" w:lineRule="auto"/>
        <w:rPr>
          <w:sz w:val="20"/>
          <w:szCs w:val="20"/>
          <w:color w:val="auto"/>
        </w:rPr>
      </w:pPr>
      <w:r>
        <w:rPr>
          <w:rFonts w:ascii="Times New Roman" w:cs="Times New Roman" w:eastAsia="Times New Roman" w:hAnsi="Times New Roman"/>
          <w:sz w:val="14"/>
          <w:szCs w:val="14"/>
          <w:color w:val="auto"/>
        </w:rPr>
        <w:t>Pursuant to our Certificate of Incorporation we are authorized to issue “blank check” preferred stock, which may be issued from time to time in one or more series upon authorization by our Board of Directors. Our Board of Directors, without further approval of the stockholders, is authorized to fix the dividend rights and terms, conversion rights, voting rights, redemption rights and terms, liquidation preferences, and any other rights, preferences, privileges and restrictions applicable to each series of the preferred stock. The issuance of preferred stock, while providing flexibility in connection with possible acquisitions and other corporate purposes could, among other things, adversely affect the voting power or rights of the holders of our common stock and, under certain circumstances, make it more difficult for a third party to gain control of us, discourage bids for our common stock at a premium or otherwise adversely affect the market price of the common stock.</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Preferred Stock Purchase Rights</w:t>
      </w:r>
    </w:p>
    <w:p>
      <w:pPr>
        <w:spacing w:after="0" w:line="99" w:lineRule="exact"/>
        <w:rPr>
          <w:sz w:val="20"/>
          <w:szCs w:val="20"/>
          <w:color w:val="auto"/>
        </w:rPr>
      </w:pPr>
    </w:p>
    <w:p>
      <w:pPr>
        <w:jc w:val="both"/>
        <w:ind w:left="1260" w:right="219" w:firstLine="351"/>
        <w:spacing w:after="0" w:line="275" w:lineRule="auto"/>
        <w:rPr>
          <w:sz w:val="20"/>
          <w:szCs w:val="20"/>
          <w:color w:val="auto"/>
        </w:rPr>
      </w:pPr>
      <w:r>
        <w:rPr>
          <w:rFonts w:ascii="Times New Roman" w:cs="Times New Roman" w:eastAsia="Times New Roman" w:hAnsi="Times New Roman"/>
          <w:sz w:val="14"/>
          <w:szCs w:val="14"/>
          <w:color w:val="auto"/>
        </w:rPr>
        <w:t>The following description of the preferred stock purchase rights (the “Rights”) is not complete and is subject to, and is qualified in its entirety by reference to, the full text and provisions of the Rights Agreement, a copy of which is filed as Exhibits 4.2 and 4.3 to the registration statement of which this prospectus forms a part.</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9" w:lineRule="exact"/>
        <w:rPr>
          <w:sz w:val="20"/>
          <w:szCs w:val="20"/>
          <w:color w:val="auto"/>
        </w:rPr>
      </w:pPr>
    </w:p>
    <w:p>
      <w:pPr>
        <w:ind w:left="1260" w:right="239" w:firstLine="351"/>
        <w:spacing w:after="0" w:line="259" w:lineRule="auto"/>
        <w:rPr>
          <w:sz w:val="20"/>
          <w:szCs w:val="20"/>
          <w:color w:val="auto"/>
        </w:rPr>
      </w:pPr>
      <w:r>
        <w:rPr>
          <w:rFonts w:ascii="Times New Roman" w:cs="Times New Roman" w:eastAsia="Times New Roman" w:hAnsi="Times New Roman"/>
          <w:sz w:val="14"/>
          <w:szCs w:val="14"/>
          <w:color w:val="auto"/>
        </w:rPr>
        <w:t>Each Right initially entitles the registered holder to purchase from us one one-thousandth of a share of our Series G Class C Preferred Stock, no par value (the “Preferred Shares”), subject to adjustment. The purchase price payable upon exercise of each Right to purchase one one-thousandth of a Preferred Share (the “Purchase Price”) is initially $10.00. The Rights become exercisable only after the Distribution Date (as defined below). After the Distribution Date, the Rights may be exercised (in whole or in part) by surrendering the applicable Right Certificate (or, if the Rights are in book-entry form, complying with the applicable book-entry procedures), together with payment of the Purchase Price for the number of Rights exercised (and any applicable transfer taxes). The Purchase Price and the number of Preferred Shares (or other securities) purchasable upon exercise of a Right are subject to adjustment to reflect certain events affecting the Preferred Shares or our capital structure. These adjustment provisions include, among other things, adjustments in the event of (i) certain dividends, subdivisions, combinations or reclassifications of the Preferred Shares and (ii) certain issuances of rights, options or warrants to holders of Preferred Shares at below-market prices, or certain distributions to holders of Preferred Shares, in each case as provided in the Rights Agreement. In addition, the Rights Agreement provides that, following the occurrence of specified transactions after a Stock Acquisition Date (as defined in the Rights Agreement), holders of Rights (other than those whose Rights have become void under the Rights Agreement) will be entitled, upon exercise of the Rights at the then-applicable Purchase Price, to receive common stock of the acquiring or surviving entity based on a formula set forth in the Rights Agreement.</w:t>
      </w: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Distribution Date; Exercisability; Expiration</w:t>
      </w:r>
    </w:p>
    <w:p>
      <w:pPr>
        <w:spacing w:after="0" w:line="99" w:lineRule="exact"/>
        <w:rPr>
          <w:sz w:val="20"/>
          <w:szCs w:val="20"/>
          <w:color w:val="auto"/>
        </w:rPr>
      </w:pPr>
    </w:p>
    <w:p>
      <w:pPr>
        <w:ind w:left="1260" w:right="139" w:firstLine="351"/>
        <w:spacing w:after="0" w:line="294" w:lineRule="auto"/>
        <w:rPr>
          <w:sz w:val="20"/>
          <w:szCs w:val="20"/>
          <w:color w:val="auto"/>
        </w:rPr>
      </w:pPr>
      <w:r>
        <w:rPr>
          <w:rFonts w:ascii="Times New Roman" w:cs="Times New Roman" w:eastAsia="Times New Roman" w:hAnsi="Times New Roman"/>
          <w:sz w:val="14"/>
          <w:szCs w:val="14"/>
          <w:color w:val="auto"/>
        </w:rPr>
        <w:t>Initially, the Rights will be attached to all certificates representing outstanding shares of common stock (the “Common Shares”) (or other evidence of book-entry or other uncertificated ownership) and no separate</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179"/>
        <w:spacing w:after="0" w:line="275" w:lineRule="auto"/>
        <w:rPr>
          <w:sz w:val="20"/>
          <w:szCs w:val="20"/>
          <w:color w:val="auto"/>
        </w:rPr>
      </w:pPr>
      <w:r>
        <w:rPr>
          <w:rFonts w:ascii="Times New Roman" w:cs="Times New Roman" w:eastAsia="Times New Roman" w:hAnsi="Times New Roman"/>
          <w:sz w:val="14"/>
          <w:szCs w:val="14"/>
          <w:color w:val="auto"/>
        </w:rPr>
        <w:t>certificates evidencing the Rights (“Right Certificates”) will be issued. Until the Distribution Date, the Rights will be transferred with and only with the Common Shares. As long as the Rights are attached to the Common Shares, the Company will issue one Right with each new Common Share so that all such Common Shares will have Rights attached (subject to certain limited exceptions).</w:t>
      </w:r>
    </w:p>
    <w:p>
      <w:pPr>
        <w:spacing w:after="0" w:line="136"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The Rights will separate and begin trading separately from the Common Shares, and Right Certificates will be caused to evidence the Rights, on the earlier to occur of (i) the Close of Business (as such term is defined in the Rights Agreement) on the tenth day following a public announcement, or the public disclosure of facts indicating, that a Person or group of affiliated or associated Persons has acquired Beneficial Ownership of 4.9% or more of the outstanding Common Shares (an “Acquiring Person”) (or, in the event that the Board of Directors determines to effect an exchange in accordance with Section 24 of the Rights Agreement and the Board of Directors determines that a later date is advisable, then such later date) and (ii) the Close of Business on the tenth Business Day (as such term is defined in the Rights Agreement)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Shares (the earlier of such dates, the “Distribution Date”). As soon as practicable after the Distribution Date, unless the Rights are recorded in book-entry or other uncertificated form, the Company will prepare and cause the Right Certificates to be sent to each record holder of Common Shares as of the Distribution Date.</w:t>
      </w:r>
    </w:p>
    <w:p>
      <w:pPr>
        <w:spacing w:after="0" w:line="3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An “Acquiring Person” will not include (i) the Company, (ii) any Subsidiary (as such term is defined in the Rights Agreement) of the Company,</w:t>
      </w:r>
    </w:p>
    <w:p>
      <w:pPr>
        <w:spacing w:after="0" w:line="25" w:lineRule="exact"/>
        <w:rPr>
          <w:sz w:val="20"/>
          <w:szCs w:val="20"/>
          <w:color w:val="auto"/>
        </w:rPr>
      </w:pPr>
    </w:p>
    <w:p>
      <w:pPr>
        <w:ind w:left="1260" w:right="139" w:hanging="10"/>
        <w:spacing w:after="0" w:line="257" w:lineRule="auto"/>
        <w:tabs>
          <w:tab w:leader="none" w:pos="151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employee benefit plan of the Company or of any Subsidiary of the Company, (iv) any entity holding Common Shares for or pursuant to the terms of any such employee benefit plan or (v) any Person who or which, together with all Affiliates and Associates (as such terms are defined in the Rights Agreement) of such Person, as of August 22, 2023, is a Beneficial Owner of 4.9% or more of the Common Shares then outstanding (a “Grandfathered Stockholder”). However, if a Grandfathered Stockholder becomes, after such time, the Beneficial Owner of any additional Common Shares (other than pursuant to the vesting or exercise of any equity awards issued to a member of the Board of Directors or pursuant to additional grants of any such equity awards to a member of the Board of Directors) (regardless of whether, thereafter or as a result thereof, there is an increase, decrease or no change in the percentage of Common Shares then outstanding Beneficially Owned (as such term is defined in the Rights Agreement) by such Grandfathered Stockholder) then such Grandfathered Stockholder shall be deemed to be an Acquiring Person unless, upon such acquisition of Beneficial Ownership of additional Common Shares, such person is not the Beneficial Owner of 4.9% or more of the Common Shares then outstanding. In addition, upon the first decrease of a Grandfathered Stockholder’s Beneficial Ownership below 4.9%, such Grandfathered Stockholder will no longer be deemed to be a Grandfathered Stockholder. In the event that after August 22, 2023, any agreement, arrangement or understanding pursuant to which any Grandfathered Stockholder is deemed to be the Beneficial Owner of Common Shares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Shares that confers Beneficial Ownership of Common Shares shall be considered the acquisition of Beneficial Ownership of additional Common Shares by the Grandfathered Stockholder and render such Grandfathered Stockholder an Acquiring Person for purposes of the Rights Agreement unless, upon such acquisition of Beneficial Ownership of additional Common Shares, such person is not the Beneficial Owner of 4.9% or more of the Common Shares then outstanding.</w:t>
      </w:r>
    </w:p>
    <w:p>
      <w:pPr>
        <w:spacing w:after="0" w:line="157" w:lineRule="exact"/>
        <w:rPr>
          <w:sz w:val="20"/>
          <w:szCs w:val="20"/>
          <w:color w:val="auto"/>
        </w:rPr>
      </w:pPr>
    </w:p>
    <w:p>
      <w:pPr>
        <w:ind w:left="1260" w:right="259" w:firstLine="351"/>
        <w:spacing w:after="0" w:line="266" w:lineRule="auto"/>
        <w:rPr>
          <w:sz w:val="20"/>
          <w:szCs w:val="20"/>
          <w:color w:val="auto"/>
        </w:rPr>
      </w:pPr>
      <w:r>
        <w:rPr>
          <w:rFonts w:ascii="Times New Roman" w:cs="Times New Roman" w:eastAsia="Times New Roman" w:hAnsi="Times New Roman"/>
          <w:sz w:val="14"/>
          <w:szCs w:val="14"/>
          <w:color w:val="auto"/>
        </w:rPr>
        <w:t>“Beneficial Ownership” is defined in the Rights Agreement to include any securities (i) which a Person or any of such Person’s Affiliates or Associates (a) actually owns (directly or indirectly) or would be deemed to actually or constructively own pursuant to Section 382 of the Code and the Treasury Regulations (as such terms are defined in the Rights Agreement) promulgated thereunder (including any coordinated acquisition of securities by any Persons who have a formal or informal understanding with respect to such acquisition (to the extent that ownership of such securities would be attributed to such Persons under Section 382 of the Code and the Treasury</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2"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299"/>
        <w:spacing w:after="0" w:line="263" w:lineRule="auto"/>
        <w:rPr>
          <w:sz w:val="20"/>
          <w:szCs w:val="20"/>
          <w:color w:val="auto"/>
        </w:rPr>
      </w:pPr>
      <w:r>
        <w:rPr>
          <w:rFonts w:ascii="Times New Roman" w:cs="Times New Roman" w:eastAsia="Times New Roman" w:hAnsi="Times New Roman"/>
          <w:sz w:val="14"/>
          <w:szCs w:val="14"/>
          <w:color w:val="auto"/>
        </w:rPr>
        <w:t>Regulations promulgated thereunder), (b) beneficially owns, directly or indirectly, within the meaning of Rules 13d-3 or 13d-5 promulgated under the Exchange Act, but only to the extent that ownership of such securities would be attributed to such Persons (or to any “entity” that is a group of one or more such Persons) under Section 382 of the Code and the Treasury Regulations promulgated thereunder, including by application of</w:t>
      </w:r>
    </w:p>
    <w:p>
      <w:pPr>
        <w:spacing w:after="0" w:line="1" w:lineRule="exact"/>
        <w:rPr>
          <w:sz w:val="20"/>
          <w:szCs w:val="20"/>
          <w:color w:val="auto"/>
        </w:rPr>
      </w:pPr>
    </w:p>
    <w:p>
      <w:pPr>
        <w:ind w:left="1260" w:right="199"/>
        <w:spacing w:after="0" w:line="256" w:lineRule="auto"/>
        <w:rPr>
          <w:sz w:val="20"/>
          <w:szCs w:val="20"/>
          <w:color w:val="auto"/>
        </w:rPr>
      </w:pPr>
      <w:r>
        <w:rPr>
          <w:rFonts w:ascii="Times New Roman" w:cs="Times New Roman" w:eastAsia="Times New Roman" w:hAnsi="Times New Roman"/>
          <w:sz w:val="14"/>
          <w:szCs w:val="14"/>
          <w:color w:val="auto"/>
        </w:rPr>
        <w:t xml:space="preserve">Section 1.382-2T(k)(1)(i) of the Treasury Regulations or similar presumption or (c) has the right or ability to vote, or the right to acquire, pursuant to any agreement, arrangement or understanding (except under limited circumstances), (ii) which are directly or indirectly Beneficially Owned by any other Person with which a Person has any agreement, arrangement or understanding for the purpose of acquiring, holding or voting such securities, or obtaining, changing or influencing control of the Company, but only if the effect of such agreement, arrangement or understanding is to treat such Persons as an “entity” under Section 1.382-3(a)(1) of the Treasury Regulations or (iii) which are the subject of, or reference securities for, or that underlie, certain derivative positions of any Person or any of such Person’s Affiliates or Associates, in each case only to the extent that ownership of such securities would be attributable to such Persons (or to any “entity” that is a group of one or more such Persons) under Section 382 of the Code and the Treasury Regulations promulgated thereunder;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 Person shall not be deemed to be the Beneficial Owner of, or to Beneficially Own,</w:t>
      </w:r>
    </w:p>
    <w:p>
      <w:pPr>
        <w:spacing w:after="0" w:line="5" w:lineRule="exact"/>
        <w:rPr>
          <w:sz w:val="20"/>
          <w:szCs w:val="20"/>
          <w:color w:val="auto"/>
        </w:rPr>
      </w:pPr>
    </w:p>
    <w:p>
      <w:pPr>
        <w:ind w:left="1260" w:right="119" w:hanging="10"/>
        <w:spacing w:after="0" w:line="265" w:lineRule="auto"/>
        <w:tabs>
          <w:tab w:leader="none" w:pos="146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tendered pursuant to a tender or exchange offer made pursuant to, and in accordance with, the applicable rules and regulations promulgated under the Exchange Act until such tendered securities are accepted for purchase or exchange or (y) any shares of the Company’s preferred stock or Class C Preferred Stock (other than the Preferred Shares).</w:t>
      </w:r>
    </w:p>
    <w:p>
      <w:pPr>
        <w:spacing w:after="0" w:line="142" w:lineRule="exact"/>
        <w:rPr>
          <w:sz w:val="20"/>
          <w:szCs w:val="20"/>
          <w:color w:val="auto"/>
        </w:rPr>
      </w:pPr>
    </w:p>
    <w:p>
      <w:pPr>
        <w:ind w:left="1260" w:right="339" w:firstLine="351"/>
        <w:spacing w:after="0" w:line="269" w:lineRule="auto"/>
        <w:rPr>
          <w:sz w:val="20"/>
          <w:szCs w:val="20"/>
          <w:color w:val="auto"/>
        </w:rPr>
      </w:pPr>
      <w:r>
        <w:rPr>
          <w:rFonts w:ascii="Times New Roman" w:cs="Times New Roman" w:eastAsia="Times New Roman" w:hAnsi="Times New Roman"/>
          <w:sz w:val="14"/>
          <w:szCs w:val="14"/>
          <w:color w:val="auto"/>
        </w:rPr>
        <w:t>The Rights are not exercisable until the Distribution Date. The Rights will expire on the earliest to occur of (i)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 the Close of Business on August 22, 2026 (the “Final Expiration Date”).</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Exempt Persons and Transactions</w:t>
      </w:r>
    </w:p>
    <w:p>
      <w:pPr>
        <w:spacing w:after="0" w:line="99" w:lineRule="exact"/>
        <w:rPr>
          <w:sz w:val="20"/>
          <w:szCs w:val="20"/>
          <w:color w:val="auto"/>
        </w:rPr>
      </w:pPr>
    </w:p>
    <w:p>
      <w:pPr>
        <w:ind w:left="1260" w:right="139" w:firstLine="351"/>
        <w:spacing w:after="0" w:line="263" w:lineRule="auto"/>
        <w:rPr>
          <w:sz w:val="20"/>
          <w:szCs w:val="20"/>
          <w:color w:val="auto"/>
        </w:rPr>
      </w:pPr>
      <w:r>
        <w:rPr>
          <w:rFonts w:ascii="Times New Roman" w:cs="Times New Roman" w:eastAsia="Times New Roman" w:hAnsi="Times New Roman"/>
          <w:sz w:val="14"/>
          <w:szCs w:val="14"/>
          <w:color w:val="auto"/>
        </w:rPr>
        <w:t>The Board of Directors may, in its sole and absolute discretion, determine that a Person is exempt from the Rights Agreement (an “Exempt Person”), so long as such determination is made prior to such time as such Person becomes an Acquiring Person. Any Person will cease to be an Exempt Person if the Board of Directors makes a contrary determination with respect to such Person regardless of the reason therefor. In addition, the Board of Directors may, in its sole and absolute discretion, exempt any transaction from triggering the Rights Agreement, so long as the determination in respect of such exemption is made prior to such time as any Person becomes an Acquiring Person. Any Person, together with all Affiliates and Associates of such Person, who proposes to acquire 4.9% or more of the outstanding Common Shares may apply to the Board of Directors in advance for an exemption in accordance with and pursuant to the terms of the Rights Agreement.</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Flip-in Event</w:t>
      </w:r>
    </w:p>
    <w:p>
      <w:pPr>
        <w:spacing w:after="0" w:line="99" w:lineRule="exact"/>
        <w:rPr>
          <w:sz w:val="20"/>
          <w:szCs w:val="20"/>
          <w:color w:val="auto"/>
        </w:rPr>
      </w:pPr>
    </w:p>
    <w:p>
      <w:pPr>
        <w:ind w:left="1260" w:right="159" w:firstLine="351"/>
        <w:spacing w:after="0" w:line="264" w:lineRule="auto"/>
        <w:rPr>
          <w:sz w:val="20"/>
          <w:szCs w:val="20"/>
          <w:color w:val="auto"/>
        </w:rPr>
      </w:pPr>
      <w:r>
        <w:rPr>
          <w:rFonts w:ascii="Times New Roman" w:cs="Times New Roman" w:eastAsia="Times New Roman" w:hAnsi="Times New Roman"/>
          <w:sz w:val="14"/>
          <w:szCs w:val="14"/>
          <w:color w:val="auto"/>
        </w:rPr>
        <w:t>If a Person or group becomes an Acquiring Person at any time after the date of the Rights Agreement (with certain limited exceptions), the Rights will become exercisable for Common Shares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of Directors so elects, the Company may deliver upon payment of the exercise price of a Right an amount of cash, securities or other property equivalent in value to the Common Shares issuable upon exercise of a Right.</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Exchange</w:t>
      </w:r>
    </w:p>
    <w:p>
      <w:pPr>
        <w:spacing w:after="0" w:line="99" w:lineRule="exact"/>
        <w:rPr>
          <w:sz w:val="20"/>
          <w:szCs w:val="20"/>
          <w:color w:val="auto"/>
        </w:rPr>
      </w:pPr>
    </w:p>
    <w:p>
      <w:pPr>
        <w:ind w:left="1260" w:right="399" w:firstLine="351"/>
        <w:spacing w:after="0" w:line="294" w:lineRule="auto"/>
        <w:rPr>
          <w:sz w:val="20"/>
          <w:szCs w:val="20"/>
          <w:color w:val="auto"/>
        </w:rPr>
      </w:pPr>
      <w:r>
        <w:rPr>
          <w:rFonts w:ascii="Times New Roman" w:cs="Times New Roman" w:eastAsia="Times New Roman" w:hAnsi="Times New Roman"/>
          <w:sz w:val="14"/>
          <w:szCs w:val="14"/>
          <w:color w:val="auto"/>
        </w:rPr>
        <w:t>At any time after any Person becomes an Acquiring Person, the Board of Directors may exchange the Rights (other than Rights owned by any Person which have become void), in whole or in part, at an exchange ratio of</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9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39"/>
        <w:spacing w:after="0" w:line="266" w:lineRule="auto"/>
        <w:rPr>
          <w:sz w:val="20"/>
          <w:szCs w:val="20"/>
          <w:color w:val="auto"/>
        </w:rPr>
      </w:pPr>
      <w:r>
        <w:rPr>
          <w:rFonts w:ascii="Times New Roman" w:cs="Times New Roman" w:eastAsia="Times New Roman" w:hAnsi="Times New Roman"/>
          <w:sz w:val="14"/>
          <w:szCs w:val="14"/>
          <w:color w:val="auto"/>
        </w:rPr>
        <w:t>one Common Share per Right (subject to adjustment). The Company may issue, transfer or deposit such Common Shares (or other property as permitted under the Rights Agreement) to or into a trust or other entity created upon such terms as the Board of Directors may determine and may direct that all holders of Rights receive such Common Shares or other property only from the trust or other entity. In the event that the Board of Directors determines, before the Distribution Date, to effect an exchange, the Board of Directors may delay the occurrence of the Distribution Date to such time as it deems advisable.</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Flip-over Event</w:t>
      </w:r>
    </w:p>
    <w:p>
      <w:pPr>
        <w:spacing w:after="0" w:line="99" w:lineRule="exact"/>
        <w:rPr>
          <w:sz w:val="20"/>
          <w:szCs w:val="20"/>
          <w:color w:val="auto"/>
        </w:rPr>
      </w:pPr>
    </w:p>
    <w:p>
      <w:pPr>
        <w:ind w:left="1260" w:right="139" w:firstLine="351"/>
        <w:spacing w:after="0" w:line="264" w:lineRule="auto"/>
        <w:rPr>
          <w:sz w:val="20"/>
          <w:szCs w:val="20"/>
          <w:color w:val="auto"/>
        </w:rPr>
      </w:pPr>
      <w:r>
        <w:rPr>
          <w:rFonts w:ascii="Times New Roman" w:cs="Times New Roman" w:eastAsia="Times New Roman" w:hAnsi="Times New Roman"/>
          <w:sz w:val="14"/>
          <w:szCs w:val="14"/>
          <w:color w:val="auto"/>
        </w:rPr>
        <w:t>If, at any time after a Person becomes an Acquiring Person, (i) the Company consolidates with, or merges with, any other Person (or any Person consolidates with, or merges with, the Company) and, in connection with such consolidation or merger, all or part of the Common Shares are or will be changed into or exchanged for stock or other securities of any other Person or cash or any other property or (ii) 50% or more of the Company’s consolidated assets or Earning Power (as defined in the Rights Agreement) is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Redemption</w:t>
      </w:r>
    </w:p>
    <w:p>
      <w:pPr>
        <w:spacing w:after="0" w:line="99" w:lineRule="exact"/>
        <w:rPr>
          <w:sz w:val="20"/>
          <w:szCs w:val="20"/>
          <w:color w:val="auto"/>
        </w:rPr>
      </w:pPr>
    </w:p>
    <w:p>
      <w:pPr>
        <w:ind w:left="1260" w:right="279" w:firstLine="351"/>
        <w:spacing w:after="0" w:line="264" w:lineRule="auto"/>
        <w:rPr>
          <w:sz w:val="20"/>
          <w:szCs w:val="20"/>
          <w:color w:val="auto"/>
        </w:rPr>
      </w:pPr>
      <w:r>
        <w:rPr>
          <w:rFonts w:ascii="Times New Roman" w:cs="Times New Roman" w:eastAsia="Times New Roman" w:hAnsi="Times New Roman"/>
          <w:sz w:val="14"/>
          <w:szCs w:val="14"/>
          <w:color w:val="auto"/>
        </w:rPr>
        <w:t>At any time prior to the earlier to occur of (i) the Close of Business on the tenth day following the Stock Acquisition Date (or, if the tenth day following the Stock Acquisition Date occurs before the Record Date, the Close of Business on the Record Date) and (ii) the Final Expiration Date, the Board of Directors may redeem the Rights in whole, but not in part, at a price of $0.001 per Right (the “Redemption Price”).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Amendment</w:t>
      </w:r>
    </w:p>
    <w:p>
      <w:pPr>
        <w:spacing w:after="0" w:line="99" w:lineRule="exact"/>
        <w:rPr>
          <w:sz w:val="20"/>
          <w:szCs w:val="20"/>
          <w:color w:val="auto"/>
        </w:rPr>
      </w:pPr>
    </w:p>
    <w:p>
      <w:pPr>
        <w:jc w:val="both"/>
        <w:ind w:left="1260" w:right="199" w:firstLine="351"/>
        <w:spacing w:after="0" w:line="269" w:lineRule="auto"/>
        <w:rPr>
          <w:sz w:val="20"/>
          <w:szCs w:val="20"/>
          <w:color w:val="auto"/>
        </w:rPr>
      </w:pPr>
      <w:r>
        <w:rPr>
          <w:rFonts w:ascii="Times New Roman" w:cs="Times New Roman" w:eastAsia="Times New Roman" w:hAnsi="Times New Roman"/>
          <w:sz w:val="14"/>
          <w:szCs w:val="14"/>
          <w:color w:val="auto"/>
        </w:rPr>
        <w:t>The terms of the Rights may be amended by the Board of Directors without the consent of the holders of the Rights, except that at any time after the Close of Business on the tenth day following the Stock Acquisition Date (or, if the tenth day following the Stock Acquisition Date occurs before the Record Date, the Close of Business on the Record Date), no such amendment may adversely affect the interests of the holders of the Rights (other than the Acquiring Person and its Affiliates and Associates).</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Preferred Stock Rights</w:t>
      </w:r>
    </w:p>
    <w:p>
      <w:pPr>
        <w:spacing w:after="0" w:line="99" w:lineRule="exact"/>
        <w:rPr>
          <w:sz w:val="20"/>
          <w:szCs w:val="20"/>
          <w:color w:val="auto"/>
        </w:rPr>
      </w:pPr>
    </w:p>
    <w:p>
      <w:pPr>
        <w:ind w:left="1260" w:right="479" w:firstLine="351"/>
        <w:spacing w:after="0" w:line="294" w:lineRule="auto"/>
        <w:rPr>
          <w:sz w:val="20"/>
          <w:szCs w:val="20"/>
          <w:color w:val="auto"/>
        </w:rPr>
      </w:pPr>
      <w:r>
        <w:rPr>
          <w:rFonts w:ascii="Times New Roman" w:cs="Times New Roman" w:eastAsia="Times New Roman" w:hAnsi="Times New Roman"/>
          <w:sz w:val="14"/>
          <w:szCs w:val="14"/>
          <w:color w:val="auto"/>
        </w:rPr>
        <w:t>Each one-thousandth of a Preferred Share will entitle the holder thereof to the same dividends and liquidation rights as if the holder held one Common Share and will be treated the same as a Common Share in the event of a merger, consolidation or other share exchange.</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Rights of Holders</w:t>
      </w:r>
    </w:p>
    <w:p>
      <w:pPr>
        <w:spacing w:after="0" w:line="99" w:lineRule="exact"/>
        <w:rPr>
          <w:sz w:val="20"/>
          <w:szCs w:val="20"/>
          <w:color w:val="auto"/>
        </w:rPr>
      </w:pPr>
    </w:p>
    <w:p>
      <w:pPr>
        <w:ind w:left="1260" w:right="179" w:firstLine="351"/>
        <w:spacing w:after="0" w:line="294" w:lineRule="auto"/>
        <w:rPr>
          <w:sz w:val="20"/>
          <w:szCs w:val="20"/>
          <w:color w:val="auto"/>
        </w:rPr>
      </w:pPr>
      <w:r>
        <w:rPr>
          <w:rFonts w:ascii="Times New Roman" w:cs="Times New Roman" w:eastAsia="Times New Roman" w:hAnsi="Times New Roman"/>
          <w:sz w:val="14"/>
          <w:szCs w:val="14"/>
          <w:color w:val="auto"/>
        </w:rPr>
        <w:t>Until a Right is exercised, the holder thereof, as such, will have no rights as a stockholder of the Company, including, without limitation, the right to vote or to receive dividends.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Our Certificate of Incorporation and Our Bylaws</w:t>
      </w:r>
    </w:p>
    <w:p>
      <w:pPr>
        <w:spacing w:after="0" w:line="99" w:lineRule="exact"/>
        <w:rPr>
          <w:sz w:val="20"/>
          <w:szCs w:val="20"/>
          <w:color w:val="auto"/>
        </w:rPr>
      </w:pPr>
    </w:p>
    <w:p>
      <w:pPr>
        <w:ind w:left="1260" w:right="239" w:firstLine="351"/>
        <w:spacing w:after="0" w:line="275" w:lineRule="auto"/>
        <w:rPr>
          <w:sz w:val="20"/>
          <w:szCs w:val="20"/>
          <w:color w:val="auto"/>
        </w:rPr>
      </w:pPr>
      <w:r>
        <w:rPr>
          <w:rFonts w:ascii="Times New Roman" w:cs="Times New Roman" w:eastAsia="Times New Roman" w:hAnsi="Times New Roman"/>
          <w:sz w:val="14"/>
          <w:szCs w:val="14"/>
          <w:color w:val="auto"/>
        </w:rPr>
        <w:t>Some provisions of Delaware law, our Certificate of Incorporation and our Bylaws contain provisions that could make the following transactions more difficult: acquisitions of us by means of a tender offer, a proxy contest or otherwise or removal of our incumbent officers and directors. These provisions may also have the</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2"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459"/>
        <w:spacing w:after="0" w:line="275" w:lineRule="auto"/>
        <w:rPr>
          <w:sz w:val="20"/>
          <w:szCs w:val="20"/>
          <w:color w:val="auto"/>
        </w:rPr>
      </w:pPr>
      <w:r>
        <w:rPr>
          <w:rFonts w:ascii="Times New Roman" w:cs="Times New Roman" w:eastAsia="Times New Roman" w:hAnsi="Times New Roman"/>
          <w:sz w:val="14"/>
          <w:szCs w:val="14"/>
          <w:color w:val="auto"/>
        </w:rPr>
        <w:t>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36" w:lineRule="exact"/>
        <w:rPr>
          <w:sz w:val="20"/>
          <w:szCs w:val="20"/>
          <w:color w:val="auto"/>
        </w:rPr>
      </w:pPr>
    </w:p>
    <w:p>
      <w:pPr>
        <w:ind w:left="1260" w:right="139" w:firstLine="351"/>
        <w:spacing w:after="0" w:line="269" w:lineRule="auto"/>
        <w:rPr>
          <w:sz w:val="20"/>
          <w:szCs w:val="20"/>
          <w:color w:val="auto"/>
        </w:rPr>
      </w:pPr>
      <w:r>
        <w:rPr>
          <w:rFonts w:ascii="Times New Roman" w:cs="Times New Roman" w:eastAsia="Times New Roman" w:hAnsi="Times New Roman"/>
          <w:sz w:val="14"/>
          <w:szCs w:val="14"/>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Delaware Law</w:t>
      </w:r>
    </w:p>
    <w:p>
      <w:pPr>
        <w:spacing w:after="0" w:line="99" w:lineRule="exact"/>
        <w:rPr>
          <w:sz w:val="20"/>
          <w:szCs w:val="20"/>
          <w:color w:val="auto"/>
        </w:rPr>
      </w:pPr>
    </w:p>
    <w:p>
      <w:pPr>
        <w:ind w:left="1260" w:right="479" w:firstLine="351"/>
        <w:spacing w:after="0" w:line="294" w:lineRule="auto"/>
        <w:rPr>
          <w:sz w:val="20"/>
          <w:szCs w:val="20"/>
          <w:color w:val="auto"/>
        </w:rPr>
      </w:pPr>
      <w:r>
        <w:rPr>
          <w:rFonts w:ascii="Times New Roman" w:cs="Times New Roman" w:eastAsia="Times New Roman" w:hAnsi="Times New Roman"/>
          <w:sz w:val="14"/>
          <w:szCs w:val="14"/>
          <w:color w:val="auto"/>
        </w:rPr>
        <w:t>Section 203 of the DGCL prohibits a Delaware corporation from engaging in any business combination with any interested stockholder for a period of three years following the date that the stockholder became an interested stockholder, unless:</w:t>
      </w:r>
    </w:p>
    <w:p>
      <w:pPr>
        <w:spacing w:after="0" w:line="47" w:lineRule="exact"/>
        <w:rPr>
          <w:sz w:val="20"/>
          <w:szCs w:val="20"/>
          <w:color w:val="auto"/>
        </w:rPr>
      </w:pPr>
    </w:p>
    <w:p>
      <w:pPr>
        <w:ind w:left="2020" w:hanging="339"/>
        <w:spacing w:after="0"/>
        <w:tabs>
          <w:tab w:leader="none" w:pos="2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approved by the board of directors before the date the interested stockholder attained that status;</w:t>
      </w:r>
    </w:p>
    <w:p>
      <w:pPr>
        <w:spacing w:after="0" w:line="108" w:lineRule="exact"/>
        <w:rPr>
          <w:rFonts w:ascii="Times New Roman" w:cs="Times New Roman" w:eastAsia="Times New Roman" w:hAnsi="Times New Roman"/>
          <w:sz w:val="14"/>
          <w:szCs w:val="14"/>
          <w:color w:val="auto"/>
        </w:rPr>
      </w:pPr>
    </w:p>
    <w:p>
      <w:pPr>
        <w:ind w:left="2020" w:right="519" w:hanging="339"/>
        <w:spacing w:after="0" w:line="294" w:lineRule="auto"/>
        <w:tabs>
          <w:tab w:leader="none" w:pos="2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47" w:lineRule="exact"/>
        <w:rPr>
          <w:rFonts w:ascii="Times New Roman" w:cs="Times New Roman" w:eastAsia="Times New Roman" w:hAnsi="Times New Roman"/>
          <w:sz w:val="14"/>
          <w:szCs w:val="14"/>
          <w:color w:val="auto"/>
        </w:rPr>
      </w:pPr>
    </w:p>
    <w:p>
      <w:pPr>
        <w:ind w:left="2020" w:right="159" w:hanging="339"/>
        <w:spacing w:after="0" w:line="294" w:lineRule="auto"/>
        <w:tabs>
          <w:tab w:leader="none" w:pos="2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23" w:lineRule="exact"/>
        <w:rPr>
          <w:sz w:val="20"/>
          <w:szCs w:val="20"/>
          <w:color w:val="auto"/>
        </w:rPr>
      </w:pPr>
    </w:p>
    <w:p>
      <w:pPr>
        <w:ind w:left="1260" w:right="319" w:firstLine="351"/>
        <w:spacing w:after="0" w:line="266" w:lineRule="auto"/>
        <w:rPr>
          <w:sz w:val="20"/>
          <w:szCs w:val="20"/>
          <w:color w:val="auto"/>
        </w:rPr>
      </w:pPr>
      <w:r>
        <w:rPr>
          <w:rFonts w:ascii="Times New Roman" w:cs="Times New Roman" w:eastAsia="Times New Roman" w:hAnsi="Times New Roman"/>
          <w:sz w:val="14"/>
          <w:szCs w:val="14"/>
          <w:color w:val="auto"/>
        </w:rPr>
        <w:t>An interested stockholder is defined as a person who, together with any affiliates or associates of such person, beneficially owns, directly or indirectly, 15% or more of the outstanding voting shares of a Delaware corporation. The term “business combination” is broadly defined to include a broad array of transactions, including mergers, consolidations, sales or other dispositions of assets having a total value in excess of 10% of the consolidated assets of the corporation or all of the outstanding stock of the corporation, and some other transactions that would increase the interested stockholder’s proportionate share ownership in the corporation.</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Our Certificate of Incorporation and Our Bylaws</w:t>
      </w:r>
    </w:p>
    <w:p>
      <w:pPr>
        <w:spacing w:after="0" w:line="99" w:lineRule="exact"/>
        <w:rPr>
          <w:sz w:val="20"/>
          <w:szCs w:val="20"/>
          <w:color w:val="auto"/>
        </w:rPr>
      </w:pPr>
    </w:p>
    <w:p>
      <w:pPr>
        <w:ind w:left="1260" w:right="259" w:firstLine="351"/>
        <w:spacing w:after="0" w:line="272" w:lineRule="auto"/>
        <w:rPr>
          <w:sz w:val="20"/>
          <w:szCs w:val="20"/>
          <w:color w:val="auto"/>
        </w:rPr>
      </w:pPr>
      <w:r>
        <w:rPr>
          <w:rFonts w:ascii="Times New Roman" w:cs="Times New Roman" w:eastAsia="Times New Roman" w:hAnsi="Times New Roman"/>
          <w:sz w:val="14"/>
          <w:szCs w:val="14"/>
          <w:color w:val="auto"/>
        </w:rPr>
        <w:t>Provisions of our Certificate of Incorporation and our Bylaws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3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Among other things, our Certificate of Incorporation and Bylaws:</w:t>
      </w:r>
    </w:p>
    <w:p>
      <w:pPr>
        <w:spacing w:after="0" w:line="108" w:lineRule="exact"/>
        <w:rPr>
          <w:sz w:val="20"/>
          <w:szCs w:val="20"/>
          <w:color w:val="auto"/>
        </w:rPr>
      </w:pPr>
    </w:p>
    <w:p>
      <w:pPr>
        <w:ind w:left="2020" w:right="299" w:hanging="339"/>
        <w:spacing w:after="0" w:line="275" w:lineRule="auto"/>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division of the Board of Directors into three classes, each class consisting as nearly as possible of one-third of the whole. The term of office of one class of directors expires each year; with each class of directors elected for a term of three years and until the stockholders elect their qualified successors;</w:t>
      </w:r>
    </w:p>
    <w:p>
      <w:pPr>
        <w:spacing w:after="0" w:line="60" w:lineRule="exact"/>
        <w:rPr>
          <w:rFonts w:ascii="Times New Roman" w:cs="Times New Roman" w:eastAsia="Times New Roman" w:hAnsi="Times New Roman"/>
          <w:sz w:val="14"/>
          <w:szCs w:val="14"/>
          <w:color w:val="auto"/>
        </w:rPr>
      </w:pPr>
    </w:p>
    <w:p>
      <w:pPr>
        <w:ind w:left="2020" w:right="139" w:hanging="339"/>
        <w:spacing w:after="0" w:line="275" w:lineRule="auto"/>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or, if applicable, the rights of holders of a series of preferred stock, be filled by a majority of directors then in office, even if less than a quorum, or by the sole remaining director;</w:t>
      </w:r>
    </w:p>
    <w:p>
      <w:pPr>
        <w:spacing w:after="0" w:line="60" w:lineRule="exact"/>
        <w:rPr>
          <w:rFonts w:ascii="Times New Roman" w:cs="Times New Roman" w:eastAsia="Times New Roman" w:hAnsi="Times New Roman"/>
          <w:sz w:val="14"/>
          <w:szCs w:val="14"/>
          <w:color w:val="auto"/>
        </w:rPr>
      </w:pPr>
    </w:p>
    <w:p>
      <w:pPr>
        <w:ind w:left="2020" w:right="519" w:hanging="339"/>
        <w:spacing w:after="0" w:line="294" w:lineRule="auto"/>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 the affirmative vote of not less than two-thirds of the outstanding voting stock, voting as a single class, is required to amend the provisions of our Certificate of Incorporation governing our</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9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40" w:right="179"/>
        <w:spacing w:after="0" w:line="266" w:lineRule="auto"/>
        <w:rPr>
          <w:sz w:val="20"/>
          <w:szCs w:val="20"/>
          <w:color w:val="auto"/>
        </w:rPr>
      </w:pPr>
      <w:r>
        <w:rPr>
          <w:rFonts w:ascii="Times New Roman" w:cs="Times New Roman" w:eastAsia="Times New Roman" w:hAnsi="Times New Roman"/>
          <w:sz w:val="14"/>
          <w:szCs w:val="14"/>
          <w:color w:val="auto"/>
        </w:rPr>
        <w:t>classified Board of Directors, the supermajority vote requirement for mergers and bylaw amendments, or to adopt any provision inconsistent therewith, (b) our Bylaws may be amended by a vote of a majority of the directors then in office or by a vote of the holders of two-thirds of the outstanding voting stock entitled to vote for the election of directors, and (c) certain provisions of our Bylaws (relating to director terms, vacancies and bylaw amendments) may be amended only by a vote of two-thirds of the entire Board of Directors or by a vote of two-thirds of the outstanding voting stock entitled to vote for the election of directors;</w:t>
      </w:r>
    </w:p>
    <w:p>
      <w:pPr>
        <w:spacing w:after="0" w:line="66" w:lineRule="exact"/>
        <w:rPr>
          <w:sz w:val="20"/>
          <w:szCs w:val="20"/>
          <w:color w:val="auto"/>
        </w:rPr>
      </w:pPr>
    </w:p>
    <w:p>
      <w:pPr>
        <w:ind w:left="2020" w:right="299" w:hanging="339"/>
        <w:spacing w:after="0" w:line="269" w:lineRule="auto"/>
        <w:tabs>
          <w:tab w:leader="none" w:pos="2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only by our chairman, by a majority of the directors then in office, or by our chairman upon receipt of a written request to do so signed by holders of record of two-thirds of the shares of stock that would be entitled to be voted on such matter or matters if the meeting was held on the day such request is received and the record date for such meeting was the close of business on the preceding day;</w:t>
      </w:r>
    </w:p>
    <w:p>
      <w:pPr>
        <w:spacing w:after="0" w:line="64" w:lineRule="exact"/>
        <w:rPr>
          <w:rFonts w:ascii="Times New Roman" w:cs="Times New Roman" w:eastAsia="Times New Roman" w:hAnsi="Times New Roman"/>
          <w:sz w:val="14"/>
          <w:szCs w:val="14"/>
          <w:color w:val="auto"/>
        </w:rPr>
      </w:pPr>
    </w:p>
    <w:p>
      <w:pPr>
        <w:ind w:left="2020" w:right="159" w:hanging="339"/>
        <w:spacing w:after="0" w:line="260" w:lineRule="auto"/>
        <w:tabs>
          <w:tab w:leader="none" w:pos="2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unless we consent in writing to the selection of an alternative forum, (i) the Court of Chancery of the State of Delaware will be the sole and exclusive forum for (a) any derivative claim brought in the right of the Company, (b) any action asserting a claim of breach of a fiduciary duty owed by any of our current or former directors, officers, or other employees or stockholders, (c) any action asserting a claim arising pursuant to any provision of the DGCL, the Certificate of Incorporation or the Bylaws, (d) any action to interpret, apply, enforce or determine the validity of the Bylaws, (e) any action asserting a claim governed by the internal affairs doctrine, or (f) any other claim, not subject to exclusive federal jurisdiction, brought in any action asserting one or more of the claims specified in clauses</w:t>
      </w:r>
    </w:p>
    <w:p>
      <w:pPr>
        <w:spacing w:after="0" w:line="1" w:lineRule="exact"/>
        <w:rPr>
          <w:rFonts w:ascii="Times New Roman" w:cs="Times New Roman" w:eastAsia="Times New Roman" w:hAnsi="Times New Roman"/>
          <w:sz w:val="14"/>
          <w:szCs w:val="14"/>
          <w:color w:val="auto"/>
        </w:rPr>
      </w:pPr>
    </w:p>
    <w:p>
      <w:pPr>
        <w:jc w:val="both"/>
        <w:ind w:left="2020" w:right="239"/>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through (e);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foregoing will not apply to claims brought to enforce any liability or duty created by the Exchange Act, and (ii) the federal district courts of the United States shall be the exclusive forum for the resolution of any complaint asserting a cause of action arising under the Securities Act;</w:t>
      </w:r>
    </w:p>
    <w:p>
      <w:pPr>
        <w:spacing w:after="0" w:line="67" w:lineRule="exact"/>
        <w:rPr>
          <w:rFonts w:ascii="Times New Roman" w:cs="Times New Roman" w:eastAsia="Times New Roman" w:hAnsi="Times New Roman"/>
          <w:sz w:val="14"/>
          <w:szCs w:val="14"/>
          <w:color w:val="auto"/>
        </w:rPr>
      </w:pPr>
    </w:p>
    <w:p>
      <w:pPr>
        <w:ind w:left="2020" w:right="259" w:hanging="339"/>
        <w:spacing w:after="0" w:line="261" w:lineRule="auto"/>
        <w:tabs>
          <w:tab w:leader="none" w:pos="2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provide that the affirmative vote of the holders of not less than two-thirds of the outstanding voting stock of the Company voting as a single class shall be required for the approval or authorization of any (i) merger or consolidation of the Company with or into any other corporation, or (ii) sale, lease or exchange of all or substantially all of the assets of the Company to or with any other corporation, person or entity;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such two-thirds voting requirement shall not be applicable if (a) the Company is merged with a corporation in which at least two-thirds of the outstanding shares of each class of stock of such corporation is owned by the Company, or (b) if a transaction described in clauses (i) or (ii) above has been approved by a vote of at least a majority of the members of the Board of Directors. If such two-thirds voting requirement of the outstanding voting stock of the Company shall not be applicable under the provisions of clauses (a) or (b) above, then in such event transactions specified in (i) or (ii) above shall require only such affirmative vote as is required by law, regulation or any other provision of our Certificate of Incorporation; and</w:t>
      </w:r>
    </w:p>
    <w:p>
      <w:pPr>
        <w:spacing w:after="0" w:line="72"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Bylaws can be amended by our Board of Directors.</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Limitations of Liability and Indemnification Matters</w:t>
      </w:r>
    </w:p>
    <w:p>
      <w:pPr>
        <w:spacing w:after="0" w:line="99" w:lineRule="exact"/>
        <w:rPr>
          <w:sz w:val="20"/>
          <w:szCs w:val="20"/>
          <w:color w:val="auto"/>
        </w:rPr>
      </w:pPr>
    </w:p>
    <w:p>
      <w:pPr>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Our Certificate of Incorporation limits the liability of our directors for monetary damages for breach of their fiduciary duty as directors, except for liability that cannot be eliminated under the DGCL. Delaware law provides that directors of a company will not be personally liable for monetary damages for breach of their fiduciary duty as directors, except for liabilities:</w:t>
      </w:r>
    </w:p>
    <w:p>
      <w:pPr>
        <w:spacing w:after="0" w:line="60" w:lineRule="exact"/>
        <w:rPr>
          <w:sz w:val="20"/>
          <w:szCs w:val="20"/>
          <w:color w:val="auto"/>
        </w:rPr>
      </w:pPr>
    </w:p>
    <w:p>
      <w:pPr>
        <w:ind w:left="2020" w:hanging="339"/>
        <w:spacing w:after="0"/>
        <w:tabs>
          <w:tab w:leader="none" w:pos="2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their duty of loyalty to us or our stockholders;</w:t>
      </w:r>
    </w:p>
    <w:p>
      <w:pPr>
        <w:spacing w:after="0" w:line="108" w:lineRule="exact"/>
        <w:rPr>
          <w:rFonts w:ascii="Times New Roman" w:cs="Times New Roman" w:eastAsia="Times New Roman" w:hAnsi="Times New Roman"/>
          <w:sz w:val="14"/>
          <w:szCs w:val="14"/>
          <w:color w:val="auto"/>
        </w:rPr>
      </w:pPr>
    </w:p>
    <w:p>
      <w:pPr>
        <w:ind w:left="5580" w:right="1819" w:hanging="3899"/>
        <w:spacing w:after="0" w:line="470" w:lineRule="auto"/>
        <w:tabs>
          <w:tab w:leader="none" w:pos="203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intentional misconduct or a knowing violation of law; 19</w:t>
      </w:r>
    </w:p>
    <w:p>
      <w:pPr>
        <w:sectPr>
          <w:pgSz w:w="11900" w:h="16838" w:orient="portrait"/>
          <w:cols w:equalWidth="0" w:num="1">
            <w:col w:w="10159"/>
          </w:cols>
          <w:pgMar w:left="300" w:top="39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9"/>
        <w:spacing w:after="0"/>
        <w:tabs>
          <w:tab w:leader="none" w:pos="2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unlawful payment of dividend or unlawful stock repurchase or redemption, as provided under Section 174 of the DGCL; or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derived an improper personal benefit.</w:t>
      </w:r>
    </w:p>
    <w:p>
      <w:pPr>
        <w:spacing w:after="0" w:line="184" w:lineRule="exact"/>
        <w:rPr>
          <w:sz w:val="20"/>
          <w:szCs w:val="20"/>
          <w:color w:val="auto"/>
        </w:rPr>
      </w:pPr>
    </w:p>
    <w:p>
      <w:pPr>
        <w:ind w:left="1260" w:right="259" w:firstLine="351"/>
        <w:spacing w:after="0" w:line="294" w:lineRule="auto"/>
        <w:rPr>
          <w:sz w:val="20"/>
          <w:szCs w:val="20"/>
          <w:color w:val="auto"/>
        </w:rPr>
      </w:pPr>
      <w:r>
        <w:rPr>
          <w:rFonts w:ascii="Times New Roman" w:cs="Times New Roman" w:eastAsia="Times New Roman" w:hAnsi="Times New Roman"/>
          <w:sz w:val="14"/>
          <w:szCs w:val="14"/>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23"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Our Bylaws also provide that we will indemnify our directors and officers to the fullest extent permitted by Delaware law. If Delaware law is amended to authorize corporate action further eliminating or limiting the personal liability of a director, then the liability of our directors will be eliminated or limited to the fullest extent permitted by Delaware law, as so amended. Our Bylaws also permit us to purchase insurance on behalf of any officer, director, employee or other agent for any liability arising out of that person’s actions as our officer, director, employee or agent, regardless of whether Delaware law would permit indemnification. We have entered into indemnification agreements with each of our directors and officers. These agreements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the Certificate of Incorporation and the indemnification agreements facilitates our ability to continue to attract and retain qualified individuals to serve as directors and officers.</w:t>
      </w:r>
    </w:p>
    <w:p>
      <w:pPr>
        <w:spacing w:after="0" w:line="147" w:lineRule="exact"/>
        <w:rPr>
          <w:sz w:val="20"/>
          <w:szCs w:val="20"/>
          <w:color w:val="auto"/>
        </w:rPr>
      </w:pPr>
    </w:p>
    <w:p>
      <w:pPr>
        <w:ind w:left="1260" w:right="139" w:firstLine="351"/>
        <w:spacing w:after="0" w:line="262"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9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6" w:lineRule="exact"/>
        <w:rPr>
          <w:sz w:val="20"/>
          <w:szCs w:val="20"/>
          <w:color w:val="auto"/>
        </w:rPr>
      </w:pPr>
    </w:p>
    <w:p>
      <w:pPr>
        <w:ind w:left="1260" w:right="119" w:firstLine="351"/>
        <w:spacing w:after="0" w:line="26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0" w:lineRule="exact"/>
        <w:rPr>
          <w:sz w:val="20"/>
          <w:szCs w:val="20"/>
          <w:color w:val="auto"/>
        </w:rPr>
      </w:pPr>
    </w:p>
    <w:p>
      <w:pPr>
        <w:jc w:val="both"/>
        <w:ind w:left="1260" w:right="119" w:firstLine="351"/>
        <w:spacing w:after="0" w:line="275"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unsecured obligations and may be issued in one or more series.</w:t>
      </w:r>
    </w:p>
    <w:p>
      <w:pPr>
        <w:spacing w:after="0" w:line="136" w:lineRule="exact"/>
        <w:rPr>
          <w:sz w:val="20"/>
          <w:szCs w:val="20"/>
          <w:color w:val="auto"/>
        </w:rPr>
      </w:pPr>
    </w:p>
    <w:p>
      <w:pPr>
        <w:ind w:left="1260" w:right="199" w:firstLine="351"/>
        <w:spacing w:after="0" w:line="266"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the trustee. We have summarized select portions of the indenture below. The summary is not complete. The form of the indenture has been filed as an exhibit to the registration statement and you should read the indenture for provisions that may be important to you. The indenture will be subject to and governed by the terms of the Trust Indenture Act of 1939, as in effect on the date of the indenture (the “Trust Indenture Act”). Capitalized terms used in the summary and not defined herein have the meanings specified in the indenture.</w:t>
      </w:r>
    </w:p>
    <w:p>
      <w:pPr>
        <w:spacing w:after="0" w:line="142" w:lineRule="exact"/>
        <w:rPr>
          <w:sz w:val="20"/>
          <w:szCs w:val="20"/>
          <w:color w:val="auto"/>
        </w:rPr>
      </w:pPr>
    </w:p>
    <w:p>
      <w:pPr>
        <w:ind w:left="1260" w:right="379" w:firstLine="351"/>
        <w:spacing w:after="0" w:line="294" w:lineRule="auto"/>
        <w:rPr>
          <w:sz w:val="20"/>
          <w:szCs w:val="20"/>
          <w:color w:val="auto"/>
        </w:rPr>
      </w:pPr>
      <w:r>
        <w:rPr>
          <w:rFonts w:ascii="Times New Roman" w:cs="Times New Roman" w:eastAsia="Times New Roman" w:hAnsi="Times New Roman"/>
          <w:sz w:val="14"/>
          <w:szCs w:val="14"/>
          <w:color w:val="auto"/>
        </w:rPr>
        <w:t>As used in this section only, “LSB,” “we,” “our” or “us” refer to LSB Industries, Inc. excluding our subsidiaries, unless expressly stated or the context otherwise requires.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60" w:right="179" w:firstLine="351"/>
        <w:spacing w:after="0" w:line="264"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The terms of our existing indebtedness limit our ability to issue certain securities and incur new indebtedness. See “</w:t>
      </w:r>
      <w:r>
        <w:rPr>
          <w:rFonts w:ascii="Times New Roman" w:cs="Times New Roman" w:eastAsia="Times New Roman" w:hAnsi="Times New Roman"/>
          <w:sz w:val="14"/>
          <w:szCs w:val="14"/>
          <w:i w:val="1"/>
          <w:iCs w:val="1"/>
          <w:color w:val="auto"/>
        </w:rPr>
        <w:t>Risk Factors—Risks Related to Our Liquidity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Debt—Our substantial indebtedness level could limit our financial and operating activities, and adversely affect our ability to incur additional debt to fund future needs</w:t>
      </w:r>
      <w:r>
        <w:rPr>
          <w:rFonts w:ascii="Times New Roman" w:cs="Times New Roman" w:eastAsia="Times New Roman" w:hAnsi="Times New Roman"/>
          <w:sz w:val="14"/>
          <w:szCs w:val="14"/>
          <w:color w:val="auto"/>
        </w:rPr>
        <w:t>” in our Annual Report on Form 10-K for the year ended December 31, 2025.</w:t>
      </w:r>
    </w:p>
    <w:p>
      <w:pPr>
        <w:spacing w:after="0" w:line="144" w:lineRule="exact"/>
        <w:rPr>
          <w:sz w:val="20"/>
          <w:szCs w:val="20"/>
          <w:color w:val="auto"/>
        </w:rPr>
      </w:pPr>
    </w:p>
    <w:p>
      <w:pPr>
        <w:jc w:val="both"/>
        <w:ind w:left="1260" w:right="239" w:firstLine="351"/>
        <w:spacing w:after="0" w:line="275"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60" w:lineRule="exact"/>
        <w:rPr>
          <w:sz w:val="20"/>
          <w:szCs w:val="20"/>
          <w:color w:val="auto"/>
        </w:rPr>
      </w:pPr>
    </w:p>
    <w:p>
      <w:pPr>
        <w:ind w:left="2020" w:hanging="339"/>
        <w:spacing w:after="0"/>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08" w:lineRule="exact"/>
        <w:rPr>
          <w:rFonts w:ascii="Times New Roman" w:cs="Times New Roman" w:eastAsia="Times New Roman" w:hAnsi="Times New Roman"/>
          <w:sz w:val="14"/>
          <w:szCs w:val="14"/>
          <w:color w:val="auto"/>
        </w:rPr>
      </w:pPr>
    </w:p>
    <w:p>
      <w:pPr>
        <w:ind w:left="2020" w:right="239" w:hanging="339"/>
        <w:spacing w:after="0" w:line="269" w:lineRule="auto"/>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4" w:lineRule="exact"/>
        <w:rPr>
          <w:rFonts w:ascii="Times New Roman" w:cs="Times New Roman" w:eastAsia="Times New Roman" w:hAnsi="Times New Roman"/>
          <w:sz w:val="14"/>
          <w:szCs w:val="14"/>
          <w:color w:val="auto"/>
        </w:rPr>
      </w:pPr>
    </w:p>
    <w:p>
      <w:pPr>
        <w:ind w:left="2020" w:right="219" w:hanging="339"/>
        <w:spacing w:after="0" w:line="294" w:lineRule="auto"/>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9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transfer or exchange, and where notices and demands to us in respect of the debt securities may be delivered;</w:t>
      </w:r>
    </w:p>
    <w:p>
      <w:pPr>
        <w:spacing w:after="0" w:line="108" w:lineRule="exact"/>
        <w:rPr>
          <w:sz w:val="20"/>
          <w:szCs w:val="20"/>
          <w:color w:val="auto"/>
        </w:rPr>
      </w:pPr>
    </w:p>
    <w:p>
      <w:pPr>
        <w:ind w:left="2020" w:right="71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47" w:lineRule="exact"/>
        <w:rPr>
          <w:rFonts w:ascii="Times New Roman" w:cs="Times New Roman" w:eastAsia="Times New Roman" w:hAnsi="Times New Roman"/>
          <w:sz w:val="14"/>
          <w:szCs w:val="14"/>
          <w:color w:val="auto"/>
        </w:rPr>
      </w:pPr>
    </w:p>
    <w:p>
      <w:pPr>
        <w:ind w:left="2020" w:right="179" w:hanging="339"/>
        <w:spacing w:after="0" w:line="275"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60" w:lineRule="exact"/>
        <w:rPr>
          <w:rFonts w:ascii="Times New Roman" w:cs="Times New Roman" w:eastAsia="Times New Roman" w:hAnsi="Times New Roman"/>
          <w:sz w:val="14"/>
          <w:szCs w:val="14"/>
          <w:color w:val="auto"/>
        </w:rPr>
      </w:pPr>
    </w:p>
    <w:p>
      <w:pPr>
        <w:ind w:left="2020" w:right="39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108" w:lineRule="exact"/>
        <w:rPr>
          <w:rFonts w:ascii="Times New Roman" w:cs="Times New Roman" w:eastAsia="Times New Roman" w:hAnsi="Times New Roman"/>
          <w:sz w:val="14"/>
          <w:szCs w:val="14"/>
          <w:color w:val="auto"/>
        </w:rPr>
      </w:pPr>
    </w:p>
    <w:p>
      <w:pPr>
        <w:ind w:left="2020" w:right="59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47" w:lineRule="exact"/>
        <w:rPr>
          <w:rFonts w:ascii="Times New Roman" w:cs="Times New Roman" w:eastAsia="Times New Roman" w:hAnsi="Times New Roman"/>
          <w:sz w:val="14"/>
          <w:szCs w:val="14"/>
          <w:color w:val="auto"/>
        </w:rPr>
      </w:pPr>
    </w:p>
    <w:p>
      <w:pPr>
        <w:ind w:left="2020" w:right="81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47" w:lineRule="exact"/>
        <w:rPr>
          <w:rFonts w:ascii="Times New Roman" w:cs="Times New Roman" w:eastAsia="Times New Roman" w:hAnsi="Times New Roman"/>
          <w:sz w:val="14"/>
          <w:szCs w:val="14"/>
          <w:color w:val="auto"/>
        </w:rPr>
      </w:pPr>
    </w:p>
    <w:p>
      <w:pPr>
        <w:ind w:left="2020" w:right="23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47" w:lineRule="exact"/>
        <w:rPr>
          <w:rFonts w:ascii="Times New Roman" w:cs="Times New Roman" w:eastAsia="Times New Roman" w:hAnsi="Times New Roman"/>
          <w:sz w:val="14"/>
          <w:szCs w:val="14"/>
          <w:color w:val="auto"/>
        </w:rPr>
      </w:pPr>
    </w:p>
    <w:p>
      <w:pPr>
        <w:ind w:left="2020" w:right="239" w:hanging="339"/>
        <w:spacing w:after="0" w:line="287"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in which the debt securities are denominated, the manner in which the exchange rate with respect to these payments will be determined;</w:t>
      </w:r>
    </w:p>
    <w:p>
      <w:pPr>
        <w:spacing w:after="0" w:line="228" w:lineRule="exact"/>
        <w:rPr>
          <w:rFonts w:ascii="Times New Roman" w:cs="Times New Roman" w:eastAsia="Times New Roman" w:hAnsi="Times New Roman"/>
          <w:sz w:val="14"/>
          <w:szCs w:val="14"/>
          <w:color w:val="auto"/>
        </w:rPr>
      </w:pPr>
    </w:p>
    <w:p>
      <w:pPr>
        <w:jc w:val="both"/>
        <w:ind w:left="2020" w:right="179" w:hanging="339"/>
        <w:spacing w:after="0" w:line="275"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0"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108" w:lineRule="exact"/>
        <w:rPr>
          <w:rFonts w:ascii="Times New Roman" w:cs="Times New Roman" w:eastAsia="Times New Roman" w:hAnsi="Times New Roman"/>
          <w:sz w:val="14"/>
          <w:szCs w:val="14"/>
          <w:color w:val="auto"/>
        </w:rPr>
      </w:pPr>
    </w:p>
    <w:p>
      <w:pPr>
        <w:ind w:left="2020" w:right="23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108" w:lineRule="exact"/>
        <w:rPr>
          <w:rFonts w:ascii="Times New Roman" w:cs="Times New Roman" w:eastAsia="Times New Roman" w:hAnsi="Times New Roman"/>
          <w:sz w:val="14"/>
          <w:szCs w:val="14"/>
          <w:color w:val="auto"/>
        </w:rPr>
      </w:pPr>
    </w:p>
    <w:p>
      <w:pPr>
        <w:ind w:left="2020" w:right="259" w:hanging="339"/>
        <w:spacing w:after="0" w:line="275"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0" w:lineRule="exact"/>
        <w:rPr>
          <w:rFonts w:ascii="Times New Roman" w:cs="Times New Roman" w:eastAsia="Times New Roman" w:hAnsi="Times New Roman"/>
          <w:sz w:val="14"/>
          <w:szCs w:val="14"/>
          <w:color w:val="auto"/>
        </w:rPr>
      </w:pPr>
    </w:p>
    <w:p>
      <w:pPr>
        <w:ind w:left="2020" w:right="319" w:hanging="339"/>
        <w:spacing w:after="0" w:line="275"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0" w:lineRule="exact"/>
        <w:rPr>
          <w:rFonts w:ascii="Times New Roman" w:cs="Times New Roman" w:eastAsia="Times New Roman" w:hAnsi="Times New Roman"/>
          <w:sz w:val="14"/>
          <w:szCs w:val="14"/>
          <w:color w:val="auto"/>
        </w:rPr>
      </w:pPr>
    </w:p>
    <w:p>
      <w:pPr>
        <w:ind w:left="2020" w:right="31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92"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We may issue discount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36" w:lineRule="exact"/>
        <w:rPr>
          <w:sz w:val="20"/>
          <w:szCs w:val="20"/>
          <w:color w:val="auto"/>
        </w:rPr>
      </w:pPr>
    </w:p>
    <w:p>
      <w:pPr>
        <w:ind w:left="1260" w:right="139" w:firstLine="351"/>
        <w:spacing w:after="0" w:line="269"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9" w:lineRule="exact"/>
        <w:rPr>
          <w:sz w:val="20"/>
          <w:szCs w:val="20"/>
          <w:color w:val="auto"/>
        </w:rPr>
      </w:pPr>
    </w:p>
    <w:p>
      <w:pPr>
        <w:ind w:left="1260" w:right="259" w:firstLine="351"/>
        <w:spacing w:after="0" w:line="266"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subheading “Global Debt Securities and Book-Entry System” below, book-entry debt securities will not be issuable in certificated form.</w:t>
      </w:r>
    </w:p>
    <w:p>
      <w:pPr>
        <w:spacing w:after="0" w:line="140" w:lineRule="exact"/>
        <w:rPr>
          <w:sz w:val="20"/>
          <w:szCs w:val="20"/>
          <w:color w:val="auto"/>
        </w:rPr>
      </w:pPr>
    </w:p>
    <w:p>
      <w:pPr>
        <w:ind w:left="1260" w:right="19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Certificated Debt Securities</w:t>
      </w:r>
      <w:r>
        <w:rPr>
          <w:rFonts w:ascii="Times New Roman" w:cs="Times New Roman" w:eastAsia="Times New Roman" w:hAnsi="Times New Roman"/>
          <w:sz w:val="14"/>
          <w:szCs w:val="14"/>
          <w:color w:val="auto"/>
        </w:rPr>
        <w:t>. You may transfer or exchange certificated debt securities at any office we maintain for this purpose in accordance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36" w:lineRule="exact"/>
        <w:rPr>
          <w:sz w:val="20"/>
          <w:szCs w:val="20"/>
          <w:color w:val="auto"/>
        </w:rPr>
      </w:pPr>
    </w:p>
    <w:p>
      <w:pPr>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34" w:lineRule="exact"/>
        <w:rPr>
          <w:sz w:val="20"/>
          <w:szCs w:val="20"/>
          <w:color w:val="auto"/>
        </w:rPr>
      </w:pPr>
    </w:p>
    <w:p>
      <w:pPr>
        <w:ind w:left="1260" w:right="379" w:firstLine="351"/>
        <w:spacing w:after="0" w:line="297" w:lineRule="auto"/>
        <w:rPr>
          <w:sz w:val="20"/>
          <w:szCs w:val="20"/>
          <w:color w:val="auto"/>
        </w:rPr>
      </w:pPr>
      <w:r>
        <w:rPr>
          <w:rFonts w:ascii="Times New Roman" w:cs="Times New Roman" w:eastAsia="Times New Roman" w:hAnsi="Times New Roman"/>
          <w:sz w:val="14"/>
          <w:szCs w:val="14"/>
          <w:i w:val="1"/>
          <w:iCs w:val="1"/>
          <w:color w:val="auto"/>
        </w:rPr>
        <w:t>Global Debt Securities and Book-Entry System</w:t>
      </w:r>
      <w:r>
        <w:rPr>
          <w:rFonts w:ascii="Times New Roman" w:cs="Times New Roman" w:eastAsia="Times New Roman" w:hAnsi="Times New Roman"/>
          <w:sz w:val="14"/>
          <w:szCs w:val="14"/>
          <w:color w:val="auto"/>
        </w:rPr>
        <w:t>. Each global debt security representing book-entry debt securities will be deposited with, or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behalf of, the Depositary, and registered in the name of the Depositary or a nominee of the Depositary. Please see “Global Securities” below.</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9" w:lineRule="exact"/>
        <w:rPr>
          <w:sz w:val="20"/>
          <w:szCs w:val="20"/>
          <w:color w:val="auto"/>
        </w:rPr>
      </w:pPr>
    </w:p>
    <w:p>
      <w:pPr>
        <w:jc w:val="both"/>
        <w:ind w:left="1260" w:right="239" w:firstLine="351"/>
        <w:spacing w:after="0" w:line="275"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9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9" w:lineRule="exact"/>
        <w:rPr>
          <w:sz w:val="20"/>
          <w:szCs w:val="20"/>
          <w:color w:val="auto"/>
        </w:rPr>
      </w:pPr>
    </w:p>
    <w:p>
      <w:pPr>
        <w:ind w:left="1260" w:right="379" w:firstLine="351"/>
        <w:spacing w:after="0" w:line="294"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assets to any person (a “successor person”) unless:</w:t>
      </w:r>
    </w:p>
    <w:p>
      <w:pPr>
        <w:spacing w:after="0" w:line="47" w:lineRule="exact"/>
        <w:rPr>
          <w:sz w:val="20"/>
          <w:szCs w:val="20"/>
          <w:color w:val="auto"/>
        </w:rPr>
      </w:pPr>
    </w:p>
    <w:p>
      <w:pPr>
        <w:ind w:left="2020" w:right="139" w:hanging="339"/>
        <w:spacing w:after="0" w:line="275" w:lineRule="auto"/>
        <w:tabs>
          <w:tab w:leader="none" w:pos="2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entity or the successor person (if other than LSB) is a corporation, partnership, trust or other entity organized and validly existing under the laws of any U.S. domestic jurisdiction and expressly assumes our obligations on the debt securities and under the indenture; and</w:t>
      </w:r>
    </w:p>
    <w:p>
      <w:pPr>
        <w:spacing w:after="0" w:line="60"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108" w:lineRule="exact"/>
        <w:rPr>
          <w:sz w:val="20"/>
          <w:szCs w:val="20"/>
          <w:color w:val="auto"/>
        </w:rPr>
      </w:pPr>
    </w:p>
    <w:p>
      <w:pPr>
        <w:ind w:left="2020" w:right="259" w:hanging="339"/>
        <w:spacing w:after="0" w:line="275" w:lineRule="auto"/>
        <w:tabs>
          <w:tab w:leader="none" w:pos="2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0"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108" w:lineRule="exact"/>
        <w:rPr>
          <w:rFonts w:ascii="Times New Roman" w:cs="Times New Roman" w:eastAsia="Times New Roman" w:hAnsi="Times New Roman"/>
          <w:sz w:val="14"/>
          <w:szCs w:val="14"/>
          <w:color w:val="auto"/>
        </w:rPr>
      </w:pPr>
    </w:p>
    <w:p>
      <w:pPr>
        <w:ind w:left="2020" w:right="299" w:hanging="339"/>
        <w:spacing w:after="0" w:line="266" w:lineRule="auto"/>
        <w:tabs>
          <w:tab w:leader="none" w:pos="2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receive (with concurrent notice to the trustee) written notice of such default from the holders of not less than 25% in principal amount of the outstanding debt securities of that series as provided in the indenture;</w:t>
      </w:r>
    </w:p>
    <w:p>
      <w:pPr>
        <w:spacing w:after="0" w:line="66"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LSB; and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w:t>
      </w:r>
    </w:p>
    <w:p>
      <w:pPr>
        <w:spacing w:after="0" w:line="184" w:lineRule="exact"/>
        <w:rPr>
          <w:sz w:val="20"/>
          <w:szCs w:val="20"/>
          <w:color w:val="auto"/>
        </w:rPr>
      </w:pPr>
    </w:p>
    <w:p>
      <w:pPr>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36" w:lineRule="exact"/>
        <w:rPr>
          <w:sz w:val="20"/>
          <w:szCs w:val="20"/>
          <w:color w:val="auto"/>
        </w:rPr>
      </w:pPr>
    </w:p>
    <w:p>
      <w:pPr>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36" w:lineRule="exact"/>
        <w:rPr>
          <w:sz w:val="20"/>
          <w:szCs w:val="20"/>
          <w:color w:val="auto"/>
        </w:rPr>
      </w:pPr>
    </w:p>
    <w:p>
      <w:pPr>
        <w:ind w:left="1260" w:right="119" w:firstLine="351"/>
        <w:spacing w:after="0" w:line="262"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92"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59"/>
        <w:spacing w:after="0" w:line="266" w:lineRule="auto"/>
        <w:rPr>
          <w:sz w:val="20"/>
          <w:szCs w:val="20"/>
          <w:color w:val="auto"/>
        </w:rPr>
      </w:pPr>
      <w:r>
        <w:rPr>
          <w:rFonts w:ascii="Times New Roman" w:cs="Times New Roman" w:eastAsia="Times New Roman" w:hAnsi="Times New Roman"/>
          <w:sz w:val="14"/>
          <w:szCs w:val="14"/>
          <w:color w:val="auto"/>
        </w:rPr>
        <w:t>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42" w:lineRule="exact"/>
        <w:rPr>
          <w:sz w:val="20"/>
          <w:szCs w:val="20"/>
          <w:color w:val="auto"/>
        </w:rPr>
      </w:pPr>
    </w:p>
    <w:p>
      <w:pPr>
        <w:ind w:left="1260" w:right="239" w:firstLine="351"/>
        <w:spacing w:after="0" w:line="266"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2" w:lineRule="exact"/>
        <w:rPr>
          <w:sz w:val="20"/>
          <w:szCs w:val="20"/>
          <w:color w:val="auto"/>
        </w:rPr>
      </w:pPr>
    </w:p>
    <w:p>
      <w:pPr>
        <w:ind w:left="1260" w:right="259" w:firstLine="351"/>
        <w:spacing w:after="0" w:line="294"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47" w:lineRule="exact"/>
        <w:rPr>
          <w:sz w:val="20"/>
          <w:szCs w:val="20"/>
          <w:color w:val="auto"/>
        </w:rPr>
      </w:pPr>
    </w:p>
    <w:p>
      <w:pPr>
        <w:ind w:left="2020" w:hanging="339"/>
        <w:spacing w:after="0"/>
        <w:tabs>
          <w:tab w:leader="none" w:pos="2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w:t>
      </w:r>
    </w:p>
    <w:p>
      <w:pPr>
        <w:spacing w:after="0" w:line="108" w:lineRule="exact"/>
        <w:rPr>
          <w:rFonts w:ascii="Times New Roman" w:cs="Times New Roman" w:eastAsia="Times New Roman" w:hAnsi="Times New Roman"/>
          <w:sz w:val="14"/>
          <w:szCs w:val="14"/>
          <w:color w:val="auto"/>
        </w:rPr>
      </w:pPr>
    </w:p>
    <w:p>
      <w:pPr>
        <w:ind w:left="2020" w:right="519" w:hanging="339"/>
        <w:spacing w:after="0" w:line="294" w:lineRule="auto"/>
        <w:tabs>
          <w:tab w:leader="none" w:pos="2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to the trustee to institute proceedings in respect of such Event of Default;</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indemnity or security, satisfactory to the trustee, to the trustee to institute the proceeding as trustee;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failed to institute the proceeding within 60 days of such notice, request or offer; and</w:t>
      </w:r>
    </w:p>
    <w:p>
      <w:pPr>
        <w:spacing w:after="0" w:line="108" w:lineRule="exact"/>
        <w:rPr>
          <w:rFonts w:ascii="Times New Roman" w:cs="Times New Roman" w:eastAsia="Times New Roman" w:hAnsi="Times New Roman"/>
          <w:sz w:val="14"/>
          <w:szCs w:val="14"/>
          <w:color w:val="auto"/>
        </w:rPr>
      </w:pPr>
    </w:p>
    <w:p>
      <w:pPr>
        <w:ind w:left="2020" w:right="239" w:hanging="339"/>
        <w:spacing w:after="0" w:line="294" w:lineRule="auto"/>
        <w:tabs>
          <w:tab w:leader="none" w:pos="2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such 60-day period, the trustee has not received from the holders of not less than a majority in principal amount of the outstanding debt securities of that series a direction inconsistent with that request.</w:t>
      </w:r>
    </w:p>
    <w:p>
      <w:pPr>
        <w:spacing w:after="0" w:line="123" w:lineRule="exact"/>
        <w:rPr>
          <w:sz w:val="20"/>
          <w:szCs w:val="20"/>
          <w:color w:val="auto"/>
        </w:rPr>
      </w:pPr>
    </w:p>
    <w:p>
      <w:pPr>
        <w:ind w:left="1260" w:right="279" w:firstLine="351"/>
        <w:spacing w:after="0" w:line="275"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36" w:lineRule="exact"/>
        <w:rPr>
          <w:sz w:val="20"/>
          <w:szCs w:val="20"/>
          <w:color w:val="auto"/>
        </w:rPr>
      </w:pPr>
    </w:p>
    <w:p>
      <w:pPr>
        <w:ind w:left="1260" w:right="139" w:firstLine="351"/>
        <w:spacing w:after="0" w:line="263"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9" w:lineRule="exact"/>
        <w:rPr>
          <w:sz w:val="20"/>
          <w:szCs w:val="20"/>
          <w:color w:val="auto"/>
        </w:rPr>
      </w:pPr>
    </w:p>
    <w:p>
      <w:pPr>
        <w:ind w:left="1260" w:right="319" w:firstLine="351"/>
        <w:spacing w:after="0" w:line="294"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47" w:lineRule="exact"/>
        <w:rPr>
          <w:sz w:val="20"/>
          <w:szCs w:val="20"/>
          <w:color w:val="auto"/>
        </w:rPr>
      </w:pPr>
    </w:p>
    <w:p>
      <w:pPr>
        <w:ind w:left="2020" w:hanging="339"/>
        <w:spacing w:after="0"/>
        <w:tabs>
          <w:tab w:leader="none" w:pos="2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08" w:lineRule="exact"/>
        <w:rPr>
          <w:rFonts w:ascii="Times New Roman" w:cs="Times New Roman" w:eastAsia="Times New Roman" w:hAnsi="Times New Roman"/>
          <w:sz w:val="14"/>
          <w:szCs w:val="14"/>
          <w:color w:val="auto"/>
        </w:rPr>
      </w:pPr>
    </w:p>
    <w:p>
      <w:pPr>
        <w:jc w:val="center"/>
        <w:ind w:left="5580" w:right="1099" w:hanging="3899"/>
        <w:spacing w:after="0" w:line="470" w:lineRule="auto"/>
        <w:tabs>
          <w:tab w:leader="none" w:pos="203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 25</w:t>
      </w:r>
    </w:p>
    <w:p>
      <w:pPr>
        <w:sectPr>
          <w:pgSz w:w="11900" w:h="16838" w:orient="portrait"/>
          <w:cols w:equalWidth="0" w:num="1">
            <w:col w:w="10159"/>
          </w:cols>
          <w:pgMar w:left="300" w:top="39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9"/>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108" w:lineRule="exact"/>
        <w:rPr>
          <w:rFonts w:ascii="Times New Roman" w:cs="Times New Roman" w:eastAsia="Times New Roman" w:hAnsi="Times New Roman"/>
          <w:sz w:val="14"/>
          <w:szCs w:val="14"/>
          <w:color w:val="auto"/>
        </w:rPr>
      </w:pPr>
    </w:p>
    <w:p>
      <w:pPr>
        <w:ind w:left="2020" w:right="739" w:hanging="339"/>
        <w:spacing w:after="0" w:line="294" w:lineRule="auto"/>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184" w:lineRule="exact"/>
        <w:rPr>
          <w:sz w:val="20"/>
          <w:szCs w:val="20"/>
          <w:color w:val="auto"/>
        </w:rPr>
      </w:pPr>
    </w:p>
    <w:p>
      <w:pPr>
        <w:jc w:val="both"/>
        <w:ind w:left="1260" w:right="379" w:firstLine="351"/>
        <w:spacing w:after="0" w:line="275"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0" w:lineRule="exact"/>
        <w:rPr>
          <w:sz w:val="20"/>
          <w:szCs w:val="20"/>
          <w:color w:val="auto"/>
        </w:rPr>
      </w:pPr>
    </w:p>
    <w:p>
      <w:pPr>
        <w:ind w:left="2020" w:hanging="339"/>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108" w:lineRule="exact"/>
        <w:rPr>
          <w:rFonts w:ascii="Times New Roman" w:cs="Times New Roman" w:eastAsia="Times New Roman" w:hAnsi="Times New Roman"/>
          <w:sz w:val="14"/>
          <w:szCs w:val="14"/>
          <w:color w:val="auto"/>
        </w:rPr>
      </w:pPr>
    </w:p>
    <w:p>
      <w:pPr>
        <w:ind w:left="2020" w:right="139" w:hanging="339"/>
        <w:spacing w:after="0" w:line="294" w:lineRule="auto"/>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08" w:lineRule="exact"/>
        <w:rPr>
          <w:rFonts w:ascii="Times New Roman" w:cs="Times New Roman" w:eastAsia="Times New Roman" w:hAnsi="Times New Roman"/>
          <w:sz w:val="14"/>
          <w:szCs w:val="14"/>
          <w:color w:val="auto"/>
        </w:rPr>
      </w:pPr>
    </w:p>
    <w:p>
      <w:pPr>
        <w:ind w:left="2020" w:right="199" w:hanging="339"/>
        <w:spacing w:after="0" w:line="275" w:lineRule="auto"/>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0"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108" w:lineRule="exact"/>
        <w:rPr>
          <w:rFonts w:ascii="Times New Roman" w:cs="Times New Roman" w:eastAsia="Times New Roman" w:hAnsi="Times New Roman"/>
          <w:sz w:val="14"/>
          <w:szCs w:val="14"/>
          <w:color w:val="auto"/>
        </w:rPr>
      </w:pPr>
    </w:p>
    <w:p>
      <w:pPr>
        <w:ind w:left="2020" w:right="139" w:hanging="339"/>
        <w:spacing w:after="0" w:line="275" w:lineRule="auto"/>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0"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84" w:lineRule="exact"/>
        <w:rPr>
          <w:sz w:val="20"/>
          <w:szCs w:val="20"/>
          <w:color w:val="auto"/>
        </w:rPr>
      </w:pPr>
    </w:p>
    <w:p>
      <w:pPr>
        <w:ind w:left="1260" w:right="179" w:firstLine="351"/>
        <w:spacing w:after="0" w:line="266" w:lineRule="auto"/>
        <w:rPr>
          <w:sz w:val="20"/>
          <w:szCs w:val="20"/>
          <w:color w:val="auto"/>
        </w:rPr>
      </w:pPr>
      <w:r>
        <w:rPr>
          <w:rFonts w:ascii="Times New Roman" w:cs="Times New Roman" w:eastAsia="Times New Roman" w:hAnsi="Times New Roman"/>
          <w:sz w:val="14"/>
          <w:szCs w:val="14"/>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holders of a majority</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92"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399"/>
        <w:spacing w:after="0" w:line="294" w:lineRule="auto"/>
        <w:rPr>
          <w:sz w:val="20"/>
          <w:szCs w:val="20"/>
          <w:color w:val="auto"/>
        </w:rPr>
      </w:pPr>
      <w:r>
        <w:rPr>
          <w:rFonts w:ascii="Times New Roman" w:cs="Times New Roman" w:eastAsia="Times New Roman" w:hAnsi="Times New Roman"/>
          <w:sz w:val="14"/>
          <w:szCs w:val="14"/>
          <w:color w:val="auto"/>
        </w:rPr>
        <w:t>in principal amount of the outstanding debt securities of any series may rescind an acceleration and its consequences, including any related payment default that resulted from the acceleration.</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97" w:lineRule="exact"/>
        <w:rPr>
          <w:sz w:val="20"/>
          <w:szCs w:val="20"/>
          <w:color w:val="auto"/>
        </w:rPr>
      </w:pPr>
    </w:p>
    <w:p>
      <w:pPr>
        <w:ind w:left="1260" w:right="259" w:firstLine="351"/>
        <w:spacing w:after="0" w:line="263"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 applicable series of debt securities, we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discharged from any and all obligations in respect of the debt securities of any series (subject to certain exceptions). We will be so discharged upon the irrevocable deposit with the trustee, in trust, of money and/or U.S. government obligations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6" w:lineRule="exact"/>
        <w:rPr>
          <w:sz w:val="20"/>
          <w:szCs w:val="20"/>
          <w:color w:val="auto"/>
        </w:rPr>
      </w:pPr>
    </w:p>
    <w:p>
      <w:pPr>
        <w:ind w:left="1260" w:right="179" w:firstLine="351"/>
        <w:spacing w:after="0" w:line="264"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42" w:lineRule="exact"/>
        <w:rPr>
          <w:sz w:val="20"/>
          <w:szCs w:val="20"/>
          <w:color w:val="auto"/>
        </w:rPr>
      </w:pPr>
    </w:p>
    <w:p>
      <w:pPr>
        <w:ind w:left="1260" w:right="239" w:firstLine="351"/>
        <w:spacing w:after="0" w:line="297"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 terms of the applicable series of debt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compliance with certain conditions:</w:t>
      </w:r>
    </w:p>
    <w:p>
      <w:pPr>
        <w:spacing w:after="0" w:line="45" w:lineRule="exact"/>
        <w:rPr>
          <w:sz w:val="20"/>
          <w:szCs w:val="20"/>
          <w:color w:val="auto"/>
        </w:rPr>
      </w:pPr>
    </w:p>
    <w:p>
      <w:pPr>
        <w:ind w:left="2020" w:right="199" w:hanging="339"/>
        <w:spacing w:after="0" w:line="294" w:lineRule="auto"/>
        <w:tabs>
          <w:tab w:leader="none" w:pos="2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47" w:lineRule="exact"/>
        <w:rPr>
          <w:rFonts w:ascii="Times New Roman" w:cs="Times New Roman" w:eastAsia="Times New Roman" w:hAnsi="Times New Roman"/>
          <w:sz w:val="14"/>
          <w:szCs w:val="14"/>
          <w:color w:val="auto"/>
        </w:rPr>
      </w:pPr>
    </w:p>
    <w:p>
      <w:pPr>
        <w:ind w:left="2020" w:right="199" w:hanging="339"/>
        <w:spacing w:after="0" w:line="294" w:lineRule="auto"/>
        <w:tabs>
          <w:tab w:leader="none" w:pos="2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1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These conditions include:</w:t>
      </w:r>
    </w:p>
    <w:p>
      <w:pPr>
        <w:spacing w:after="0" w:line="108" w:lineRule="exact"/>
        <w:rPr>
          <w:sz w:val="20"/>
          <w:szCs w:val="20"/>
          <w:color w:val="auto"/>
        </w:rPr>
      </w:pPr>
    </w:p>
    <w:p>
      <w:pPr>
        <w:ind w:left="2020" w:right="179" w:hanging="339"/>
        <w:spacing w:after="0" w:line="266" w:lineRule="auto"/>
        <w:tabs>
          <w:tab w:leader="none" w:pos="2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66" w:lineRule="exact"/>
        <w:rPr>
          <w:rFonts w:ascii="Times New Roman" w:cs="Times New Roman" w:eastAsia="Times New Roman" w:hAnsi="Times New Roman"/>
          <w:sz w:val="14"/>
          <w:szCs w:val="14"/>
          <w:color w:val="auto"/>
        </w:rPr>
      </w:pPr>
    </w:p>
    <w:p>
      <w:pPr>
        <w:ind w:left="2020" w:right="299" w:hanging="339"/>
        <w:spacing w:after="0" w:line="269" w:lineRule="auto"/>
        <w:tabs>
          <w:tab w:leader="none" w:pos="2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Securityholders</w:t>
      </w:r>
    </w:p>
    <w:p>
      <w:pPr>
        <w:spacing w:after="0" w:line="99" w:lineRule="exact"/>
        <w:rPr>
          <w:sz w:val="20"/>
          <w:szCs w:val="20"/>
          <w:color w:val="auto"/>
        </w:rPr>
      </w:pPr>
    </w:p>
    <w:p>
      <w:pPr>
        <w:ind w:left="1260" w:right="219" w:firstLine="351"/>
        <w:spacing w:after="0" w:line="275"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92"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79"/>
        <w:spacing w:after="0" w:line="294" w:lineRule="auto"/>
        <w:rPr>
          <w:sz w:val="20"/>
          <w:szCs w:val="20"/>
          <w:color w:val="auto"/>
        </w:rPr>
      </w:pPr>
      <w:r>
        <w:rPr>
          <w:rFonts w:ascii="Times New Roman" w:cs="Times New Roman" w:eastAsia="Times New Roman" w:hAnsi="Times New Roman"/>
          <w:sz w:val="14"/>
          <w:szCs w:val="14"/>
          <w:color w:val="auto"/>
        </w:rPr>
        <w:t>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7" w:lineRule="exact"/>
        <w:rPr>
          <w:sz w:val="20"/>
          <w:szCs w:val="20"/>
          <w:color w:val="auto"/>
        </w:rPr>
      </w:pPr>
    </w:p>
    <w:p>
      <w:pPr>
        <w:ind w:left="1260" w:right="19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Book-Entry, Delivery and Form</w:t>
      </w:r>
      <w:r>
        <w:rPr>
          <w:rFonts w:ascii="Times New Roman" w:cs="Times New Roman" w:eastAsia="Times New Roman" w:hAnsi="Times New Roman"/>
          <w:sz w:val="14"/>
          <w:szCs w:val="14"/>
          <w:color w:val="auto"/>
        </w:rPr>
        <w:t>. Unless we indicate otherwise in the applicable prospectus supplement, debt securities of each series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in the form of one or more global securities registered in the name of The Depository Trust Company, New York, New York (“DTC”), or its nominee, Cede &amp; Co. Unless and until exchanged for individual certificates under the limited circumstances described below, a global security may not be transferred except as a whole by DTC to its nominee, by the nominee to DTC, or by DTC or its nominee to a successor depositary or a nominee of a successor depositary.</w:t>
      </w:r>
    </w:p>
    <w:p>
      <w:pPr>
        <w:spacing w:after="0" w:line="14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108" w:lineRule="exact"/>
        <w:rPr>
          <w:sz w:val="20"/>
          <w:szCs w:val="20"/>
          <w:color w:val="auto"/>
        </w:rPr>
      </w:pPr>
    </w:p>
    <w:p>
      <w:pPr>
        <w:ind w:left="2020" w:hanging="339"/>
        <w:spacing w:after="0"/>
        <w:tabs>
          <w:tab w:leader="none" w:pos="2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84" w:lineRule="exact"/>
        <w:rPr>
          <w:sz w:val="20"/>
          <w:szCs w:val="20"/>
          <w:color w:val="auto"/>
        </w:rPr>
      </w:pPr>
    </w:p>
    <w:p>
      <w:pPr>
        <w:ind w:left="1260" w:right="139" w:firstLine="351"/>
        <w:spacing w:after="0" w:line="275"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and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w:t>
      </w:r>
    </w:p>
    <w:p>
      <w:pPr>
        <w:spacing w:after="0" w:line="136" w:lineRule="exact"/>
        <w:rPr>
          <w:sz w:val="20"/>
          <w:szCs w:val="20"/>
          <w:color w:val="auto"/>
        </w:rPr>
      </w:pPr>
    </w:p>
    <w:p>
      <w:pPr>
        <w:ind w:left="1260" w:right="199" w:firstLine="351"/>
        <w:spacing w:after="0" w:line="264" w:lineRule="auto"/>
        <w:rPr>
          <w:sz w:val="20"/>
          <w:szCs w:val="20"/>
          <w:color w:val="auto"/>
        </w:rPr>
      </w:pPr>
      <w:r>
        <w:rPr>
          <w:rFonts w:ascii="Times New Roman" w:cs="Times New Roman" w:eastAsia="Times New Roman" w:hAnsi="Times New Roman"/>
          <w:sz w:val="14"/>
          <w:szCs w:val="14"/>
          <w:color w:val="auto"/>
        </w:rPr>
        <w:t>Beneficial interests in global securities will be shown on, and transfers thereof will be effected only through, records maintained by DTC and its direct and indirect participants. Except in the limited circumstances described below, beneficial owners of global securities will not be entitled to have debt securities registered in their names, will not receive physical delivery of certificates, and will not be considered holders of debt securities under the indenture. Accordingly, each beneficial owner must rely on the procedures of DTC and its participants to exercise any rights under the debt securities and the indenture. The laws of some jurisdictions may require that some purchasers of securities take physical delivery of securities in definitive form. Those laws may impair the ability to transfer or pledge beneficial interests in securities.</w:t>
      </w:r>
    </w:p>
    <w:p>
      <w:pPr>
        <w:spacing w:after="0" w:line="144" w:lineRule="exact"/>
        <w:rPr>
          <w:sz w:val="20"/>
          <w:szCs w:val="20"/>
          <w:color w:val="auto"/>
        </w:rPr>
      </w:pPr>
    </w:p>
    <w:p>
      <w:pPr>
        <w:ind w:left="1260" w:right="179" w:firstLine="351"/>
        <w:spacing w:after="0" w:line="266" w:lineRule="auto"/>
        <w:rPr>
          <w:sz w:val="20"/>
          <w:szCs w:val="20"/>
          <w:color w:val="auto"/>
        </w:rPr>
      </w:pPr>
      <w:r>
        <w:rPr>
          <w:rFonts w:ascii="Times New Roman" w:cs="Times New Roman" w:eastAsia="Times New Roman" w:hAnsi="Times New Roman"/>
          <w:sz w:val="14"/>
          <w:szCs w:val="14"/>
          <w:color w:val="auto"/>
        </w:rPr>
        <w:t>So long as DTC or its nominee is the registered holder of a global security, payments of principal of, premium, if any, and interest on the global securities will be made to DTC by wire transfer of immediately available funds. DTC’s practice is to credit direct participants’ accounts on the applicable payment date in accordance with their respective holdings as shown on DTC’s records. Payments by participants to beneficial owners will be governed by standing instructions and customary practices, as is the case with securities held in “street name,” and will be the responsibility of those participants and not of DTC, the trustee, or us.</w:t>
      </w:r>
    </w:p>
    <w:p>
      <w:pPr>
        <w:spacing w:after="0" w:line="142" w:lineRule="exact"/>
        <w:rPr>
          <w:sz w:val="20"/>
          <w:szCs w:val="20"/>
          <w:color w:val="auto"/>
        </w:rPr>
      </w:pPr>
    </w:p>
    <w:p>
      <w:pPr>
        <w:ind w:left="1260" w:right="319" w:firstLine="351"/>
        <w:spacing w:after="0" w:line="275"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applicable record date. The omnibus proxy assigns the consenting or voting rights of Cede &amp; Co. to those direct participants to whose accounts the securities of such series are credited on the record date.</w:t>
      </w:r>
    </w:p>
    <w:p>
      <w:pPr>
        <w:spacing w:after="0" w:line="136" w:lineRule="exact"/>
        <w:rPr>
          <w:sz w:val="20"/>
          <w:szCs w:val="20"/>
          <w:color w:val="auto"/>
        </w:rPr>
      </w:pPr>
    </w:p>
    <w:p>
      <w:pPr>
        <w:ind w:left="1260" w:right="139" w:firstLine="351"/>
        <w:spacing w:after="0" w:line="294" w:lineRule="auto"/>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47" w:lineRule="exact"/>
        <w:rPr>
          <w:sz w:val="20"/>
          <w:szCs w:val="20"/>
          <w:color w:val="auto"/>
        </w:rPr>
      </w:pPr>
    </w:p>
    <w:p>
      <w:pPr>
        <w:ind w:left="2020" w:right="399" w:hanging="339"/>
        <w:spacing w:after="0" w:line="294" w:lineRule="auto"/>
        <w:tabs>
          <w:tab w:leader="none" w:pos="2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92"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40" w:right="419"/>
        <w:spacing w:after="0" w:line="294" w:lineRule="auto"/>
        <w:rPr>
          <w:sz w:val="20"/>
          <w:szCs w:val="20"/>
          <w:color w:val="auto"/>
        </w:rPr>
      </w:pPr>
      <w:r>
        <w:rPr>
          <w:rFonts w:ascii="Times New Roman" w:cs="Times New Roman" w:eastAsia="Times New Roman" w:hAnsi="Times New Roman"/>
          <w:sz w:val="14"/>
          <w:szCs w:val="14"/>
          <w:color w:val="auto"/>
        </w:rPr>
        <w:t>under the Exchange Act at a time when it is required to be registered and a successor depositary is not appointed within 90 days of the notification to us or of our becoming aware of DTC’s ceasing to be so registered, as the case may be; or</w:t>
      </w:r>
    </w:p>
    <w:p>
      <w:pPr>
        <w:spacing w:after="0" w:line="47" w:lineRule="exact"/>
        <w:rPr>
          <w:sz w:val="20"/>
          <w:szCs w:val="20"/>
          <w:color w:val="auto"/>
        </w:rPr>
      </w:pPr>
    </w:p>
    <w:p>
      <w:pPr>
        <w:ind w:left="2020" w:hanging="339"/>
        <w:spacing w:after="0"/>
        <w:tabs>
          <w:tab w:leader="none" w:pos="2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w:t>
      </w:r>
    </w:p>
    <w:p>
      <w:pPr>
        <w:spacing w:after="0" w:line="184" w:lineRule="exact"/>
        <w:rPr>
          <w:sz w:val="20"/>
          <w:szCs w:val="20"/>
          <w:color w:val="auto"/>
        </w:rPr>
      </w:pPr>
    </w:p>
    <w:p>
      <w:pPr>
        <w:ind w:left="1260" w:right="199"/>
        <w:spacing w:after="0" w:line="275"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based upon directions received by the depositary from its participants.</w:t>
      </w:r>
    </w:p>
    <w:p>
      <w:pPr>
        <w:spacing w:after="0" w:line="134" w:lineRule="exact"/>
        <w:rPr>
          <w:sz w:val="20"/>
          <w:szCs w:val="20"/>
          <w:color w:val="auto"/>
        </w:rPr>
      </w:pPr>
    </w:p>
    <w:p>
      <w:pPr>
        <w:ind w:left="1260" w:right="219" w:firstLine="351"/>
        <w:spacing w:after="0" w:line="270" w:lineRule="auto"/>
        <w:rPr>
          <w:sz w:val="20"/>
          <w:szCs w:val="20"/>
          <w:color w:val="auto"/>
        </w:rPr>
      </w:pPr>
      <w:r>
        <w:rPr>
          <w:rFonts w:ascii="Times New Roman" w:cs="Times New Roman" w:eastAsia="Times New Roman" w:hAnsi="Times New Roman"/>
          <w:sz w:val="14"/>
          <w:szCs w:val="14"/>
          <w:i w:val="1"/>
          <w:iCs w:val="1"/>
          <w:color w:val="auto"/>
        </w:rPr>
        <w:t>Euroclear and Clearstream</w:t>
      </w:r>
      <w:r>
        <w:rPr>
          <w:rFonts w:ascii="Times New Roman" w:cs="Times New Roman" w:eastAsia="Times New Roman" w:hAnsi="Times New Roman"/>
          <w:sz w:val="14"/>
          <w:szCs w:val="14"/>
          <w:color w:val="auto"/>
        </w:rPr>
        <w:t>. If so provided in the applicable prospectus supplement, you may hold interests in a global security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Clearstream Banking S.A. (“Clearstream”) or Euroclear Bank S.A./N.V., as operator of the Euroclear System (“Euroclear”), each of which will hold such interests through its U.S. depositary on the books of DTC. The applicable prospectus supplement will describe the specific procedures for holding interests through, and effecting transfers and receiving payments within, those systems.</w:t>
      </w:r>
    </w:p>
    <w:p>
      <w:pPr>
        <w:spacing w:after="0" w:line="137" w:lineRule="exact"/>
        <w:rPr>
          <w:sz w:val="20"/>
          <w:szCs w:val="20"/>
          <w:color w:val="auto"/>
        </w:rPr>
      </w:pPr>
    </w:p>
    <w:p>
      <w:pPr>
        <w:ind w:left="1260" w:right="21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Other</w:t>
      </w:r>
      <w:r>
        <w:rPr>
          <w:rFonts w:ascii="Times New Roman" w:cs="Times New Roman" w:eastAsia="Times New Roman" w:hAnsi="Times New Roman"/>
          <w:sz w:val="14"/>
          <w:szCs w:val="14"/>
          <w:color w:val="auto"/>
        </w:rPr>
        <w:t>. The information in this section of this prospectus concerning DTC, Clearstream, Euroclear and their respective book-entry systems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9" w:lineRule="exact"/>
        <w:rPr>
          <w:sz w:val="20"/>
          <w:szCs w:val="20"/>
          <w:color w:val="auto"/>
        </w:rPr>
      </w:pPr>
    </w:p>
    <w:p>
      <w:pPr>
        <w:ind w:left="1260" w:right="579" w:firstLine="351"/>
        <w:spacing w:after="0" w:line="294"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123" w:lineRule="exact"/>
        <w:rPr>
          <w:sz w:val="20"/>
          <w:szCs w:val="20"/>
          <w:color w:val="auto"/>
        </w:rPr>
      </w:pPr>
    </w:p>
    <w:p>
      <w:pPr>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36"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92"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6" w:lineRule="exact"/>
        <w:rPr>
          <w:sz w:val="20"/>
          <w:szCs w:val="20"/>
          <w:color w:val="auto"/>
        </w:rPr>
      </w:pPr>
    </w:p>
    <w:p>
      <w:pPr>
        <w:ind w:left="1260" w:right="239" w:firstLine="351"/>
        <w:spacing w:after="0" w:line="294" w:lineRule="auto"/>
        <w:rPr>
          <w:sz w:val="20"/>
          <w:szCs w:val="20"/>
          <w:color w:val="auto"/>
        </w:rPr>
      </w:pPr>
      <w:r>
        <w:rPr>
          <w:rFonts w:ascii="Times New Roman" w:cs="Times New Roman" w:eastAsia="Times New Roman" w:hAnsi="Times New Roman"/>
          <w:sz w:val="14"/>
          <w:szCs w:val="14"/>
          <w:color w:val="auto"/>
        </w:rPr>
        <w:t>Information about selling stockholders, when applicable, will be set forth in a prospectus supplement, in a post-effective amendment or in filings we make with the SEC under the Exchange Act that are incorporated by reference into this prospectus.</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92"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6" w:lineRule="exact"/>
        <w:rPr>
          <w:sz w:val="20"/>
          <w:szCs w:val="20"/>
          <w:color w:val="auto"/>
        </w:rPr>
      </w:pPr>
    </w:p>
    <w:p>
      <w:pPr>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Haynes and Boone, LLP, Dallas, Texas, will pass upon certain legal matters relating to the issuance and sale of the securities offered hereby. Additional legal matters may be passed upon for us, the selling stockholders or any underwriters, dealers or agents by counsel that we will name in the applicable prospectus supplement.</w:t>
      </w:r>
    </w:p>
    <w:p>
      <w:pPr>
        <w:spacing w:after="0" w:line="3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6" w:lineRule="exact"/>
        <w:rPr>
          <w:sz w:val="20"/>
          <w:szCs w:val="20"/>
          <w:color w:val="auto"/>
        </w:rPr>
      </w:pPr>
    </w:p>
    <w:p>
      <w:pPr>
        <w:ind w:left="1260" w:right="139" w:firstLine="351"/>
        <w:spacing w:after="0" w:line="266" w:lineRule="auto"/>
        <w:rPr>
          <w:sz w:val="20"/>
          <w:szCs w:val="20"/>
          <w:color w:val="auto"/>
        </w:rPr>
      </w:pPr>
      <w:r>
        <w:rPr>
          <w:rFonts w:ascii="Times New Roman" w:cs="Times New Roman" w:eastAsia="Times New Roman" w:hAnsi="Times New Roman"/>
          <w:sz w:val="14"/>
          <w:szCs w:val="14"/>
          <w:color w:val="auto"/>
        </w:rPr>
        <w:t>The consolidated financial statements of LSB Industries, Inc. incorporated by reference in the Company’s Annual Report (Form 10-K) for the year ended December 31, 2025, and the effectiveness of the Company’s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6" w:lineRule="exact"/>
        <w:rPr>
          <w:sz w:val="20"/>
          <w:szCs w:val="20"/>
          <w:color w:val="auto"/>
        </w:rPr>
      </w:pPr>
    </w:p>
    <w:p>
      <w:pPr>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 xml:space="preserve">We are subject to the informational requirements of the Exchange Act, and in accordance therewith file annual, quarterly and current reports, proxy statements and other information with the SEC. The SEC maintains an internet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periodic and current reports, proxy and information statements and other information regarding registrants that are filed electronically with the SEC.</w:t>
      </w:r>
    </w:p>
    <w:p>
      <w:pPr>
        <w:spacing w:after="0" w:line="134" w:lineRule="exact"/>
        <w:rPr>
          <w:sz w:val="20"/>
          <w:szCs w:val="20"/>
          <w:color w:val="auto"/>
        </w:rPr>
      </w:pPr>
    </w:p>
    <w:p>
      <w:pPr>
        <w:ind w:left="1260" w:right="299" w:firstLine="351"/>
        <w:spacing w:after="0" w:line="297" w:lineRule="auto"/>
        <w:rPr>
          <w:sz w:val="20"/>
          <w:szCs w:val="20"/>
          <w:color w:val="auto"/>
        </w:rPr>
      </w:pPr>
      <w:r>
        <w:rPr>
          <w:rFonts w:ascii="Times New Roman" w:cs="Times New Roman" w:eastAsia="Times New Roman" w:hAnsi="Times New Roman"/>
          <w:sz w:val="14"/>
          <w:szCs w:val="14"/>
          <w:color w:val="auto"/>
        </w:rPr>
        <w:t xml:space="preserve">These documents are also available, free of charge, through the Investors section of our website, which is located at </w:t>
      </w:r>
      <w:r>
        <w:rPr>
          <w:rFonts w:ascii="Times New Roman" w:cs="Times New Roman" w:eastAsia="Times New Roman" w:hAnsi="Times New Roman"/>
          <w:sz w:val="14"/>
          <w:szCs w:val="14"/>
          <w:i w:val="1"/>
          <w:iCs w:val="1"/>
          <w:color w:val="auto"/>
        </w:rPr>
        <w:t>www.lsbindustries.com</w:t>
      </w:r>
      <w:r>
        <w:rPr>
          <w:rFonts w:ascii="Times New Roman" w:cs="Times New Roman" w:eastAsia="Times New Roman" w:hAnsi="Times New Roman"/>
          <w:sz w:val="14"/>
          <w:szCs w:val="14"/>
          <w:color w:val="auto"/>
        </w:rPr>
        <w:t>. We have not incorporated by reference into this prospectus the information on our website, and you should not consider it to be a part of this prospectus.</w:t>
      </w:r>
    </w:p>
    <w:p>
      <w:pPr>
        <w:spacing w:after="0" w:line="120"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92"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86" w:lineRule="exact"/>
        <w:rPr>
          <w:sz w:val="20"/>
          <w:szCs w:val="20"/>
          <w:color w:val="auto"/>
        </w:rPr>
      </w:pPr>
    </w:p>
    <w:p>
      <w:pPr>
        <w:ind w:left="1260" w:right="219" w:firstLine="351"/>
        <w:spacing w:after="0" w:line="266"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provide in other documents that we file with the SEC. The information incorporated by reference is an important part of this prospectus and any prospectus supplement. Any statement contained in a document that is incorporated by reference into this prospectus is automatically updated and superseded if information contained in this prospectus and any prospectus supplement, or information that we later file with the SEC, modifies and replaces this information. We incorporate by reference the following documents that we have filed with the SEC (other than information “furnished” rather than “filed”):</w:t>
      </w:r>
    </w:p>
    <w:p>
      <w:pPr>
        <w:spacing w:after="0" w:line="66" w:lineRule="exact"/>
        <w:rPr>
          <w:sz w:val="20"/>
          <w:szCs w:val="20"/>
          <w:color w:val="auto"/>
        </w:rPr>
      </w:pPr>
    </w:p>
    <w:p>
      <w:pPr>
        <w:ind w:left="2020" w:hanging="339"/>
        <w:spacing w:after="0"/>
        <w:tabs>
          <w:tab w:leader="none" w:pos="2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26, 2026;</w:t>
      </w:r>
    </w:p>
    <w:p>
      <w:pPr>
        <w:spacing w:after="0" w:line="108" w:lineRule="exact"/>
        <w:rPr>
          <w:rFonts w:ascii="Times New Roman" w:cs="Times New Roman" w:eastAsia="Times New Roman" w:hAnsi="Times New Roman"/>
          <w:sz w:val="14"/>
          <w:szCs w:val="14"/>
          <w:color w:val="auto"/>
        </w:rPr>
      </w:pPr>
    </w:p>
    <w:p>
      <w:pPr>
        <w:ind w:left="2020" w:right="199" w:hanging="339"/>
        <w:spacing w:after="0" w:line="294" w:lineRule="auto"/>
        <w:tabs>
          <w:tab w:leader="none" w:pos="2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the Annual Report on Form 10-K for the fiscal year ended December 31, 2025 from our </w:t>
      </w:r>
      <w:hyperlink r:id="rId57">
        <w:r>
          <w:rPr>
            <w:rFonts w:ascii="Times New Roman" w:cs="Times New Roman" w:eastAsia="Times New Roman" w:hAnsi="Times New Roman"/>
            <w:sz w:val="14"/>
            <w:szCs w:val="14"/>
            <w:u w:val="single" w:color="auto"/>
            <w:color w:val="0000EE"/>
          </w:rPr>
          <w:t>Definitive Proxy Statement on Schedule 14A</w:t>
        </w:r>
      </w:hyperlink>
      <w:r>
        <w:rPr>
          <w:rFonts w:ascii="Times New Roman" w:cs="Times New Roman" w:eastAsia="Times New Roman" w:hAnsi="Times New Roman"/>
          <w:sz w:val="14"/>
          <w:szCs w:val="14"/>
          <w:color w:val="auto"/>
        </w:rPr>
        <w:t>, filed with the SEC on April 10, 2026;</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5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April 30, 2026;</w:t>
      </w:r>
    </w:p>
    <w:p>
      <w:pPr>
        <w:spacing w:after="0" w:line="108" w:lineRule="exact"/>
        <w:rPr>
          <w:rFonts w:ascii="Times New Roman" w:cs="Times New Roman" w:eastAsia="Times New Roman" w:hAnsi="Times New Roman"/>
          <w:sz w:val="14"/>
          <w:szCs w:val="14"/>
          <w:color w:val="auto"/>
        </w:rPr>
      </w:pPr>
    </w:p>
    <w:p>
      <w:pPr>
        <w:ind w:left="2020" w:right="359" w:hanging="339"/>
        <w:spacing w:after="0" w:line="294" w:lineRule="auto"/>
        <w:tabs>
          <w:tab w:leader="none" w:pos="2020" w:val="left"/>
        </w:tabs>
        <w:numPr>
          <w:ilvl w:val="0"/>
          <w:numId w:val="30"/>
        </w:numPr>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January 21,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9,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7,</w:t>
        </w:r>
      </w:hyperlink>
      <w:r>
        <w:rPr>
          <w:rFonts w:ascii="Times New Roman" w:cs="Times New Roman" w:eastAsia="Times New Roman" w:hAnsi="Times New Roman"/>
          <w:sz w:val="14"/>
          <w:szCs w:val="14"/>
          <w:color w:val="auto"/>
        </w:rPr>
        <w:t xml:space="preserve"> </w:t>
      </w:r>
      <w:hyperlink r:id="rId59">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60">
        <w:r>
          <w:rPr>
            <w:rFonts w:ascii="Times New Roman" w:cs="Times New Roman" w:eastAsia="Times New Roman" w:hAnsi="Times New Roman"/>
            <w:sz w:val="14"/>
            <w:szCs w:val="14"/>
            <w:u w:val="single" w:color="auto"/>
            <w:color w:val="0000EE"/>
          </w:rPr>
          <w:t>April 27, 2026</w:t>
        </w:r>
      </w:hyperlink>
      <w:hyperlink r:id="rId59">
        <w:r>
          <w:rPr>
            <w:rFonts w:ascii="Times New Roman" w:cs="Times New Roman" w:eastAsia="Times New Roman" w:hAnsi="Times New Roman"/>
            <w:sz w:val="14"/>
            <w:szCs w:val="14"/>
            <w:color w:val="000000"/>
          </w:rPr>
          <w:t>; and</w:t>
        </w:r>
      </w:hyperlink>
    </w:p>
    <w:p>
      <w:pPr>
        <w:spacing w:after="0" w:line="47" w:lineRule="exact"/>
        <w:rPr>
          <w:rFonts w:ascii="Times New Roman" w:cs="Times New Roman" w:eastAsia="Times New Roman" w:hAnsi="Times New Roman"/>
          <w:sz w:val="14"/>
          <w:szCs w:val="14"/>
          <w:color w:val="0000EE"/>
        </w:rPr>
      </w:pPr>
    </w:p>
    <w:p>
      <w:pPr>
        <w:ind w:left="2020" w:right="159" w:hanging="339"/>
        <w:spacing w:after="0" w:line="294" w:lineRule="auto"/>
        <w:tabs>
          <w:tab w:leader="none" w:pos="2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61">
        <w:r>
          <w:rPr>
            <w:rFonts w:ascii="Times New Roman" w:cs="Times New Roman" w:eastAsia="Times New Roman" w:hAnsi="Times New Roman"/>
            <w:sz w:val="14"/>
            <w:szCs w:val="14"/>
            <w:u w:val="single" w:color="auto"/>
            <w:color w:val="0000EE"/>
          </w:rPr>
          <w:t>Exhibit 4.17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filed with the SEC on February 24, 2022, including any amendments or reports that we may file in the future for the purpose of updating the description of our common stock.</w:t>
      </w:r>
    </w:p>
    <w:p>
      <w:pPr>
        <w:spacing w:after="0" w:line="123" w:lineRule="exact"/>
        <w:rPr>
          <w:rFonts w:ascii="Times New Roman" w:cs="Times New Roman" w:eastAsia="Times New Roman" w:hAnsi="Times New Roman"/>
          <w:sz w:val="14"/>
          <w:szCs w:val="14"/>
          <w:color w:val="0000EE"/>
        </w:rPr>
      </w:pPr>
    </w:p>
    <w:p>
      <w:pPr>
        <w:ind w:left="1260" w:right="139" w:firstLine="351"/>
        <w:spacing w:after="0" w:line="269" w:lineRule="auto"/>
        <w:rPr>
          <w:sz w:val="20"/>
          <w:szCs w:val="20"/>
          <w:color w:val="auto"/>
        </w:rPr>
      </w:pPr>
      <w:r>
        <w:rPr>
          <w:rFonts w:ascii="Times New Roman" w:cs="Times New Roman" w:eastAsia="Times New Roman" w:hAnsi="Times New Roman"/>
          <w:sz w:val="14"/>
          <w:szCs w:val="14"/>
          <w:color w:val="auto"/>
        </w:rPr>
        <w:t>An update to the description of our common stock is contained in Exhibit 4.4 to the registration statement of which this prospectus forms a part. In addition, all documents that we file with the SEC under Sections 13(a), 13(c), 14 or 15(d) of the Exchange Act (excluding, for clarity, any information furnished to, but not filed with, the SEC) after the date of this prospectus will be deemed to be incorporated by reference into this prospectus and to be a part of this prospectus from the dates of the filing of such documents.</w:t>
      </w:r>
    </w:p>
    <w:p>
      <w:pPr>
        <w:spacing w:after="0" w:line="140" w:lineRule="exact"/>
        <w:rPr>
          <w:rFonts w:ascii="Times New Roman" w:cs="Times New Roman" w:eastAsia="Times New Roman" w:hAnsi="Times New Roman"/>
          <w:sz w:val="14"/>
          <w:szCs w:val="14"/>
          <w:color w:val="0000EE"/>
        </w:rPr>
      </w:pPr>
    </w:p>
    <w:p>
      <w:pPr>
        <w:ind w:left="1260" w:right="159" w:firstLine="351"/>
        <w:spacing w:after="0" w:line="263"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this prospectus is delivered, upon written or oral request, a copy of any or all of the information that has been incorporated by reference into this prospectus (excluding exhibits, unless the exhibits are specifically incorporated). You may request a copy of this prospectus or any of the incorporated documents at no charge to you by calling us at (405)</w:t>
      </w:r>
    </w:p>
    <w:p>
      <w:pPr>
        <w:spacing w:after="0" w:line="1" w:lineRule="exact"/>
        <w:rPr>
          <w:rFonts w:ascii="Times New Roman" w:cs="Times New Roman" w:eastAsia="Times New Roman" w:hAnsi="Times New Roman"/>
          <w:sz w:val="14"/>
          <w:szCs w:val="14"/>
          <w:color w:val="0000EE"/>
        </w:rPr>
      </w:pPr>
    </w:p>
    <w:p>
      <w:pPr>
        <w:ind w:left="1260"/>
        <w:spacing w:after="0"/>
        <w:rPr>
          <w:sz w:val="20"/>
          <w:szCs w:val="20"/>
          <w:color w:val="auto"/>
        </w:rPr>
      </w:pPr>
      <w:r>
        <w:rPr>
          <w:rFonts w:ascii="Times New Roman" w:cs="Times New Roman" w:eastAsia="Times New Roman" w:hAnsi="Times New Roman"/>
          <w:sz w:val="14"/>
          <w:szCs w:val="14"/>
          <w:color w:val="auto"/>
        </w:rPr>
        <w:t>235-4546 or by writing to us at LSB Industries, Inc., Attention: Corporate Secretary, 3503 NW 63rd Street, Suite 500, Oklahoma City, Oklahoma 73116.</w:t>
      </w:r>
    </w:p>
    <w:p>
      <w:pPr>
        <w:spacing w:after="0" w:line="11" w:lineRule="exact"/>
        <w:rPr>
          <w:rFonts w:ascii="Times New Roman" w:cs="Times New Roman" w:eastAsia="Times New Roman" w:hAnsi="Times New Roman"/>
          <w:sz w:val="14"/>
          <w:szCs w:val="14"/>
          <w:color w:val="0000EE"/>
        </w:rPr>
      </w:pPr>
    </w:p>
    <w:p>
      <w:pPr>
        <w:ind w:left="1260"/>
        <w:spacing w:after="0"/>
        <w:rPr>
          <w:sz w:val="20"/>
          <w:szCs w:val="20"/>
          <w:color w:val="auto"/>
        </w:rPr>
      </w:pPr>
      <w:r>
        <w:rPr>
          <w:rFonts w:ascii="Times New Roman" w:cs="Times New Roman" w:eastAsia="Times New Roman" w:hAnsi="Times New Roman"/>
          <w:sz w:val="14"/>
          <w:szCs w:val="14"/>
          <w:color w:val="auto"/>
        </w:rPr>
        <w:t xml:space="preserve">Our incorporated reports and other documents may also be accessed at our website, </w:t>
      </w:r>
      <w:r>
        <w:rPr>
          <w:rFonts w:ascii="Times New Roman" w:cs="Times New Roman" w:eastAsia="Times New Roman" w:hAnsi="Times New Roman"/>
          <w:sz w:val="14"/>
          <w:szCs w:val="14"/>
          <w:i w:val="1"/>
          <w:iCs w:val="1"/>
          <w:color w:val="auto"/>
        </w:rPr>
        <w:t>www.lsbindustries.com</w:t>
      </w:r>
      <w:r>
        <w:rPr>
          <w:rFonts w:ascii="Times New Roman" w:cs="Times New Roman" w:eastAsia="Times New Roman" w:hAnsi="Times New Roman"/>
          <w:sz w:val="14"/>
          <w:szCs w:val="14"/>
          <w:color w:val="auto"/>
        </w:rPr>
        <w:t xml:space="preserve">, or on the SEC’s website,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70" w:lineRule="exact"/>
        <w:rPr>
          <w:rFonts w:ascii="Times New Roman" w:cs="Times New Roman" w:eastAsia="Times New Roman" w:hAnsi="Times New Roman"/>
          <w:sz w:val="14"/>
          <w:szCs w:val="14"/>
          <w:color w:val="0000EE"/>
        </w:rPr>
      </w:pPr>
    </w:p>
    <w:p>
      <w:pPr>
        <w:ind w:left="1260" w:right="199" w:firstLine="351"/>
        <w:spacing w:after="0" w:line="266"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We have not authorized anyone to provide you with information that is different from the information contained in this prospectus. This prospectus speaks only as of its date unless the information specifically indicates that another date applies. 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88" w:lineRule="exact"/>
        <w:rPr>
          <w:rFonts w:ascii="Times New Roman" w:cs="Times New Roman" w:eastAsia="Times New Roman" w:hAnsi="Times New Roman"/>
          <w:sz w:val="14"/>
          <w:szCs w:val="14"/>
          <w:color w:val="0000EE"/>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92"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195580</wp:posOffset>
            </wp:positionV>
            <wp:extent cx="558038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580380" cy="1397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236855</wp:posOffset>
            </wp:positionV>
            <wp:extent cx="558038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516890</wp:posOffset>
            </wp:positionV>
            <wp:extent cx="1402080" cy="765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402080" cy="765810"/>
                    </a:xfrm>
                    <a:prstGeom prst="rect">
                      <a:avLst/>
                    </a:prstGeom>
                    <a:noFill/>
                  </pic:spPr>
                </pic:pic>
              </a:graphicData>
            </a:graphic>
          </wp:anchor>
        </w:drawing>
      </w:r>
    </w:p>
    <w:p>
      <w:pPr>
        <w:sectPr>
          <w:pgSz w:w="11900" w:h="16838" w:orient="portrait"/>
          <w:cols w:equalWidth="0" w:num="1">
            <w:col w:w="10159"/>
          </w:cols>
          <w:pgMar w:left="300" w:top="3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LSB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3"/>
          <w:szCs w:val="23"/>
          <w:b w:val="1"/>
          <w:bCs w:val="1"/>
          <w:color w:val="auto"/>
        </w:rPr>
        <w:t>Preferred Stock</w:t>
      </w:r>
    </w:p>
    <w:p>
      <w:pPr>
        <w:spacing w:after="0" w:line="9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3"/>
          <w:szCs w:val="23"/>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501015</wp:posOffset>
            </wp:positionV>
            <wp:extent cx="116967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199390</wp:posOffset>
            </wp:positionV>
            <wp:extent cx="116967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169670" cy="698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1819910</wp:posOffset>
            </wp:positionV>
            <wp:extent cx="55803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1868170</wp:posOffset>
            </wp:positionV>
            <wp:extent cx="5580380"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580380" cy="13970"/>
                    </a:xfrm>
                    <a:prstGeom prst="rect">
                      <a:avLst/>
                    </a:prstGeom>
                    <a:noFill/>
                  </pic:spPr>
                </pic:pic>
              </a:graphicData>
            </a:graphic>
          </wp:anchor>
        </w:drawing>
      </w:r>
    </w:p>
    <w:p>
      <w:pPr>
        <w:sectPr>
          <w:pgSz w:w="11900" w:h="16838" w:orient="portrait"/>
          <w:cols w:equalWidth="0" w:num="1">
            <w:col w:w="10159"/>
          </w:cols>
          <w:pgMar w:left="300" w:top="392"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05"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table sets forth expenses payable by the Company in connection with the issuance and distribution of the securities being registered.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All the amounts shown are estimates, except for the SEC registration fee.</w:t>
      </w:r>
    </w:p>
    <w:p>
      <w:pPr>
        <w:sectPr>
          <w:pgSz w:w="11900" w:h="16838" w:orient="portrait"/>
          <w:cols w:equalWidth="0" w:num="1">
            <w:col w:w="10159"/>
          </w:cols>
          <w:pgMar w:left="300" w:top="392" w:right="1440" w:bottom="1440" w:gutter="0" w:footer="0" w:header="0"/>
        </w:sectPr>
      </w:pPr>
    </w:p>
    <w:p>
      <w:pPr>
        <w:spacing w:after="0" w:line="19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-92075</wp:posOffset>
            </wp:positionV>
            <wp:extent cx="3788410" cy="109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788410" cy="109220"/>
                    </a:xfrm>
                    <a:prstGeom prst="rect">
                      <a:avLst/>
                    </a:prstGeom>
                    <a:noFill/>
                  </pic:spPr>
                </pic:pic>
              </a:graphicData>
            </a:graphic>
          </wp:anchor>
        </w:drawing>
      </w:r>
    </w:p>
    <w:p>
      <w:pPr>
        <w:spacing w:after="0" w:line="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Printing expenses</w:t>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-100965</wp:posOffset>
            </wp:positionV>
            <wp:extent cx="3788410" cy="109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788410" cy="109220"/>
                    </a:xfrm>
                    <a:prstGeom prst="rect">
                      <a:avLst/>
                    </a:prstGeom>
                    <a:noFill/>
                  </pic:spPr>
                </pic:pic>
              </a:graphicData>
            </a:graphic>
          </wp:anchor>
        </w:drawing>
      </w:r>
    </w:p>
    <w:p>
      <w:pPr>
        <w:ind w:left="266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Fees and expenses of trustee, depositary and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-100965</wp:posOffset>
            </wp:positionV>
            <wp:extent cx="3788410" cy="109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788410" cy="109220"/>
                    </a:xfrm>
                    <a:prstGeom prst="rect">
                      <a:avLst/>
                    </a:prstGeom>
                    <a:noFill/>
                  </pic:spPr>
                </pic:pic>
              </a:graphicData>
            </a:graphic>
          </wp:anchor>
        </w:drawing>
      </w:r>
    </w:p>
    <w:p>
      <w:pPr>
        <w:ind w:left="2660"/>
        <w:spacing w:after="0"/>
        <w:rPr>
          <w:sz w:val="20"/>
          <w:szCs w:val="20"/>
          <w:color w:val="auto"/>
        </w:rPr>
      </w:pPr>
      <w:r>
        <w:rPr>
          <w:rFonts w:ascii="Times New Roman" w:cs="Times New Roman" w:eastAsia="Times New Roman" w:hAnsi="Times New Roman"/>
          <w:sz w:val="14"/>
          <w:szCs w:val="14"/>
          <w:color w:val="auto"/>
        </w:rPr>
        <w:t>Miscellaneous</w:t>
      </w:r>
    </w:p>
    <w:p>
      <w:pPr>
        <w:spacing w:after="0" w:line="1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-92075</wp:posOffset>
            </wp:positionV>
            <wp:extent cx="3788410" cy="109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788410" cy="10922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112395</wp:posOffset>
            </wp:positionV>
            <wp:extent cx="60833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36" w:hanging="236"/>
        <w:spacing w:after="0"/>
        <w:tabs>
          <w:tab w:leader="none" w:pos="23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w:t>
      </w:r>
    </w:p>
    <w:p>
      <w:pPr>
        <w:spacing w:after="0" w:line="24" w:lineRule="exact"/>
        <w:rPr>
          <w:rFonts w:ascii="Times New Roman" w:cs="Times New Roman" w:eastAsia="Times New Roman" w:hAnsi="Times New Roman"/>
          <w:sz w:val="14"/>
          <w:szCs w:val="14"/>
          <w:color w:val="auto"/>
        </w:rPr>
      </w:pPr>
    </w:p>
    <w:p>
      <w:pPr>
        <w:ind w:left="7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11" w:lineRule="exact"/>
        <w:rPr>
          <w:rFonts w:ascii="Times New Roman" w:cs="Times New Roman" w:eastAsia="Times New Roman" w:hAnsi="Times New Roman"/>
          <w:sz w:val="14"/>
          <w:szCs w:val="14"/>
          <w:color w:val="auto"/>
        </w:rPr>
      </w:pPr>
    </w:p>
    <w:p>
      <w:pPr>
        <w:ind w:left="7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11" w:lineRule="exact"/>
        <w:rPr>
          <w:rFonts w:ascii="Times New Roman" w:cs="Times New Roman" w:eastAsia="Times New Roman" w:hAnsi="Times New Roman"/>
          <w:sz w:val="14"/>
          <w:szCs w:val="14"/>
          <w:color w:val="auto"/>
        </w:rPr>
      </w:pPr>
    </w:p>
    <w:p>
      <w:pPr>
        <w:ind w:left="7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11" w:lineRule="exact"/>
        <w:rPr>
          <w:rFonts w:ascii="Times New Roman" w:cs="Times New Roman" w:eastAsia="Times New Roman" w:hAnsi="Times New Roman"/>
          <w:sz w:val="14"/>
          <w:szCs w:val="14"/>
          <w:color w:val="auto"/>
        </w:rPr>
      </w:pPr>
    </w:p>
    <w:p>
      <w:pPr>
        <w:ind w:left="7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11" w:lineRule="exact"/>
        <w:rPr>
          <w:rFonts w:ascii="Times New Roman" w:cs="Times New Roman" w:eastAsia="Times New Roman" w:hAnsi="Times New Roman"/>
          <w:sz w:val="14"/>
          <w:szCs w:val="14"/>
          <w:color w:val="auto"/>
        </w:rPr>
      </w:pPr>
    </w:p>
    <w:p>
      <w:pPr>
        <w:ind w:left="7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1531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15315" cy="6985"/>
                    </a:xfrm>
                    <a:prstGeom prst="rect">
                      <a:avLst/>
                    </a:prstGeom>
                    <a:noFill/>
                  </pic:spPr>
                </pic:pic>
              </a:graphicData>
            </a:graphic>
          </wp:anchor>
        </w:drawing>
      </w:r>
    </w:p>
    <w:p>
      <w:pPr>
        <w:ind w:left="796" w:hanging="796"/>
        <w:spacing w:after="0"/>
        <w:tabs>
          <w:tab w:leader="none" w:pos="7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1531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1531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61531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15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4" w:space="720"/>
            <w:col w:w="2555"/>
          </w:cols>
          <w:pgMar w:left="300" w:top="392" w:right="1440" w:bottom="1440" w:gutter="0" w:footer="0" w:header="0"/>
          <w:type w:val="continuous"/>
        </w:sectPr>
      </w:pPr>
    </w:p>
    <w:p>
      <w:pPr>
        <w:spacing w:after="0" w:line="5" w:lineRule="exact"/>
        <w:rPr>
          <w:sz w:val="20"/>
          <w:szCs w:val="20"/>
          <w:color w:val="auto"/>
        </w:rPr>
      </w:pPr>
    </w:p>
    <w:p>
      <w:pPr>
        <w:ind w:left="1600" w:right="259" w:hanging="350"/>
        <w:spacing w:after="0" w:line="267" w:lineRule="auto"/>
        <w:tabs>
          <w:tab w:leader="none" w:pos="1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the registrant is deferring payment of any registration fee until the time the securities are sold under this registration statement pursuant to a prospectus supplement.</w:t>
      </w:r>
    </w:p>
    <w:p>
      <w:pPr>
        <w:ind w:left="1600" w:right="299" w:hanging="350"/>
        <w:spacing w:after="0" w:line="262" w:lineRule="auto"/>
        <w:tabs>
          <w:tab w:leader="none" w:pos="1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an indeterminate amount of securities is covered by this registration statement, the expenses in connection with the issuance and distribution of the securities are not currently determinable. The foregoing sets forth the general categories of expenses (other than underwriting discounts and commissions) that the registrant anticipates it will incur in connection with the offering of securities under this registration statement.</w:t>
      </w:r>
    </w:p>
    <w:p>
      <w:pPr>
        <w:spacing w:after="0" w:line="261"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9" w:lineRule="exact"/>
        <w:rPr>
          <w:sz w:val="20"/>
          <w:szCs w:val="20"/>
          <w:color w:val="auto"/>
        </w:rPr>
      </w:pPr>
    </w:p>
    <w:p>
      <w:pPr>
        <w:ind w:left="1260" w:right="139" w:firstLine="351"/>
        <w:spacing w:after="0" w:line="259" w:lineRule="auto"/>
        <w:rPr>
          <w:sz w:val="20"/>
          <w:szCs w:val="20"/>
          <w:color w:val="auto"/>
        </w:rPr>
      </w:pPr>
      <w:r>
        <w:rPr>
          <w:rFonts w:ascii="Times New Roman" w:cs="Times New Roman" w:eastAsia="Times New Roman" w:hAnsi="Times New Roman"/>
          <w:sz w:val="14"/>
          <w:szCs w:val="14"/>
          <w:color w:val="auto"/>
        </w:rPr>
        <w:t>The Company is incorporated under the DGCL. 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To the extent that a present or former director or officer of a corporation has been successful on the merits or otherwise in defense of any action, suit or proceeding</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2" w:right="1440"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79"/>
        <w:spacing w:after="0" w:line="294" w:lineRule="auto"/>
        <w:rPr>
          <w:sz w:val="20"/>
          <w:szCs w:val="20"/>
          <w:color w:val="auto"/>
        </w:rPr>
      </w:pPr>
      <w:r>
        <w:rPr>
          <w:rFonts w:ascii="Times New Roman" w:cs="Times New Roman" w:eastAsia="Times New Roman" w:hAnsi="Times New Roman"/>
          <w:sz w:val="14"/>
          <w:szCs w:val="14"/>
          <w:color w:val="auto"/>
        </w:rPr>
        <w:t>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123" w:lineRule="exact"/>
        <w:rPr>
          <w:sz w:val="20"/>
          <w:szCs w:val="20"/>
          <w:color w:val="auto"/>
        </w:rPr>
      </w:pPr>
    </w:p>
    <w:p>
      <w:pPr>
        <w:ind w:left="1260" w:right="119" w:firstLine="351"/>
        <w:spacing w:after="0" w:line="260" w:lineRule="auto"/>
        <w:rPr>
          <w:sz w:val="20"/>
          <w:szCs w:val="20"/>
          <w:color w:val="auto"/>
        </w:rPr>
      </w:pPr>
      <w:r>
        <w:rPr>
          <w:rFonts w:ascii="Times New Roman" w:cs="Times New Roman" w:eastAsia="Times New Roman" w:hAnsi="Times New Roman"/>
          <w:sz w:val="14"/>
          <w:szCs w:val="14"/>
          <w:color w:val="auto"/>
        </w:rPr>
        <w:t>Any indemnification under subsections (a) and (b) of Section 145 of the DGCL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or (3) if there are no such directors, or if such directors so direct, by independent legal counsel in a written opinion, or</w:t>
      </w:r>
    </w:p>
    <w:p>
      <w:pPr>
        <w:spacing w:after="0" w:line="1" w:lineRule="exact"/>
        <w:rPr>
          <w:sz w:val="20"/>
          <w:szCs w:val="20"/>
          <w:color w:val="auto"/>
        </w:rPr>
      </w:pPr>
    </w:p>
    <w:p>
      <w:pPr>
        <w:ind w:left="1260" w:right="179" w:hanging="10"/>
        <w:spacing w:after="0" w:line="259" w:lineRule="auto"/>
        <w:tabs>
          <w:tab w:leader="none" w:pos="146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stockholders.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47" w:lineRule="exact"/>
        <w:rPr>
          <w:sz w:val="20"/>
          <w:szCs w:val="20"/>
          <w:color w:val="auto"/>
        </w:rPr>
      </w:pPr>
    </w:p>
    <w:p>
      <w:pPr>
        <w:ind w:left="1260" w:right="139" w:firstLine="351"/>
        <w:spacing w:after="0" w:line="266" w:lineRule="auto"/>
        <w:rPr>
          <w:sz w:val="20"/>
          <w:szCs w:val="20"/>
          <w:color w:val="auto"/>
        </w:rPr>
      </w:pPr>
      <w:r>
        <w:rPr>
          <w:rFonts w:ascii="Times New Roman" w:cs="Times New Roman" w:eastAsia="Times New Roman" w:hAnsi="Times New Roman"/>
          <w:sz w:val="14"/>
          <w:szCs w:val="14"/>
          <w:color w:val="auto"/>
        </w:rPr>
        <w:t>Section 145 of the DGCL also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42" w:lineRule="exact"/>
        <w:rPr>
          <w:sz w:val="20"/>
          <w:szCs w:val="20"/>
          <w:color w:val="auto"/>
        </w:rPr>
      </w:pPr>
    </w:p>
    <w:p>
      <w:pPr>
        <w:ind w:left="1260" w:right="359" w:firstLine="351"/>
        <w:spacing w:after="0" w:line="294" w:lineRule="auto"/>
        <w:rPr>
          <w:sz w:val="20"/>
          <w:szCs w:val="20"/>
          <w:color w:val="auto"/>
        </w:rPr>
      </w:pPr>
      <w:r>
        <w:rPr>
          <w:rFonts w:ascii="Times New Roman" w:cs="Times New Roman" w:eastAsia="Times New Roman" w:hAnsi="Times New Roman"/>
          <w:sz w:val="14"/>
          <w:szCs w:val="14"/>
          <w:color w:val="auto"/>
        </w:rPr>
        <w:t>The Certificate of Incorporation also contains indemnification rights for the directors and officers. Specifically, the Certificate of Incorporation provides for the indemnity of the officers and directors to the fullest extent authorized by the DGCL.</w:t>
      </w:r>
    </w:p>
    <w:p>
      <w:pPr>
        <w:spacing w:after="0" w:line="123" w:lineRule="exact"/>
        <w:rPr>
          <w:sz w:val="20"/>
          <w:szCs w:val="20"/>
          <w:color w:val="auto"/>
        </w:rPr>
      </w:pPr>
    </w:p>
    <w:p>
      <w:pPr>
        <w:ind w:left="1260" w:right="259" w:firstLine="351"/>
        <w:spacing w:after="0" w:line="294" w:lineRule="auto"/>
        <w:rPr>
          <w:sz w:val="20"/>
          <w:szCs w:val="20"/>
          <w:color w:val="auto"/>
        </w:rPr>
      </w:pPr>
      <w:r>
        <w:rPr>
          <w:rFonts w:ascii="Times New Roman" w:cs="Times New Roman" w:eastAsia="Times New Roman" w:hAnsi="Times New Roman"/>
          <w:sz w:val="14"/>
          <w:szCs w:val="14"/>
          <w:color w:val="auto"/>
        </w:rPr>
        <w:t>In addition, the DGCL permits the Company and its subsidiaries to purchase and maintain insurance on behalf of any person who is a director or officer for acts committed in their capacities as such directors or officers. The Company currently maintains such liability insurance.</w:t>
      </w:r>
    </w:p>
    <w:p>
      <w:pPr>
        <w:spacing w:after="0" w:line="123" w:lineRule="exact"/>
        <w:rPr>
          <w:sz w:val="20"/>
          <w:szCs w:val="20"/>
          <w:color w:val="auto"/>
        </w:rPr>
      </w:pPr>
    </w:p>
    <w:p>
      <w:pPr>
        <w:ind w:left="1260" w:right="279" w:firstLine="351"/>
        <w:spacing w:after="0" w:line="275" w:lineRule="auto"/>
        <w:rPr>
          <w:sz w:val="20"/>
          <w:szCs w:val="20"/>
          <w:color w:val="auto"/>
        </w:rPr>
      </w:pPr>
      <w:r>
        <w:rPr>
          <w:rFonts w:ascii="Times New Roman" w:cs="Times New Roman" w:eastAsia="Times New Roman" w:hAnsi="Times New Roman"/>
          <w:sz w:val="14"/>
          <w:szCs w:val="14"/>
          <w:color w:val="auto"/>
        </w:rPr>
        <w:t>The general effect of the foregoing is to provide indemnification to officers and directors for liabilities that may arise by reason of their status as officers or directors, other than liabilities arising from willful or intentional misconduct, acts or omissions not in good faith, unlawful distributions of corporate assets or transactions from which the officer or director derived an improper personal benefit.</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92"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8100" w:type="dxa"/>
            <w:vAlign w:val="bottom"/>
            <w:gridSpan w:val="23"/>
          </w:tcPr>
          <w:p>
            <w:pPr>
              <w:ind w:left="18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258"/>
        </w:trPr>
        <w:tc>
          <w:tcPr>
            <w:tcW w:w="8780" w:type="dxa"/>
            <w:vAlign w:val="bottom"/>
            <w:gridSpan w:val="24"/>
          </w:tcPr>
          <w:p>
            <w:pPr>
              <w:ind w:left="340"/>
              <w:spacing w:after="0"/>
              <w:rPr>
                <w:sz w:val="20"/>
                <w:szCs w:val="20"/>
                <w:color w:val="auto"/>
              </w:rPr>
            </w:pPr>
            <w:r>
              <w:rPr>
                <w:rFonts w:ascii="Times New Roman" w:cs="Times New Roman" w:eastAsia="Times New Roman" w:hAnsi="Times New Roman"/>
                <w:sz w:val="14"/>
                <w:szCs w:val="14"/>
                <w:color w:val="auto"/>
              </w:rPr>
              <w:t>The following exhibits are included or incorporated by reference in this registration statement:</w:t>
            </w:r>
          </w:p>
        </w:tc>
      </w:tr>
      <w:tr>
        <w:trPr>
          <w:trHeight w:val="294"/>
        </w:trPr>
        <w:tc>
          <w:tcPr>
            <w:tcW w:w="6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1"/>
        </w:trPr>
        <w:tc>
          <w:tcPr>
            <w:tcW w:w="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80" w:type="dxa"/>
            <w:vAlign w:val="bottom"/>
            <w:gridSpan w:val="13"/>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tcPr>
          <w:p>
            <w:pPr>
              <w:spacing w:after="0"/>
              <w:rPr>
                <w:sz w:val="21"/>
                <w:szCs w:val="21"/>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tcPr>
          <w:p>
            <w:pPr>
              <w:spacing w:after="0"/>
              <w:rPr>
                <w:sz w:val="19"/>
                <w:szCs w:val="19"/>
                <w:color w:val="auto"/>
              </w:rPr>
            </w:pPr>
          </w:p>
        </w:tc>
        <w:tc>
          <w:tcPr>
            <w:tcW w:w="7740" w:type="dxa"/>
            <w:vAlign w:val="bottom"/>
            <w:gridSpan w:val="22"/>
          </w:tcPr>
          <w:p>
            <w:pPr>
              <w:spacing w:after="0"/>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Restated Certificate of Incorporation of LSB Industries, Inc., dated January 21, 1977, as amended August 27, 1987 (incorporated by</w:t>
              </w:r>
            </w:hyperlink>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20" w:type="dxa"/>
            <w:vAlign w:val="bottom"/>
            <w:tcBorders>
              <w:top w:val="single" w:sz="8" w:color="0000EE"/>
            </w:tcBorders>
            <w:gridSpan w:val="20"/>
          </w:tcPr>
          <w:p>
            <w:pPr>
              <w:spacing w:after="0" w:line="153"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reference to Exhibit 3(i).1 to the Company’s Annual Report on Form 10-K filed on February 28, 2013)</w:t>
              </w:r>
              <w:r>
                <w:rPr>
                  <w:rFonts w:ascii="Times New Roman" w:cs="Times New Roman" w:eastAsia="Times New Roman" w:hAnsi="Times New Roman"/>
                  <w:sz w:val="14"/>
                  <w:szCs w:val="14"/>
                  <w:color w:val="000000"/>
                </w:rPr>
                <w:t>.</w:t>
              </w:r>
            </w:hyperlink>
          </w:p>
        </w:tc>
        <w:tc>
          <w:tcPr>
            <w:tcW w:w="120" w:type="dxa"/>
            <w:vAlign w:val="bottom"/>
            <w:gridSpan w:val="2"/>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20"/>
                <w:szCs w:val="20"/>
                <w:color w:val="auto"/>
              </w:rPr>
            </w:pPr>
          </w:p>
        </w:tc>
        <w:tc>
          <w:tcPr>
            <w:tcW w:w="7740" w:type="dxa"/>
            <w:vAlign w:val="bottom"/>
            <w:gridSpan w:val="22"/>
          </w:tcPr>
          <w:p>
            <w:pPr>
              <w:spacing w:after="0"/>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Certificate of Amendment to the Restated Certificate of Incorporation of LSB Industries, Inc., dated September 23, 2021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740" w:type="dxa"/>
            <w:vAlign w:val="bottom"/>
            <w:gridSpan w:val="22"/>
          </w:tcPr>
          <w:p>
            <w:pPr>
              <w:spacing w:after="0" w:line="153"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(incorporated by reference to Exhibit 3(i).2 to the Company’s Registration Statement on Form S-3 filed on November 16, 2021).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tcPr>
          <w:p>
            <w:pPr>
              <w:spacing w:after="0"/>
              <w:rPr>
                <w:sz w:val="20"/>
                <w:szCs w:val="20"/>
                <w:color w:val="auto"/>
              </w:rPr>
            </w:pPr>
          </w:p>
        </w:tc>
        <w:tc>
          <w:tcPr>
            <w:tcW w:w="7740" w:type="dxa"/>
            <w:vAlign w:val="bottom"/>
            <w:gridSpan w:val="22"/>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Certificate of Designations of Series G Class C Preferred Stock of LSB Industries, Inc., as filed with the Secretary of State of the</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740" w:type="dxa"/>
            <w:vAlign w:val="bottom"/>
            <w:gridSpan w:val="22"/>
          </w:tcPr>
          <w:p>
            <w:pPr>
              <w:spacing w:after="0" w:line="153"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State of Delaware on July 6, 2020 (incorporated by reference to Exhibit 3.1 to the Company’s Current Report on Form 8-K filed on</w:t>
              </w:r>
            </w:hyperlink>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0000EE"/>
              <w:bottom w:val="single" w:sz="8" w:color="0000EE"/>
            </w:tcBorders>
          </w:tcPr>
          <w:p>
            <w:pPr>
              <w:spacing w:after="0" w:line="153"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July 6, 2020).</w:t>
              </w:r>
            </w:hyperlink>
          </w:p>
        </w:tc>
        <w:tc>
          <w:tcPr>
            <w:tcW w:w="6740" w:type="dxa"/>
            <w:vAlign w:val="bottom"/>
            <w:tcBorders>
              <w:top w:val="single" w:sz="8" w:color="0000EE"/>
            </w:tcBorders>
            <w:gridSpan w:val="17"/>
          </w:tcPr>
          <w:p>
            <w:pPr>
              <w:spacing w:after="0"/>
              <w:rPr>
                <w:sz w:val="13"/>
                <w:szCs w:val="13"/>
                <w:color w:val="auto"/>
              </w:rPr>
            </w:pPr>
          </w:p>
        </w:tc>
        <w:tc>
          <w:tcPr>
            <w:tcW w:w="200" w:type="dxa"/>
            <w:vAlign w:val="bottom"/>
            <w:gridSpan w:val="4"/>
          </w:tcPr>
          <w:p>
            <w:pPr>
              <w:spacing w:after="0"/>
              <w:rPr>
                <w:sz w:val="13"/>
                <w:szCs w:val="13"/>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tcPr>
          <w:p>
            <w:pPr>
              <w:spacing w:after="0"/>
              <w:rPr>
                <w:sz w:val="20"/>
                <w:szCs w:val="20"/>
                <w:color w:val="auto"/>
              </w:rPr>
            </w:pPr>
          </w:p>
        </w:tc>
        <w:tc>
          <w:tcPr>
            <w:tcW w:w="770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Third Amended and Restated Bylaws of LSB Industries, Inc. (incorporated by reference to Exhibit 3(ii).1 to the Company’s Quarterly</w:t>
              </w:r>
            </w:hyperlink>
          </w:p>
        </w:tc>
        <w:tc>
          <w:tcPr>
            <w:tcW w:w="40" w:type="dxa"/>
            <w:vAlign w:val="bottom"/>
          </w:tcPr>
          <w:p>
            <w:pPr>
              <w:spacing w:after="0"/>
              <w:rPr>
                <w:sz w:val="20"/>
                <w:szCs w:val="20"/>
                <w:color w:val="auto"/>
              </w:rPr>
            </w:pPr>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tcBorders>
              <w:bottom w:val="single" w:sz="8" w:color="0000EE"/>
            </w:tcBorders>
            <w:gridSpan w:val="7"/>
          </w:tcPr>
          <w:p>
            <w:pPr>
              <w:spacing w:after="0" w:line="153"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Report on Form 10-Q filed on April 30, 2026).</w:t>
              </w:r>
            </w:hyperlink>
          </w:p>
        </w:tc>
        <w:tc>
          <w:tcPr>
            <w:tcW w:w="5040" w:type="dxa"/>
            <w:vAlign w:val="bottom"/>
            <w:gridSpan w:val="15"/>
          </w:tcPr>
          <w:p>
            <w:pPr>
              <w:spacing w:after="0"/>
              <w:rPr>
                <w:sz w:val="13"/>
                <w:szCs w:val="13"/>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20"/>
                <w:szCs w:val="20"/>
                <w:color w:val="auto"/>
              </w:rPr>
            </w:pPr>
          </w:p>
        </w:tc>
        <w:tc>
          <w:tcPr>
            <w:tcW w:w="744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Specimen Certificate for the Company’s Common Stock (incorporated by reference to Exhibit 4.3 to the Company’s Registration</w:t>
              </w:r>
            </w:hyperlink>
          </w:p>
        </w:tc>
        <w:tc>
          <w:tcPr>
            <w:tcW w:w="300" w:type="dxa"/>
            <w:vAlign w:val="bottom"/>
            <w:gridSpan w:val="6"/>
          </w:tcPr>
          <w:p>
            <w:pPr>
              <w:spacing w:after="0"/>
              <w:rPr>
                <w:sz w:val="20"/>
                <w:szCs w:val="20"/>
                <w:color w:val="auto"/>
              </w:rPr>
            </w:pPr>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740" w:type="dxa"/>
            <w:vAlign w:val="bottom"/>
            <w:gridSpan w:val="22"/>
          </w:tcPr>
          <w:p>
            <w:pPr>
              <w:spacing w:after="0" w:line="153"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Statement on Form S-3 ASR filed on November 16, 2012)</w:t>
              </w:r>
              <w:r>
                <w:rPr>
                  <w:rFonts w:ascii="Times New Roman" w:cs="Times New Roman" w:eastAsia="Times New Roman" w:hAnsi="Times New Roman"/>
                  <w:sz w:val="14"/>
                  <w:szCs w:val="14"/>
                  <w:color w:val="000000"/>
                </w:rPr>
                <w:t>.</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tcPr>
          <w:p>
            <w:pPr>
              <w:spacing w:after="0"/>
              <w:rPr>
                <w:sz w:val="20"/>
                <w:szCs w:val="20"/>
                <w:color w:val="auto"/>
              </w:rPr>
            </w:pPr>
          </w:p>
        </w:tc>
        <w:tc>
          <w:tcPr>
            <w:tcW w:w="7740" w:type="dxa"/>
            <w:vAlign w:val="bottom"/>
            <w:gridSpan w:val="22"/>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Amended and Restated Section 382 Rights Agreement, dated as of August 22, 2023, between LSB Industries, Inc. and</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740" w:type="dxa"/>
            <w:vAlign w:val="bottom"/>
            <w:gridSpan w:val="22"/>
          </w:tcPr>
          <w:p>
            <w:pPr>
              <w:spacing w:after="0" w:line="153"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Computershare Trust Company, N.A., as rights agent (incorporated by reference to Exhibit 4.1 to the Company’s Current Report on</w:t>
              </w:r>
            </w:hyperlink>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560" w:type="dxa"/>
            <w:vAlign w:val="bottom"/>
            <w:tcBorders>
              <w:top w:val="single" w:sz="8" w:color="0000EE"/>
            </w:tcBorders>
            <w:gridSpan w:val="19"/>
          </w:tcPr>
          <w:p>
            <w:pPr>
              <w:spacing w:after="0" w:line="153"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Form 8-K filed on August 25, 2023)</w:t>
              </w:r>
              <w:r>
                <w:rPr>
                  <w:rFonts w:ascii="Times New Roman" w:cs="Times New Roman" w:eastAsia="Times New Roman" w:hAnsi="Times New Roman"/>
                  <w:sz w:val="14"/>
                  <w:szCs w:val="14"/>
                  <w:color w:val="000000"/>
                </w:rPr>
                <w:t>.</w:t>
              </w:r>
            </w:hyperlink>
          </w:p>
        </w:tc>
        <w:tc>
          <w:tcPr>
            <w:tcW w:w="180" w:type="dxa"/>
            <w:vAlign w:val="bottom"/>
            <w:gridSpan w:val="3"/>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tcPr>
          <w:p>
            <w:pPr>
              <w:spacing w:after="0"/>
              <w:rPr>
                <w:sz w:val="20"/>
                <w:szCs w:val="20"/>
                <w:color w:val="auto"/>
              </w:rPr>
            </w:pPr>
          </w:p>
        </w:tc>
        <w:tc>
          <w:tcPr>
            <w:tcW w:w="774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First Amendment to Amended and Restated Section 382 Rights Agreement, dated as of May 2, 2024, by and between LSB Industries,</w:t>
              </w:r>
            </w:hyperlink>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60" w:type="dxa"/>
            <w:vAlign w:val="bottom"/>
            <w:tcBorders>
              <w:bottom w:val="single" w:sz="8" w:color="0000EE"/>
            </w:tcBorders>
            <w:gridSpan w:val="17"/>
          </w:tcPr>
          <w:p>
            <w:pPr>
              <w:spacing w:after="0" w:line="153"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Inc. and Computershare Trust Company, N.A., as rights agent (incorporated by reference to Exhibit 4.1 to the Company’s Current</w:t>
              </w:r>
            </w:hyperlink>
          </w:p>
        </w:tc>
        <w:tc>
          <w:tcPr>
            <w:tcW w:w="280" w:type="dxa"/>
            <w:vAlign w:val="bottom"/>
            <w:gridSpan w:val="5"/>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740" w:type="dxa"/>
            <w:vAlign w:val="bottom"/>
            <w:gridSpan w:val="22"/>
          </w:tcPr>
          <w:p>
            <w:pPr>
              <w:spacing w:after="0" w:line="153"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Report on Form 8-K filed on May 3, 2024)</w:t>
              </w:r>
              <w:r>
                <w:rPr>
                  <w:rFonts w:ascii="Times New Roman" w:cs="Times New Roman" w:eastAsia="Times New Roman" w:hAnsi="Times New Roman"/>
                  <w:sz w:val="14"/>
                  <w:szCs w:val="14"/>
                  <w:color w:val="000000"/>
                </w:rPr>
                <w:t>.</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3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Description of Registrant’s Securities Registered Pursuant to Section 12 of the Securities Exchange Act of 1934.</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360" w:type="dxa"/>
            <w:vAlign w:val="bottom"/>
          </w:tcPr>
          <w:p>
            <w:pPr>
              <w:spacing w:after="0"/>
              <w:rPr>
                <w:sz w:val="23"/>
                <w:szCs w:val="23"/>
                <w:color w:val="auto"/>
              </w:rPr>
            </w:pPr>
          </w:p>
        </w:tc>
        <w:tc>
          <w:tcPr>
            <w:tcW w:w="64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auto"/>
              </w:rPr>
              <w:t>Form of Specimen Certificate Representing Preferred Stock.</w:t>
            </w:r>
          </w:p>
        </w:tc>
        <w:tc>
          <w:tcPr>
            <w:tcW w:w="1280" w:type="dxa"/>
            <w:vAlign w:val="bottom"/>
            <w:gridSpan w:val="10"/>
          </w:tcPr>
          <w:p>
            <w:pPr>
              <w:spacing w:after="0"/>
              <w:rPr>
                <w:sz w:val="23"/>
                <w:szCs w:val="23"/>
                <w:color w:val="auto"/>
              </w:rPr>
            </w:pP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tcPr>
          <w:p>
            <w:pPr>
              <w:spacing w:after="0"/>
              <w:rPr>
                <w:sz w:val="19"/>
                <w:szCs w:val="19"/>
                <w:color w:val="auto"/>
              </w:rPr>
            </w:pPr>
          </w:p>
        </w:tc>
        <w:tc>
          <w:tcPr>
            <w:tcW w:w="1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Form of Indenture.</w:t>
            </w:r>
          </w:p>
        </w:tc>
        <w:tc>
          <w:tcPr>
            <w:tcW w:w="6640" w:type="dxa"/>
            <w:vAlign w:val="bottom"/>
            <w:gridSpan w:val="19"/>
          </w:tcPr>
          <w:p>
            <w:pPr>
              <w:spacing w:after="0"/>
              <w:rPr>
                <w:sz w:val="19"/>
                <w:szCs w:val="19"/>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tcPr>
          <w:p>
            <w:pPr>
              <w:spacing w:after="0"/>
              <w:rPr>
                <w:sz w:val="23"/>
                <w:szCs w:val="23"/>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 of Debt Security.</w:t>
            </w: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360" w:type="dxa"/>
            <w:vAlign w:val="bottom"/>
          </w:tcPr>
          <w:p>
            <w:pPr>
              <w:spacing w:after="0"/>
              <w:rPr>
                <w:sz w:val="19"/>
                <w:szCs w:val="19"/>
                <w:color w:val="auto"/>
              </w:rPr>
            </w:pPr>
          </w:p>
        </w:tc>
        <w:tc>
          <w:tcPr>
            <w:tcW w:w="2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Opinion of Haynes and Boone, LLP.</w:t>
            </w:r>
          </w:p>
        </w:tc>
        <w:tc>
          <w:tcPr>
            <w:tcW w:w="5640" w:type="dxa"/>
            <w:vAlign w:val="bottom"/>
            <w:gridSpan w:val="17"/>
          </w:tcPr>
          <w:p>
            <w:pPr>
              <w:spacing w:after="0"/>
              <w:rPr>
                <w:sz w:val="19"/>
                <w:szCs w:val="19"/>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Consent of Ernst &amp; Young LLP.</w:t>
            </w: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3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Consent of Haynes and Boone, LLP (included in Exhibit 5.1).</w:t>
            </w: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3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Powers of Attorney (included on the signature page of this registration statement).</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360" w:type="dxa"/>
            <w:vAlign w:val="bottom"/>
          </w:tcPr>
          <w:p>
            <w:pPr>
              <w:spacing w:after="0"/>
              <w:rPr>
                <w:sz w:val="23"/>
                <w:szCs w:val="23"/>
                <w:color w:val="auto"/>
              </w:rPr>
            </w:pPr>
          </w:p>
        </w:tc>
        <w:tc>
          <w:tcPr>
            <w:tcW w:w="47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auto"/>
              </w:rPr>
              <w:t>Form T-1 Statement of Eligibility of Trustee for the Indenture.</w:t>
            </w:r>
          </w:p>
        </w:tc>
        <w:tc>
          <w:tcPr>
            <w:tcW w:w="3020" w:type="dxa"/>
            <w:vAlign w:val="bottom"/>
            <w:gridSpan w:val="12"/>
          </w:tcPr>
          <w:p>
            <w:pPr>
              <w:spacing w:after="0"/>
              <w:rPr>
                <w:sz w:val="23"/>
                <w:szCs w:val="23"/>
                <w:color w:val="auto"/>
              </w:rPr>
            </w:pP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360" w:type="dxa"/>
            <w:vAlign w:val="bottom"/>
          </w:tcPr>
          <w:p>
            <w:pPr>
              <w:spacing w:after="0"/>
              <w:rPr>
                <w:sz w:val="19"/>
                <w:szCs w:val="19"/>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9"/>
              </w:rPr>
              <w:t>Filing Fee Table.</w:t>
            </w:r>
          </w:p>
        </w:tc>
        <w:tc>
          <w:tcPr>
            <w:tcW w:w="6760" w:type="dxa"/>
            <w:vAlign w:val="bottom"/>
            <w:gridSpan w:val="20"/>
          </w:tcPr>
          <w:p>
            <w:pPr>
              <w:spacing w:after="0"/>
              <w:rPr>
                <w:sz w:val="19"/>
                <w:szCs w:val="19"/>
                <w:color w:val="auto"/>
              </w:rPr>
            </w:pPr>
          </w:p>
        </w:tc>
      </w:tr>
    </w:tbl>
    <w:p>
      <w:pPr>
        <w:spacing w:after="0" w:line="201" w:lineRule="exact"/>
        <w:rPr>
          <w:sz w:val="20"/>
          <w:szCs w:val="20"/>
          <w:color w:val="auto"/>
        </w:rPr>
      </w:pPr>
    </w:p>
    <w:p>
      <w:pPr>
        <w:ind w:left="1600" w:hanging="350"/>
        <w:spacing w:after="0"/>
        <w:tabs>
          <w:tab w:leader="none" w:pos="1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5" w:lineRule="exact"/>
        <w:rPr>
          <w:sz w:val="20"/>
          <w:szCs w:val="20"/>
          <w:color w:val="auto"/>
        </w:rPr>
      </w:pPr>
    </w:p>
    <w:p>
      <w:pPr>
        <w:ind w:left="1600" w:right="799" w:hanging="350"/>
        <w:spacing w:after="0" w:line="256" w:lineRule="auto"/>
        <w:tabs>
          <w:tab w:leader="none" w:pos="16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necessary, subsequent to the effectiveness of this registration statement by an amendment to this registration statement or incorporated by reference pursuant to a Current Report on Form 8-K or other SEC filing in connection with an offering of securities.</w:t>
      </w:r>
    </w:p>
    <w:p>
      <w:pPr>
        <w:spacing w:after="0" w:line="1" w:lineRule="exact"/>
        <w:rPr>
          <w:rFonts w:ascii="Times New Roman" w:cs="Times New Roman" w:eastAsia="Times New Roman" w:hAnsi="Times New Roman"/>
          <w:sz w:val="14"/>
          <w:szCs w:val="14"/>
          <w:color w:val="auto"/>
        </w:rPr>
      </w:pPr>
    </w:p>
    <w:p>
      <w:pPr>
        <w:ind w:left="1600" w:hanging="350"/>
        <w:spacing w:after="0"/>
        <w:tabs>
          <w:tab w:leader="none" w:pos="16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in accordance with Trust Indenture Act Section 305(b)(2).</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92"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w:t>
      </w:r>
    </w:p>
    <w:p>
      <w:pPr>
        <w:spacing w:after="0" w:line="184" w:lineRule="exact"/>
        <w:rPr>
          <w:sz w:val="20"/>
          <w:szCs w:val="20"/>
          <w:color w:val="auto"/>
        </w:rPr>
      </w:pPr>
    </w:p>
    <w:p>
      <w:pPr>
        <w:ind w:left="2240" w:hanging="199"/>
        <w:spacing w:after="0"/>
        <w:tabs>
          <w:tab w:leader="none" w:pos="2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3" w:lineRule="exact"/>
        <w:rPr>
          <w:rFonts w:ascii="Times New Roman" w:cs="Times New Roman" w:eastAsia="Times New Roman" w:hAnsi="Times New Roman"/>
          <w:sz w:val="14"/>
          <w:szCs w:val="14"/>
          <w:color w:val="auto"/>
        </w:rPr>
      </w:pPr>
    </w:p>
    <w:p>
      <w:pPr>
        <w:ind w:left="2560" w:hanging="168"/>
        <w:spacing w:after="0"/>
        <w:tabs>
          <w:tab w:leader="none" w:pos="256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83" w:lineRule="exact"/>
        <w:rPr>
          <w:rFonts w:ascii="Times New Roman" w:cs="Times New Roman" w:eastAsia="Times New Roman" w:hAnsi="Times New Roman"/>
          <w:sz w:val="14"/>
          <w:szCs w:val="14"/>
          <w:color w:val="auto"/>
        </w:rPr>
      </w:pPr>
    </w:p>
    <w:p>
      <w:pPr>
        <w:ind w:left="1260" w:right="139" w:firstLine="1132"/>
        <w:spacing w:after="0" w:line="264" w:lineRule="auto"/>
        <w:tabs>
          <w:tab w:leader="none" w:pos="2614"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43" w:lineRule="exact"/>
        <w:rPr>
          <w:rFonts w:ascii="Times New Roman" w:cs="Times New Roman" w:eastAsia="Times New Roman" w:hAnsi="Times New Roman"/>
          <w:sz w:val="14"/>
          <w:szCs w:val="14"/>
          <w:color w:val="auto"/>
        </w:rPr>
      </w:pPr>
    </w:p>
    <w:p>
      <w:pPr>
        <w:ind w:left="1260" w:right="159" w:firstLine="1132"/>
        <w:spacing w:after="0" w:line="294" w:lineRule="auto"/>
        <w:tabs>
          <w:tab w:leader="none" w:pos="2654"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1" w:lineRule="exact"/>
        <w:rPr>
          <w:sz w:val="20"/>
          <w:szCs w:val="20"/>
          <w:color w:val="auto"/>
        </w:rPr>
      </w:pPr>
    </w:p>
    <w:p>
      <w:pPr>
        <w:ind w:left="1260" w:right="239" w:firstLine="791"/>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the undertakings set forth in paragraphs (a)(1)(i), (a)(1)(ii) and (a)(1)(iii) above do not apply if the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9" w:lineRule="exact"/>
        <w:rPr>
          <w:sz w:val="20"/>
          <w:szCs w:val="20"/>
          <w:color w:val="auto"/>
        </w:rPr>
      </w:pPr>
    </w:p>
    <w:p>
      <w:pPr>
        <w:ind w:left="1260" w:right="139" w:firstLine="781"/>
        <w:spacing w:after="0" w:line="275" w:lineRule="auto"/>
        <w:tabs>
          <w:tab w:leader="none" w:pos="225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1260" w:right="199" w:firstLine="781"/>
        <w:spacing w:after="0" w:line="294" w:lineRule="auto"/>
        <w:tabs>
          <w:tab w:leader="none" w:pos="225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2" w:lineRule="exact"/>
        <w:rPr>
          <w:rFonts w:ascii="Times New Roman" w:cs="Times New Roman" w:eastAsia="Times New Roman" w:hAnsi="Times New Roman"/>
          <w:sz w:val="14"/>
          <w:szCs w:val="14"/>
          <w:color w:val="auto"/>
        </w:rPr>
      </w:pPr>
    </w:p>
    <w:p>
      <w:pPr>
        <w:ind w:left="2240" w:hanging="199"/>
        <w:spacing w:after="0"/>
        <w:tabs>
          <w:tab w:leader="none" w:pos="2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83" w:lineRule="exact"/>
        <w:rPr>
          <w:rFonts w:ascii="Times New Roman" w:cs="Times New Roman" w:eastAsia="Times New Roman" w:hAnsi="Times New Roman"/>
          <w:sz w:val="14"/>
          <w:szCs w:val="14"/>
          <w:color w:val="auto"/>
        </w:rPr>
      </w:pPr>
    </w:p>
    <w:p>
      <w:pPr>
        <w:ind w:left="1260" w:right="319" w:firstLine="1132"/>
        <w:spacing w:after="0" w:line="294" w:lineRule="auto"/>
        <w:tabs>
          <w:tab w:leader="none" w:pos="257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2" w:lineRule="exact"/>
        <w:rPr>
          <w:rFonts w:ascii="Times New Roman" w:cs="Times New Roman" w:eastAsia="Times New Roman" w:hAnsi="Times New Roman"/>
          <w:sz w:val="14"/>
          <w:szCs w:val="14"/>
          <w:color w:val="auto"/>
        </w:rPr>
      </w:pPr>
    </w:p>
    <w:p>
      <w:pPr>
        <w:ind w:left="1260" w:right="159" w:firstLine="1132"/>
        <w:spacing w:after="0" w:line="261" w:lineRule="auto"/>
        <w:tabs>
          <w:tab w:leader="none" w:pos="261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2"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99"/>
        <w:spacing w:after="0" w:line="294" w:lineRule="auto"/>
        <w:rPr>
          <w:sz w:val="20"/>
          <w:szCs w:val="20"/>
          <w:color w:val="auto"/>
        </w:rPr>
      </w:pPr>
      <w:r>
        <w:rPr>
          <w:rFonts w:ascii="Times New Roman" w:cs="Times New Roman" w:eastAsia="Times New Roman" w:hAnsi="Times New Roman"/>
          <w:sz w:val="14"/>
          <w:szCs w:val="14"/>
          <w:color w:val="auto"/>
        </w:rPr>
        <w:t>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(5) That, for the purpose of determining liability of the registrant under the Securities Act to any purchaser in the initial distribution of the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securities:</w:t>
      </w:r>
    </w:p>
    <w:p>
      <w:pPr>
        <w:spacing w:after="0" w:line="170" w:lineRule="exact"/>
        <w:rPr>
          <w:sz w:val="20"/>
          <w:szCs w:val="20"/>
          <w:color w:val="auto"/>
        </w:rPr>
      </w:pPr>
    </w:p>
    <w:p>
      <w:pPr>
        <w:ind w:left="1260" w:right="319" w:firstLine="791"/>
        <w:spacing w:after="0" w:line="269"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(i) Any preliminary prospectus or prospectus of the undersigned registrant relating to the offering required to be filed pursuant to</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Rule 424;</w:t>
      </w:r>
    </w:p>
    <w:p>
      <w:pPr>
        <w:spacing w:after="0" w:line="170" w:lineRule="exact"/>
        <w:rPr>
          <w:sz w:val="20"/>
          <w:szCs w:val="20"/>
          <w:color w:val="auto"/>
        </w:rPr>
      </w:pPr>
    </w:p>
    <w:p>
      <w:pPr>
        <w:ind w:left="1260" w:right="239" w:firstLine="1132"/>
        <w:spacing w:after="0" w:line="294" w:lineRule="auto"/>
        <w:tabs>
          <w:tab w:leader="none" w:pos="2614"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22" w:lineRule="exact"/>
        <w:rPr>
          <w:rFonts w:ascii="Times New Roman" w:cs="Times New Roman" w:eastAsia="Times New Roman" w:hAnsi="Times New Roman"/>
          <w:sz w:val="14"/>
          <w:szCs w:val="14"/>
          <w:color w:val="auto"/>
        </w:rPr>
      </w:pPr>
    </w:p>
    <w:p>
      <w:pPr>
        <w:ind w:left="1260" w:right="259" w:firstLine="1132"/>
        <w:spacing w:after="0" w:line="294" w:lineRule="auto"/>
        <w:tabs>
          <w:tab w:leader="none" w:pos="2654"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2" w:lineRule="exact"/>
        <w:rPr>
          <w:rFonts w:ascii="Times New Roman" w:cs="Times New Roman" w:eastAsia="Times New Roman" w:hAnsi="Times New Roman"/>
          <w:sz w:val="14"/>
          <w:szCs w:val="14"/>
          <w:color w:val="auto"/>
        </w:rPr>
      </w:pPr>
    </w:p>
    <w:p>
      <w:pPr>
        <w:ind w:left="2620" w:hanging="228"/>
        <w:spacing w:after="0"/>
        <w:tabs>
          <w:tab w:leader="none" w:pos="26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3" w:lineRule="exact"/>
        <w:rPr>
          <w:rFonts w:ascii="Times New Roman" w:cs="Times New Roman" w:eastAsia="Times New Roman" w:hAnsi="Times New Roman"/>
          <w:sz w:val="14"/>
          <w:szCs w:val="14"/>
          <w:color w:val="auto"/>
        </w:rPr>
      </w:pPr>
    </w:p>
    <w:p>
      <w:pPr>
        <w:ind w:left="1260" w:right="119" w:firstLine="341"/>
        <w:spacing w:after="0" w:line="267" w:lineRule="auto"/>
        <w:tabs>
          <w:tab w:leader="none" w:pos="181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17" w:lineRule="exact"/>
        <w:rPr>
          <w:sz w:val="20"/>
          <w:szCs w:val="20"/>
          <w:color w:val="auto"/>
        </w:rPr>
      </w:pPr>
    </w:p>
    <w:p>
      <w:pPr>
        <w:ind w:left="1260" w:right="219" w:firstLine="341"/>
        <w:spacing w:after="0" w:line="262" w:lineRule="auto"/>
        <w:tabs>
          <w:tab w:leader="none" w:pos="181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1" w:lineRule="exact"/>
        <w:rPr>
          <w:sz w:val="20"/>
          <w:szCs w:val="20"/>
          <w:color w:val="auto"/>
        </w:rPr>
      </w:pPr>
    </w:p>
    <w:p>
      <w:pPr>
        <w:ind w:left="1260" w:right="639" w:firstLine="341"/>
        <w:spacing w:after="0" w:line="275" w:lineRule="auto"/>
        <w:tabs>
          <w:tab w:leader="none" w:pos="178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under an indenture to act under subsection (a) of Section 310 of the Trust Indenture Act of 1939, or the Act, in accordance with the rules and regulations prescribed by the Commission under Section 305(b)(2) of the Act.</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92"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ind w:left="1260" w:right="279" w:firstLine="351"/>
        <w:spacing w:after="0" w:line="27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Oklahoma City, State of Oklahoma, on May 14, 2026.</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LSB INDUSTRIES, INC.</w:t>
      </w:r>
    </w:p>
    <w:p>
      <w:pPr>
        <w:spacing w:after="0" w:line="184" w:lineRule="exact"/>
        <w:rPr>
          <w:sz w:val="20"/>
          <w:szCs w:val="20"/>
          <w:color w:val="auto"/>
        </w:rPr>
      </w:pPr>
    </w:p>
    <w:p>
      <w:pPr>
        <w:ind w:left="6520"/>
        <w:spacing w:after="0"/>
        <w:tabs>
          <w:tab w:leader="none" w:pos="6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Mark T. Behrman</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Name: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-100965</wp:posOffset>
            </wp:positionV>
            <wp:extent cx="196278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1962785" cy="6985"/>
                    </a:xfrm>
                    <a:prstGeom prst="rect">
                      <a:avLst/>
                    </a:prstGeom>
                    <a:noFill/>
                  </pic:spPr>
                </pic:pic>
              </a:graphicData>
            </a:graphic>
          </wp:anchor>
        </w:drawing>
      </w:r>
    </w:p>
    <w:p>
      <w:pPr>
        <w:spacing w:after="0" w:line="2" w:lineRule="exact"/>
        <w:rPr>
          <w:sz w:val="20"/>
          <w:szCs w:val="20"/>
          <w:color w:val="auto"/>
        </w:rPr>
      </w:pPr>
    </w:p>
    <w:p>
      <w:pPr>
        <w:jc w:val="both"/>
        <w:ind w:left="6520"/>
        <w:spacing w:after="0"/>
        <w:tabs>
          <w:tab w:leader="none" w:pos="6980" w:val="left"/>
        </w:tabs>
        <w:rPr>
          <w:sz w:val="20"/>
          <w:szCs w:val="20"/>
          <w:color w:val="auto"/>
        </w:rPr>
      </w:pPr>
      <w:r>
        <w:rPr>
          <w:rFonts w:ascii="Times New Roman" w:cs="Times New Roman" w:eastAsia="Times New Roman" w:hAnsi="Times New Roman"/>
          <w:sz w:val="14"/>
          <w:szCs w:val="14"/>
          <w:color w:val="auto"/>
        </w:rPr>
        <w:t>Title:</w:t>
        <w:tab/>
        <w:t>President, Chief Executive Officer and Chairman of</w:t>
      </w:r>
    </w:p>
    <w:p>
      <w:pPr>
        <w:spacing w:after="0" w:line="1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The undersigned officers and directors of LSB Industries, Inc. hereby constitute and appoint Mark T. Behrman and Michael J. Foster, and each of them,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that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45" w:lineRule="exact"/>
        <w:rPr>
          <w:sz w:val="20"/>
          <w:szCs w:val="20"/>
          <w:color w:val="auto"/>
        </w:rPr>
      </w:pPr>
    </w:p>
    <w:p>
      <w:pPr>
        <w:ind w:left="1260" w:right="299" w:firstLine="351"/>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8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spacing w:after="0"/>
              <w:rPr>
                <w:sz w:val="12"/>
                <w:szCs w:val="12"/>
                <w:color w:val="auto"/>
              </w:rPr>
            </w:pPr>
          </w:p>
        </w:tc>
        <w:tc>
          <w:tcPr>
            <w:tcW w:w="16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Mark T. Behrman</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President, Chief Executive Officer and Chairman of the Board of</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May 14, 2026</w:t>
            </w:r>
          </w:p>
        </w:tc>
      </w:tr>
      <w:tr>
        <w:trPr>
          <w:trHeight w:val="17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Mark T. Behrman</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Directors (Principal Executive Officer)</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4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Cheryl A. Maguire</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May 14, 2026</w:t>
            </w:r>
          </w:p>
        </w:tc>
      </w:tr>
      <w:tr>
        <w:trPr>
          <w:trHeight w:val="17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Cheryl A. Maguire</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Financial Officer and Principal Accounting Officer)</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4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Jonathan Z. Ackerman</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May 14, 2026</w:t>
            </w: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Jonathan Z. Ackerman</w:t>
            </w:r>
          </w:p>
        </w:tc>
        <w:tc>
          <w:tcPr>
            <w:tcW w:w="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4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Riccardo Bertocco</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May 14, 2026</w:t>
            </w: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Riccardo Bertocco</w:t>
            </w:r>
          </w:p>
        </w:tc>
        <w:tc>
          <w:tcPr>
            <w:tcW w:w="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92"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Jonathan S. Bobb</w:t>
            </w:r>
          </w:p>
        </w:tc>
        <w:tc>
          <w:tcPr>
            <w:tcW w:w="2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560" w:type="dxa"/>
            <w:vAlign w:val="bottom"/>
          </w:tcPr>
          <w:p>
            <w:pPr>
              <w:ind w:left="1760"/>
              <w:spacing w:after="0"/>
              <w:rPr>
                <w:sz w:val="20"/>
                <w:szCs w:val="20"/>
                <w:color w:val="auto"/>
              </w:rPr>
            </w:pPr>
            <w:r>
              <w:rPr>
                <w:rFonts w:ascii="Times New Roman" w:cs="Times New Roman" w:eastAsia="Times New Roman" w:hAnsi="Times New Roman"/>
                <w:sz w:val="14"/>
                <w:szCs w:val="14"/>
                <w:color w:val="auto"/>
                <w:w w:val="99"/>
              </w:rPr>
              <w:t>May 14, 2026</w:t>
            </w: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Jonathan S. Bobb</w:t>
            </w:r>
          </w:p>
        </w:tc>
        <w:tc>
          <w:tcPr>
            <w:tcW w:w="232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34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John D. Chandler</w:t>
            </w:r>
          </w:p>
        </w:tc>
        <w:tc>
          <w:tcPr>
            <w:tcW w:w="2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560" w:type="dxa"/>
            <w:vAlign w:val="bottom"/>
          </w:tcPr>
          <w:p>
            <w:pPr>
              <w:ind w:left="1760"/>
              <w:spacing w:after="0"/>
              <w:rPr>
                <w:sz w:val="20"/>
                <w:szCs w:val="20"/>
                <w:color w:val="auto"/>
              </w:rPr>
            </w:pPr>
            <w:r>
              <w:rPr>
                <w:rFonts w:ascii="Times New Roman" w:cs="Times New Roman" w:eastAsia="Times New Roman" w:hAnsi="Times New Roman"/>
                <w:sz w:val="14"/>
                <w:szCs w:val="14"/>
                <w:color w:val="auto"/>
                <w:w w:val="99"/>
              </w:rPr>
              <w:t>May 14, 2026</w:t>
            </w: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John D. Chandler</w:t>
            </w:r>
          </w:p>
        </w:tc>
        <w:tc>
          <w:tcPr>
            <w:tcW w:w="232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34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Barry H. Golsen</w:t>
            </w:r>
          </w:p>
        </w:tc>
        <w:tc>
          <w:tcPr>
            <w:tcW w:w="2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560" w:type="dxa"/>
            <w:vAlign w:val="bottom"/>
          </w:tcPr>
          <w:p>
            <w:pPr>
              <w:ind w:left="1760"/>
              <w:spacing w:after="0"/>
              <w:rPr>
                <w:sz w:val="20"/>
                <w:szCs w:val="20"/>
                <w:color w:val="auto"/>
              </w:rPr>
            </w:pPr>
            <w:r>
              <w:rPr>
                <w:rFonts w:ascii="Times New Roman" w:cs="Times New Roman" w:eastAsia="Times New Roman" w:hAnsi="Times New Roman"/>
                <w:sz w:val="14"/>
                <w:szCs w:val="14"/>
                <w:color w:val="auto"/>
                <w:w w:val="99"/>
              </w:rPr>
              <w:t>May 14, 2026</w:t>
            </w: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Barry H. Golsen</w:t>
            </w:r>
          </w:p>
        </w:tc>
        <w:tc>
          <w:tcPr>
            <w:tcW w:w="232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34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Kanna Kitamura</w:t>
            </w:r>
          </w:p>
        </w:tc>
        <w:tc>
          <w:tcPr>
            <w:tcW w:w="2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560" w:type="dxa"/>
            <w:vAlign w:val="bottom"/>
          </w:tcPr>
          <w:p>
            <w:pPr>
              <w:ind w:left="1760"/>
              <w:spacing w:after="0"/>
              <w:rPr>
                <w:sz w:val="20"/>
                <w:szCs w:val="20"/>
                <w:color w:val="auto"/>
              </w:rPr>
            </w:pPr>
            <w:r>
              <w:rPr>
                <w:rFonts w:ascii="Times New Roman" w:cs="Times New Roman" w:eastAsia="Times New Roman" w:hAnsi="Times New Roman"/>
                <w:sz w:val="14"/>
                <w:szCs w:val="14"/>
                <w:color w:val="auto"/>
                <w:w w:val="99"/>
              </w:rPr>
              <w:t>May 14, 2026</w:t>
            </w: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Kanna Kitamura</w:t>
            </w:r>
          </w:p>
        </w:tc>
        <w:tc>
          <w:tcPr>
            <w:tcW w:w="232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34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Diana M. Peninger</w:t>
            </w:r>
          </w:p>
        </w:tc>
        <w:tc>
          <w:tcPr>
            <w:tcW w:w="2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560" w:type="dxa"/>
            <w:vAlign w:val="bottom"/>
          </w:tcPr>
          <w:p>
            <w:pPr>
              <w:ind w:left="1760"/>
              <w:spacing w:after="0"/>
              <w:rPr>
                <w:sz w:val="20"/>
                <w:szCs w:val="20"/>
                <w:color w:val="auto"/>
              </w:rPr>
            </w:pPr>
            <w:r>
              <w:rPr>
                <w:rFonts w:ascii="Times New Roman" w:cs="Times New Roman" w:eastAsia="Times New Roman" w:hAnsi="Times New Roman"/>
                <w:sz w:val="14"/>
                <w:szCs w:val="14"/>
                <w:color w:val="auto"/>
                <w:w w:val="99"/>
              </w:rPr>
              <w:t>May 14, 2026</w:t>
            </w: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Diana M. Peninger</w:t>
            </w:r>
          </w:p>
        </w:tc>
        <w:tc>
          <w:tcPr>
            <w:tcW w:w="232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34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Lynn F. White</w:t>
            </w:r>
          </w:p>
        </w:tc>
        <w:tc>
          <w:tcPr>
            <w:tcW w:w="2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560" w:type="dxa"/>
            <w:vAlign w:val="bottom"/>
          </w:tcPr>
          <w:p>
            <w:pPr>
              <w:ind w:left="1760"/>
              <w:spacing w:after="0"/>
              <w:rPr>
                <w:sz w:val="20"/>
                <w:szCs w:val="20"/>
                <w:color w:val="auto"/>
              </w:rPr>
            </w:pPr>
            <w:r>
              <w:rPr>
                <w:rFonts w:ascii="Times New Roman" w:cs="Times New Roman" w:eastAsia="Times New Roman" w:hAnsi="Times New Roman"/>
                <w:sz w:val="14"/>
                <w:szCs w:val="14"/>
                <w:color w:val="auto"/>
                <w:w w:val="99"/>
              </w:rPr>
              <w:t>May 14, 2026</w:t>
            </w: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Lynn F. White</w:t>
            </w:r>
          </w:p>
        </w:tc>
        <w:tc>
          <w:tcPr>
            <w:tcW w:w="2320" w:type="dxa"/>
            <w:vAlign w:val="bottom"/>
          </w:tcPr>
          <w:p>
            <w:pPr>
              <w:spacing w:after="0"/>
              <w:rPr>
                <w:sz w:val="15"/>
                <w:szCs w:val="15"/>
                <w:color w:val="auto"/>
              </w:rPr>
            </w:pPr>
          </w:p>
        </w:tc>
        <w:tc>
          <w:tcPr>
            <w:tcW w:w="2560" w:type="dxa"/>
            <w:vAlign w:val="bottom"/>
          </w:tcPr>
          <w:p>
            <w:pPr>
              <w:spacing w:after="0"/>
              <w:rPr>
                <w:sz w:val="15"/>
                <w:szCs w:val="15"/>
                <w:color w:val="auto"/>
              </w:rPr>
            </w:pPr>
          </w:p>
        </w:tc>
      </w:tr>
    </w:tbl>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92" w:right="1440" w:bottom="1440" w:gutter="0" w:footer="0" w:header="0"/>
        </w:sectPr>
      </w:pPr>
    </w:p>
    <w:bookmarkStart w:id="43" w:name="page44"/>
    <w:bookmarkEnd w:id="43"/>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4.4</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6" w:lineRule="exact"/>
        <w:rPr>
          <w:sz w:val="20"/>
          <w:szCs w:val="20"/>
          <w:color w:val="auto"/>
        </w:rPr>
      </w:pPr>
    </w:p>
    <w:p>
      <w:pPr>
        <w:ind w:left="120" w:right="139" w:firstLine="351"/>
        <w:spacing w:after="0" w:line="266" w:lineRule="auto"/>
        <w:rPr>
          <w:sz w:val="20"/>
          <w:szCs w:val="20"/>
          <w:color w:val="auto"/>
        </w:rPr>
      </w:pPr>
      <w:r>
        <w:rPr>
          <w:rFonts w:ascii="Times New Roman" w:cs="Times New Roman" w:eastAsia="Times New Roman" w:hAnsi="Times New Roman"/>
          <w:sz w:val="14"/>
          <w:szCs w:val="14"/>
          <w:color w:val="auto"/>
        </w:rPr>
        <w:t>The following is a description of the material terms of the capital stock of LSB Industries, Inc. (the “Company,” “we,” “us” and “our”). It does not purport to be complete and is qualified in its entirety by reference to our Restated Certificate of Incorporation, as amended (our “Certificate of Incorporation”), our Third Amended and Restated Bylaws (our “Bylaws”) and the Amended and Restated Section 382 Rights Agreement, dated as of August 22, 2023, between the Company and Computershare Trust Company, N.A., as rights agent (as amended on May 2, 2024, the “Rights Agreement”). The Delaware General Corporation Law, as amended (the “DGCL”), may also affect the terms of these securities.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99" w:lineRule="exact"/>
        <w:rPr>
          <w:sz w:val="20"/>
          <w:szCs w:val="20"/>
          <w:color w:val="auto"/>
        </w:rPr>
      </w:pPr>
    </w:p>
    <w:p>
      <w:pPr>
        <w:ind w:left="120" w:right="259" w:firstLine="351"/>
        <w:spacing w:after="0" w:line="294" w:lineRule="auto"/>
        <w:rPr>
          <w:sz w:val="20"/>
          <w:szCs w:val="20"/>
          <w:color w:val="auto"/>
        </w:rPr>
      </w:pPr>
      <w:r>
        <w:rPr>
          <w:rFonts w:ascii="Times New Roman" w:cs="Times New Roman" w:eastAsia="Times New Roman" w:hAnsi="Times New Roman"/>
          <w:sz w:val="14"/>
          <w:szCs w:val="14"/>
          <w:color w:val="auto"/>
        </w:rPr>
        <w:t>The Company’s authorized capital stock consists of 150,000,000 shares of common stock, $0.10 par value per share, 250,000 shares of preferred stock, $100 par value per share, and 5,000,000 shares of Class C Preferred Stock, no par value (“Class C Preferred Stock”).</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7" w:lineRule="exact"/>
        <w:rPr>
          <w:sz w:val="20"/>
          <w:szCs w:val="20"/>
          <w:color w:val="auto"/>
        </w:rPr>
      </w:pPr>
    </w:p>
    <w:p>
      <w:pPr>
        <w:ind w:left="120" w:right="379" w:firstLine="351"/>
        <w:spacing w:after="0" w:line="297" w:lineRule="auto"/>
        <w:rPr>
          <w:sz w:val="20"/>
          <w:szCs w:val="20"/>
          <w:color w:val="auto"/>
        </w:rPr>
      </w:pPr>
      <w:r>
        <w:rPr>
          <w:rFonts w:ascii="Times New Roman" w:cs="Times New Roman" w:eastAsia="Times New Roman" w:hAnsi="Times New Roman"/>
          <w:sz w:val="14"/>
          <w:szCs w:val="14"/>
          <w:i w:val="1"/>
          <w:iCs w:val="1"/>
          <w:color w:val="auto"/>
        </w:rPr>
        <w:t>Common Stock Outstanding</w:t>
      </w:r>
      <w:r>
        <w:rPr>
          <w:rFonts w:ascii="Times New Roman" w:cs="Times New Roman" w:eastAsia="Times New Roman" w:hAnsi="Times New Roman"/>
          <w:sz w:val="14"/>
          <w:szCs w:val="14"/>
          <w:color w:val="auto"/>
        </w:rPr>
        <w:t>. As of May 12, 2026, 71,938,845 shares of our common stock were issued and outstanding, excluding 19,229,279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held in treasury. All outstanding shares of our common stock are duly authorized, fully paid and nonassessable.</w:t>
      </w:r>
    </w:p>
    <w:p>
      <w:pPr>
        <w:spacing w:after="0" w:line="118" w:lineRule="exact"/>
        <w:rPr>
          <w:sz w:val="20"/>
          <w:szCs w:val="20"/>
          <w:color w:val="auto"/>
        </w:rPr>
      </w:pPr>
    </w:p>
    <w:p>
      <w:pPr>
        <w:ind w:left="120" w:right="279" w:firstLine="351"/>
        <w:spacing w:after="0" w:line="297"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holder of shares of common stock is entitled to one vote for each share, in person or by proxy, at any and all meetings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of the Company, on all propositions before such meetings.</w:t>
      </w:r>
    </w:p>
    <w:p>
      <w:pPr>
        <w:spacing w:after="0" w:line="118" w:lineRule="exact"/>
        <w:rPr>
          <w:sz w:val="20"/>
          <w:szCs w:val="20"/>
          <w:color w:val="auto"/>
        </w:rPr>
      </w:pPr>
    </w:p>
    <w:p>
      <w:pPr>
        <w:ind w:left="120" w:right="15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preferential dividend rights of any other class or series of stock, the holders of common stock are entitled to receive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including dividends of stock, if, as and when declared by the Board of Directors, subject to any limitations applicable by law and to the rights of the holders, if any, of the Company’s preferred stock.</w:t>
      </w:r>
    </w:p>
    <w:p>
      <w:pPr>
        <w:spacing w:after="0" w:line="134" w:lineRule="exact"/>
        <w:rPr>
          <w:sz w:val="20"/>
          <w:szCs w:val="20"/>
          <w:color w:val="auto"/>
        </w:rPr>
      </w:pPr>
    </w:p>
    <w:p>
      <w:pPr>
        <w:jc w:val="both"/>
        <w:ind w:left="120" w:right="27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Liquidation</w:t>
      </w:r>
      <w:r>
        <w:rPr>
          <w:rFonts w:ascii="Times New Roman" w:cs="Times New Roman" w:eastAsia="Times New Roman" w:hAnsi="Times New Roman"/>
          <w:sz w:val="14"/>
          <w:szCs w:val="14"/>
          <w:color w:val="auto"/>
        </w:rPr>
        <w:t>. In the event we are liquidated, dissolved or our affairs are wound up, after we pay or make adequate provision for all of our known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debts and liabilities, each holder of our common stock will be entitled to share ratably in all assets that remain, subject to any rights that are granted to the holders of any class or series of preferred stock.</w:t>
      </w:r>
    </w:p>
    <w:p>
      <w:pPr>
        <w:spacing w:after="0" w:line="134" w:lineRule="exact"/>
        <w:rPr>
          <w:sz w:val="20"/>
          <w:szCs w:val="20"/>
          <w:color w:val="auto"/>
        </w:rPr>
      </w:pPr>
    </w:p>
    <w:p>
      <w:pPr>
        <w:ind w:left="120" w:right="2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Other Rights and Restrictions</w:t>
      </w:r>
      <w:r>
        <w:rPr>
          <w:rFonts w:ascii="Times New Roman" w:cs="Times New Roman" w:eastAsia="Times New Roman" w:hAnsi="Times New Roman"/>
          <w:sz w:val="14"/>
          <w:szCs w:val="14"/>
          <w:color w:val="auto"/>
        </w:rPr>
        <w:t>. Subject to the preferential rights of any other class or series of stock, all shares of our common stock have equal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 distribution, liquidation and other rights, and have no preference, appraisal or exchange rights, except for any appraisal rights provided by Delaware law. Furthermore, holders of our common stock have no conversion, sinking fund or redemption rights, or preemptive rights to subscribe for any of our securities. Our Certificate of Incorporation and Bylaws do not restrict the ability of a holder of our common stock to transfer the holder’s shares of our common stock.</w:t>
      </w:r>
    </w:p>
    <w:p>
      <w:pPr>
        <w:spacing w:after="0" w:line="144" w:lineRule="exact"/>
        <w:rPr>
          <w:sz w:val="20"/>
          <w:szCs w:val="20"/>
          <w:color w:val="auto"/>
        </w:rPr>
      </w:pPr>
    </w:p>
    <w:p>
      <w:pPr>
        <w:ind w:left="120" w:right="479" w:firstLine="351"/>
        <w:spacing w:after="0" w:line="294" w:lineRule="auto"/>
        <w:rPr>
          <w:sz w:val="20"/>
          <w:szCs w:val="20"/>
          <w:color w:val="auto"/>
        </w:rPr>
      </w:pPr>
      <w:r>
        <w:rPr>
          <w:rFonts w:ascii="Times New Roman" w:cs="Times New Roman" w:eastAsia="Times New Roman" w:hAnsi="Times New Roman"/>
          <w:sz w:val="14"/>
          <w:szCs w:val="14"/>
          <w:color w:val="auto"/>
        </w:rPr>
        <w:t>The rights, powers, preferences and privileges of holders of our common stock are subject to, and may be adversely affected by, the rights of holders of shares of our outstanding preferred stock and of any series of preferred stock which we may designate and issue in the future.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i w:val="1"/>
          <w:iCs w:val="1"/>
          <w:color w:val="auto"/>
        </w:rPr>
        <w:t>Listing</w:t>
      </w:r>
      <w:r>
        <w:rPr>
          <w:rFonts w:ascii="Times New Roman" w:cs="Times New Roman" w:eastAsia="Times New Roman" w:hAnsi="Times New Roman"/>
          <w:sz w:val="14"/>
          <w:szCs w:val="14"/>
          <w:color w:val="auto"/>
        </w:rPr>
        <w:t>. Our common stock is listed on the New York Stock Exchange under the symbol “LXU.”</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The transfer agent for our common stock is Computershare Limited.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9" w:lineRule="exact"/>
        <w:rPr>
          <w:sz w:val="20"/>
          <w:szCs w:val="20"/>
          <w:color w:val="auto"/>
        </w:rPr>
      </w:pPr>
    </w:p>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t>Under our Certificate of Incorporation we have authority, subject to any limitations prescribed by law and without further stockholder approval, to issue from time to time up to 250,000 shares of preferred stock, and 5,000,000 shares of Class C Preferred Stock. As of May 12, 2026, no shares of our preferred stock or Class C Preferred Stock were issued and outstanding.</w:t>
      </w:r>
    </w:p>
    <w:p>
      <w:pPr>
        <w:sectPr>
          <w:pgSz w:w="11900" w:h="16838" w:orient="portrait"/>
          <w:cols w:equalWidth="0" w:num="1">
            <w:col w:w="9019"/>
          </w:cols>
          <w:pgMar w:left="1440" w:top="123" w:right="1440" w:bottom="1440" w:gutter="0" w:footer="0" w:header="0"/>
        </w:sectPr>
      </w:pPr>
    </w:p>
    <w:bookmarkStart w:id="44" w:name="page45"/>
    <w:bookmarkEnd w:id="44"/>
    <w:p>
      <w:pPr>
        <w:ind w:left="120" w:right="139" w:firstLine="351"/>
        <w:spacing w:after="0" w:line="29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The preferred stock and Class C Preferred Stock are issuable in one or more series, each with such designations, preferences, rights, qualifications, limitations and restrictions as our Board of Directors may determine in resolutions providing for their issuance.</w:t>
      </w:r>
    </w:p>
    <w:p>
      <w:pPr>
        <w:spacing w:after="0" w:line="123" w:lineRule="exact"/>
        <w:rPr>
          <w:sz w:val="20"/>
          <w:szCs w:val="20"/>
          <w:color w:val="auto"/>
        </w:rPr>
      </w:pPr>
    </w:p>
    <w:p>
      <w:pPr>
        <w:ind w:left="120" w:right="259" w:firstLine="351"/>
        <w:spacing w:after="0" w:line="275" w:lineRule="auto"/>
        <w:rPr>
          <w:sz w:val="20"/>
          <w:szCs w:val="20"/>
          <w:color w:val="auto"/>
        </w:rPr>
      </w:pPr>
      <w:r>
        <w:rPr>
          <w:rFonts w:ascii="Times New Roman" w:cs="Times New Roman" w:eastAsia="Times New Roman" w:hAnsi="Times New Roman"/>
          <w:sz w:val="14"/>
          <w:szCs w:val="14"/>
          <w:color w:val="auto"/>
        </w:rPr>
        <w:t>The issuance of preferred stock may have the effect of delaying, deferring or preventing a change in control of us without further action by the stockholders and may adversely affect the voting and other rights of the holders of our common stock. The issuance of preferred stock with voting and conversion rights may adversely affect the voting power of the holders of common stock, including loss of voting control to others.</w:t>
      </w:r>
    </w:p>
    <w:p>
      <w:pPr>
        <w:spacing w:after="0" w:line="136"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Pursuant to our Certificate of Incorporation we are authorized to issue “blank check” preferred stock, which may be issued from time to time in one or more series upon authorization by our Board of Directors. Our Board of Directors, without further approval of the stockholders, is authorized to fix the dividend rights and terms, conversion rights, voting rights, redemption rights and terms, liquidation preferences, and any other rights, preferences, privileges and restrictions applicable to each series of the preferred stock. The issuance of preferred stock, while providing flexibility in connection with possible acquisitions and other corporate purposes could, among other things, adversely affect the voting power or rights of the holders of our common stock and, under certain circumstances, make it more difficult for a third party to gain control of us, discourage bids for our common stock at a premium or otherwise adversely affect the market price of the common stock.</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Preferred Stock Purchase Rights</w:t>
      </w:r>
    </w:p>
    <w:p>
      <w:pPr>
        <w:spacing w:after="0" w:line="99" w:lineRule="exact"/>
        <w:rPr>
          <w:sz w:val="20"/>
          <w:szCs w:val="20"/>
          <w:color w:val="auto"/>
        </w:rPr>
      </w:pPr>
    </w:p>
    <w:p>
      <w:pPr>
        <w:ind w:left="120" w:right="239" w:firstLine="351"/>
        <w:spacing w:after="0" w:line="294" w:lineRule="auto"/>
        <w:rPr>
          <w:sz w:val="20"/>
          <w:szCs w:val="20"/>
          <w:color w:val="auto"/>
        </w:rPr>
      </w:pPr>
      <w:r>
        <w:rPr>
          <w:rFonts w:ascii="Times New Roman" w:cs="Times New Roman" w:eastAsia="Times New Roman" w:hAnsi="Times New Roman"/>
          <w:sz w:val="14"/>
          <w:szCs w:val="14"/>
          <w:color w:val="auto"/>
        </w:rPr>
        <w:t>The following description of the preferred stock purchase rights (the “Rights”) is not complete and is subject to, and is qualified in its entirety by reference to, the full text and provisions of the Rights Agreement.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9" w:lineRule="exact"/>
        <w:rPr>
          <w:sz w:val="20"/>
          <w:szCs w:val="20"/>
          <w:color w:val="auto"/>
        </w:rPr>
      </w:pPr>
    </w:p>
    <w:p>
      <w:pPr>
        <w:ind w:left="120" w:right="239" w:firstLine="351"/>
        <w:spacing w:after="0" w:line="259" w:lineRule="auto"/>
        <w:rPr>
          <w:sz w:val="20"/>
          <w:szCs w:val="20"/>
          <w:color w:val="auto"/>
        </w:rPr>
      </w:pPr>
      <w:r>
        <w:rPr>
          <w:rFonts w:ascii="Times New Roman" w:cs="Times New Roman" w:eastAsia="Times New Roman" w:hAnsi="Times New Roman"/>
          <w:sz w:val="14"/>
          <w:szCs w:val="14"/>
          <w:color w:val="auto"/>
        </w:rPr>
        <w:t>Each Right initially entitles the registered holder to purchase from us one one-thousandth of a share of our Series G Class C Preferred Stock, no par value (the “Preferred Shares”), subject to adjustment. The purchase price payable upon exercise of each Right to purchase one one-thousandth of a Preferred Share (the “Purchase Price”) is initially $10.00. The Rights become exercisable only after the Distribution Date (as defined below). After the Distribution Date, the Rights may be exercised (in whole or in part) by surrendering the applicable Right Certificate (or, if the Rights are in book-entry form, complying with the applicable book-entry procedures), together with payment of the Purchase Price for the number of Rights exercised (and any applicable transfer taxes). The Purchase Price and the number of Preferred Shares (or other securities) purchasable upon exercise of a Right are subject to adjustment to reflect certain events affecting the Preferred Shares or our capital structure. These adjustment provisions include, among other things, adjustments in the event of (i) certain dividends, subdivisions, combinations or reclassifications of the Preferred Shares and (ii) certain issuances of rights, options or warrants to holders of Preferred Shares at below-market prices, or certain distributions to holders of Preferred Shares, in each case as provided in the Rights Agreement. In addition, the Rights Agreement provides that, following the occurrence of specified transactions after a Stock Acquisition Date (as defined in the Rights Agreement), holders of Rights (other than those whose Rights have become void under the Rights Agreement) will be entitled, upon exercise of the Rights at the then-applicable Purchase Price, to receive common stock of the acquiring or surviving entity based on a formula set forth in the Rights Agreement.</w:t>
      </w: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Distribution Date; Exercisability; Expiration</w:t>
      </w:r>
    </w:p>
    <w:p>
      <w:pPr>
        <w:spacing w:after="0" w:line="99" w:lineRule="exact"/>
        <w:rPr>
          <w:sz w:val="20"/>
          <w:szCs w:val="20"/>
          <w:color w:val="auto"/>
        </w:rPr>
      </w:pPr>
    </w:p>
    <w:p>
      <w:pPr>
        <w:ind w:left="120" w:right="139" w:firstLine="351"/>
        <w:spacing w:after="0" w:line="267" w:lineRule="auto"/>
        <w:rPr>
          <w:sz w:val="20"/>
          <w:szCs w:val="20"/>
          <w:color w:val="auto"/>
        </w:rPr>
      </w:pPr>
      <w:r>
        <w:rPr>
          <w:rFonts w:ascii="Times New Roman" w:cs="Times New Roman" w:eastAsia="Times New Roman" w:hAnsi="Times New Roman"/>
          <w:sz w:val="14"/>
          <w:szCs w:val="14"/>
          <w:color w:val="auto"/>
        </w:rPr>
        <w:t>Initially, the Rights will be attached to all certificates representing outstanding shares of common stock (the “Common Shares”) (or other evidence of book-entry or other uncertificated ownership) and no separate certificates evidencing the Rights (“Right Certificates”) will be issued. Until the Distribution Date, the Rights will be transferred with and only with the Common Shares. As long as the Rights are attached to the Common Shares, the Company will issue one Right with each new Common Share so that all such Common Shares will have Rights attached (subject to certain limited exceptions).</w:t>
      </w:r>
    </w:p>
    <w:p>
      <w:pPr>
        <w:spacing w:after="0" w:line="317" w:lineRule="exact"/>
        <w:rPr>
          <w:sz w:val="20"/>
          <w:szCs w:val="20"/>
          <w:color w:val="auto"/>
        </w:rPr>
      </w:pPr>
    </w:p>
    <w:p>
      <w:pPr>
        <w:jc w:val="both"/>
        <w:ind w:left="120" w:right="159" w:firstLine="351"/>
        <w:spacing w:after="0" w:line="272" w:lineRule="auto"/>
        <w:rPr>
          <w:sz w:val="20"/>
          <w:szCs w:val="20"/>
          <w:color w:val="auto"/>
        </w:rPr>
      </w:pPr>
      <w:r>
        <w:rPr>
          <w:rFonts w:ascii="Times New Roman" w:cs="Times New Roman" w:eastAsia="Times New Roman" w:hAnsi="Times New Roman"/>
          <w:sz w:val="14"/>
          <w:szCs w:val="14"/>
          <w:color w:val="auto"/>
        </w:rPr>
        <w:t>The Rights will separate and begin trading separately from the Common Shares, and Right Certificates will be caused to evidence the Rights, on the earlier to occur of (i) the Close of Business (as such term is defined in the Rights Agreement) on the tenth day following a public announcement, or the public disclosure of facts indicating, that a Person or group of affiliated or associated Persons has acquired Beneficial Ownership of 4.9% or more of the</w:t>
      </w:r>
    </w:p>
    <w:p>
      <w:pPr>
        <w:sectPr>
          <w:pgSz w:w="11900" w:h="16838" w:orient="portrait"/>
          <w:cols w:equalWidth="0" w:num="1">
            <w:col w:w="9019"/>
          </w:cols>
          <w:pgMar w:left="1440" w:top="243" w:right="1440" w:bottom="1440" w:gutter="0" w:footer="0" w:header="0"/>
        </w:sectPr>
      </w:pPr>
    </w:p>
    <w:bookmarkStart w:id="45" w:name="page46"/>
    <w:bookmarkEnd w:id="45"/>
    <w:p>
      <w:pPr>
        <w:ind w:left="120" w:right="1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outstanding Common Shares (an “Acquiring Person”) (or, in the event that the Board of Directors determines to effect an exchange in accordance with Section 24 of the Rights Agreement and the Board of Directors determines that a later date is advisable, then such later date) and (ii) the Close of Business on the tenth Business Day (as such term is defined in the Rights Agreement)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Shares (the earlier of such dates, the “Distribution Date”). As soon as practicable after the Distribution Date, unless the Rights are recorded in book-entry or other uncertificated form, the Company will prepare and cause the Right Certificates to be sent to each record holder of Common Shares as of the Distribution Date.</w:t>
      </w:r>
    </w:p>
    <w:p>
      <w:pPr>
        <w:spacing w:after="0" w:line="3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“Acquiring Person” will not include (i) the Company, (ii) any Subsidiary (as such term is defined in the Rights Agreement) of the Company,</w:t>
      </w:r>
    </w:p>
    <w:p>
      <w:pPr>
        <w:spacing w:after="0" w:line="25" w:lineRule="exact"/>
        <w:rPr>
          <w:sz w:val="20"/>
          <w:szCs w:val="20"/>
          <w:color w:val="auto"/>
        </w:rPr>
      </w:pPr>
    </w:p>
    <w:p>
      <w:pPr>
        <w:ind w:left="120" w:right="139" w:hanging="10"/>
        <w:spacing w:after="0" w:line="257" w:lineRule="auto"/>
        <w:tabs>
          <w:tab w:leader="none" w:pos="37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employee benefit plan of the Company or of any Subsidiary of the Company, (iv) any entity holding Common Shares for or pursuant to the terms of any such employee benefit plan or (v) any Person who or which, together with all Affiliates and Associates (as such terms are defined in the Rights Agreement) of such Person, as of August 22, 2023, is a Beneficial Owner of 4.9% or more of the Common Shares then outstanding (a “Grandfathered Stockholder”). However, if a Grandfathered Stockholder becomes, after such time, the Beneficial Owner of any additional Common Shares (other than pursuant to the vesting or exercise of any equity awards issued to a member of the Board of Directors or pursuant to additional grants of any such equity awards to a member of the Board of Directors) (regardless of whether, thereafter or as a result thereof, there is an increase, decrease or no change in the percentage of Common Shares then outstanding Beneficially Owned (as such term is defined in the Rights Agreement) by such Grandfathered Stockholder) then such Grandfathered Stockholder shall be deemed to be an Acquiring Person unless, upon such acquisition of Beneficial Ownership of additional Common Shares, such person is not the Beneficial Owner of 4.9% or more of the Common Shares then outstanding. In addition, upon the first decrease of a Grandfathered Stockholder’s Beneficial Ownership below 4.9%, such Grandfathered Stockholder will no longer be deemed to be a Grandfathered Stockholder. In the event that after August 22, 2023, any agreement, arrangement or understanding pursuant to which any Grandfathered Stockholder is deemed to be the Beneficial Owner of Common Shares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Shares that confers Beneficial Ownership of Common Shares shall be considered the acquisition of Beneficial Ownership of additional Common Shares by the Grandfathered Stockholder and render such Grandfathered Stockholder an Acquiring Person for purposes of the Rights Agreement unless, upon such acquisition of Beneficial Ownership of additional Common Shares, such person is not the Beneficial Owner of 4.9% or more of the Common Shares then outstanding.</w:t>
      </w:r>
    </w:p>
    <w:p>
      <w:pPr>
        <w:spacing w:after="0" w:line="157" w:lineRule="exact"/>
        <w:rPr>
          <w:sz w:val="20"/>
          <w:szCs w:val="20"/>
          <w:color w:val="auto"/>
        </w:rPr>
      </w:pPr>
    </w:p>
    <w:p>
      <w:pPr>
        <w:ind w:left="120" w:right="239" w:firstLine="351"/>
        <w:spacing w:after="0" w:line="258" w:lineRule="auto"/>
        <w:rPr>
          <w:sz w:val="20"/>
          <w:szCs w:val="20"/>
          <w:color w:val="auto"/>
        </w:rPr>
      </w:pPr>
      <w:r>
        <w:rPr>
          <w:rFonts w:ascii="Times New Roman" w:cs="Times New Roman" w:eastAsia="Times New Roman" w:hAnsi="Times New Roman"/>
          <w:sz w:val="14"/>
          <w:szCs w:val="14"/>
          <w:color w:val="auto"/>
        </w:rPr>
        <w:t>“Beneficial Ownership” is defined in the Rights Agreement to include any securities (i) which a Person or any of such Person’s Affiliates or Associates (a) actually owns (directly or indirectly) or would be deemed to actually or constructively own pursuant to Section 382 of the Code and the Treasury Regulations (as such terms are defined in the Rights Agreement) promulgated thereunder (including any coordinated acquisition of securities by any Persons who have a formal or informal understanding with respect to such acquisition (to the extent that ownership of such securities would be attributed to such Persons under Section 382 of the Code and the Treasury Regulations promulgated thereunder), (b) beneficially owns, directly or indirectly, within the meaning of Rules 13d-3 or 13d-5 promulgated under the Securities Exchange Act of 1934, as amended (the “Exchange Act”), but only to the extent that ownership of such securities would be attributed to such Persons (or to any “entity” that is a group of one or more such Persons) under Section 382 of the Code and the Treasury Regulations promulgated thereunder, including by application of Section 1.382-2T(k)(1)(i) of the Treasury Regulations or similar presumption or (c) has the right or ability to vote, or the right to acquire, pursuant to any agreement, arrangement or understanding (except under limited circumstances), (ii) which are directly or indirectly Beneficially Owned by any other Person with which a Person has any agreement, arrangement or understanding for the purpose of acquiring, holding or voting such securities, or obtaining, changing or influencing control of the Company, but only if the effect of such agreement, arrangement or understanding is to treat such Persons as an “entity” under</w:t>
      </w:r>
    </w:p>
    <w:p>
      <w:pPr>
        <w:spacing w:after="0" w:line="5" w:lineRule="exact"/>
        <w:rPr>
          <w:sz w:val="20"/>
          <w:szCs w:val="20"/>
          <w:color w:val="auto"/>
        </w:rPr>
      </w:pPr>
    </w:p>
    <w:p>
      <w:pPr>
        <w:ind w:left="120" w:right="179"/>
        <w:spacing w:after="0" w:line="259" w:lineRule="auto"/>
        <w:rPr>
          <w:sz w:val="20"/>
          <w:szCs w:val="20"/>
          <w:color w:val="auto"/>
        </w:rPr>
      </w:pPr>
      <w:r>
        <w:rPr>
          <w:rFonts w:ascii="Times New Roman" w:cs="Times New Roman" w:eastAsia="Times New Roman" w:hAnsi="Times New Roman"/>
          <w:sz w:val="14"/>
          <w:szCs w:val="14"/>
          <w:color w:val="auto"/>
        </w:rPr>
        <w:t xml:space="preserve">Section 1.382-3(a)(1) of the Treasury Regulations or (iii) which are the subject of, or reference securities for, or that underlie, certain derivative positions of any Person or any of such Person’s Affiliates or Associates, in each case only to the extent that ownership of such securities would be attributable to such Persons (or to any “entity” that is a group of one or more such Persons) under Section 382 of the Code and the Treasury Regulations promulgated thereunder;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 Person shall not be deemed to be the Beneficial Owner of, or to Beneficially Own, (x) securities tendered pursuant to a tender or exchange offer made pursuant to, and in accordance with, the applicable rules and regulations promulgated under the Exchange Act until such tendered securities are accepted for purchase or exchange or (y) any shares of the Company’s preferred stock or Class C Preferred Stock (other than the Preferred Shares).</w:t>
      </w:r>
    </w:p>
    <w:p>
      <w:pPr>
        <w:sectPr>
          <w:pgSz w:w="11900" w:h="16838" w:orient="portrait"/>
          <w:cols w:equalWidth="0" w:num="1">
            <w:col w:w="9019"/>
          </w:cols>
          <w:pgMar w:left="1440" w:top="243" w:right="1440" w:bottom="1440" w:gutter="0" w:footer="0" w:header="0"/>
        </w:sectPr>
      </w:pPr>
    </w:p>
    <w:bookmarkStart w:id="46" w:name="page47"/>
    <w:bookmarkEnd w:id="46"/>
    <w:p>
      <w:pPr>
        <w:ind w:left="120" w:right="339" w:firstLine="351"/>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The Rights are not exercisable until the Distribution Date. The Rights will expire on the earliest to occur of (i)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 the Close of Business on August 22, 2026 (the “Final Expiration Date”).</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Exempt Persons and Transactions</w:t>
      </w:r>
    </w:p>
    <w:p>
      <w:pPr>
        <w:spacing w:after="0" w:line="99"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Board of Directors may, in its sole and absolute discretion, determine that a Person is exempt from the Rights Agreement (an “Exempt Person”), so long as such determination is made prior to such time as such Person becomes an Acquiring Person. Any Person will cease to be an Exempt Person if the Board of Directors makes a contrary determination with respect to such Person regardless of the reason therefor. In addition, the Board of Directors may, in its sole and absolute discretion, exempt any transaction from triggering the Rights Agreement, so long as the determination in respect of such exemption is made prior to such time as any Person becomes an Acquiring Person. Any Person, together with all Affiliates and Associates of such Person, who proposes to acquire 4.9% or more of the outstanding Common Shares may apply to the Board of Directors in advance for an exemption in accordance with and pursuant to the terms of the Rights Agreement.</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Flip-in Event</w:t>
      </w:r>
    </w:p>
    <w:p>
      <w:pPr>
        <w:spacing w:after="0" w:line="99" w:lineRule="exact"/>
        <w:rPr>
          <w:sz w:val="20"/>
          <w:szCs w:val="20"/>
          <w:color w:val="auto"/>
        </w:rPr>
      </w:pPr>
    </w:p>
    <w:p>
      <w:pPr>
        <w:ind w:left="120" w:right="159" w:firstLine="351"/>
        <w:spacing w:after="0" w:line="264" w:lineRule="auto"/>
        <w:rPr>
          <w:sz w:val="20"/>
          <w:szCs w:val="20"/>
          <w:color w:val="auto"/>
        </w:rPr>
      </w:pPr>
      <w:r>
        <w:rPr>
          <w:rFonts w:ascii="Times New Roman" w:cs="Times New Roman" w:eastAsia="Times New Roman" w:hAnsi="Times New Roman"/>
          <w:sz w:val="14"/>
          <w:szCs w:val="14"/>
          <w:color w:val="auto"/>
        </w:rPr>
        <w:t>If a Person or group becomes an Acquiring Person at any time after the date of the Rights Agreement (with certain limited exceptions), the Rights will become exercisable for Common Shares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of Directors so elects, the Company may deliver upon payment of the exercise price of a Right an amount of cash, securities or other property equivalent in value to the Common Shares issuable upon exercise of a Right.</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Exchange</w:t>
      </w:r>
    </w:p>
    <w:p>
      <w:pPr>
        <w:spacing w:after="0" w:line="99"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At any time after any Person becomes an Acquiring Person, the Board of Directors may exchange the Rights (other than Rights owned by any Person which have become void), in whole or in part, at an exchange ratio of one Common Share per Right (subject to adjustment). The Company may issue, transfer or deposit such Common Shares (or other property as permitted under the Rights Agreement) to or into a trust or other entity created upon such terms as the Board of Directors may determine and may direct that all holders of Rights receive such Common Shares or other property only from the trust or other entity. In the event that the Board of Directors determines, before the Distribution Date, to effect an exchange, the Board of Directors may delay the occurrence of the Distribution Date to such time as it deems advisable.</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Flip-over Event</w:t>
      </w:r>
    </w:p>
    <w:p>
      <w:pPr>
        <w:spacing w:after="0" w:line="99" w:lineRule="exact"/>
        <w:rPr>
          <w:sz w:val="20"/>
          <w:szCs w:val="20"/>
          <w:color w:val="auto"/>
        </w:rPr>
      </w:pPr>
    </w:p>
    <w:p>
      <w:pPr>
        <w:ind w:left="120" w:right="119" w:firstLine="351"/>
        <w:spacing w:after="0" w:line="264" w:lineRule="auto"/>
        <w:rPr>
          <w:sz w:val="20"/>
          <w:szCs w:val="20"/>
          <w:color w:val="auto"/>
        </w:rPr>
      </w:pPr>
      <w:r>
        <w:rPr>
          <w:rFonts w:ascii="Times New Roman" w:cs="Times New Roman" w:eastAsia="Times New Roman" w:hAnsi="Times New Roman"/>
          <w:sz w:val="14"/>
          <w:szCs w:val="14"/>
          <w:color w:val="auto"/>
        </w:rPr>
        <w:t>If, at any time after a Person becomes an Acquiring Person, (i) the Company consolidates with, or merges with, any other Person (or any Person consolidates with, or merges with, the Company) and, in connection with such consolidation or merger, all or part of the Common Shares are or will be changed into or exchanged for stock or other securities of any other Person or cash or any other property or (ii) 50% or more of the Company’s consolidated assets or Earning Power (as defined in the Rights Agreement) is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ectPr>
          <w:pgSz w:w="11900" w:h="16838" w:orient="portrait"/>
          <w:cols w:equalWidth="0" w:num="1">
            <w:col w:w="9019"/>
          </w:cols>
          <w:pgMar w:left="1440" w:top="243" w:right="1440" w:bottom="1440" w:gutter="0" w:footer="0" w:header="0"/>
        </w:sectPr>
      </w:pPr>
    </w:p>
    <w:bookmarkStart w:id="47" w:name="page48"/>
    <w:bookmarkEnd w:id="47"/>
    <w:p>
      <w:pPr>
        <w:ind w:left="1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Redemption</w:t>
      </w:r>
    </w:p>
    <w:p>
      <w:pPr>
        <w:spacing w:after="0" w:line="99" w:lineRule="exact"/>
        <w:rPr>
          <w:sz w:val="20"/>
          <w:szCs w:val="20"/>
          <w:color w:val="auto"/>
        </w:rPr>
      </w:pPr>
    </w:p>
    <w:p>
      <w:pPr>
        <w:ind w:left="120" w:right="279" w:firstLine="351"/>
        <w:spacing w:after="0" w:line="264" w:lineRule="auto"/>
        <w:rPr>
          <w:sz w:val="20"/>
          <w:szCs w:val="20"/>
          <w:color w:val="auto"/>
        </w:rPr>
      </w:pPr>
      <w:r>
        <w:rPr>
          <w:rFonts w:ascii="Times New Roman" w:cs="Times New Roman" w:eastAsia="Times New Roman" w:hAnsi="Times New Roman"/>
          <w:sz w:val="14"/>
          <w:szCs w:val="14"/>
          <w:color w:val="auto"/>
        </w:rPr>
        <w:t>At any time prior to the earlier to occur of (i) the Close of Business on the tenth day following the Stock Acquisition Date (or, if the tenth day following the Stock Acquisition Date occurs before the Record Date, the Close of Business on the Record Date) and (ii) the Final Expiration Date, the Board of Directors may redeem the Rights in whole, but not in part, at a price of $0.001 per Right (the “Redemption Price”).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Amendment</w:t>
      </w:r>
    </w:p>
    <w:p>
      <w:pPr>
        <w:spacing w:after="0" w:line="99" w:lineRule="exact"/>
        <w:rPr>
          <w:sz w:val="20"/>
          <w:szCs w:val="20"/>
          <w:color w:val="auto"/>
        </w:rPr>
      </w:pPr>
    </w:p>
    <w:p>
      <w:pPr>
        <w:jc w:val="both"/>
        <w:ind w:left="120" w:right="199" w:firstLine="351"/>
        <w:spacing w:after="0" w:line="269" w:lineRule="auto"/>
        <w:rPr>
          <w:sz w:val="20"/>
          <w:szCs w:val="20"/>
          <w:color w:val="auto"/>
        </w:rPr>
      </w:pPr>
      <w:r>
        <w:rPr>
          <w:rFonts w:ascii="Times New Roman" w:cs="Times New Roman" w:eastAsia="Times New Roman" w:hAnsi="Times New Roman"/>
          <w:sz w:val="14"/>
          <w:szCs w:val="14"/>
          <w:color w:val="auto"/>
        </w:rPr>
        <w:t>The terms of the Rights may be amended by the Board of Directors without the consent of the holders of the Rights, except that at any time after the Close of Business on the tenth day following the Stock Acquisition Date (or, if the tenth day following the Stock Acquisition Date occurs before the Record Date, the Close of Business on the Record Date), no such amendment may adversely affect the interests of the holders of the Rights (other than the Acquiring Person and its Affiliates and Associates).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Preferred Stock Rights</w:t>
      </w:r>
    </w:p>
    <w:p>
      <w:pPr>
        <w:spacing w:after="0" w:line="99" w:lineRule="exact"/>
        <w:rPr>
          <w:sz w:val="20"/>
          <w:szCs w:val="20"/>
          <w:color w:val="auto"/>
        </w:rPr>
      </w:pPr>
    </w:p>
    <w:p>
      <w:pPr>
        <w:ind w:left="120" w:right="479" w:firstLine="351"/>
        <w:spacing w:after="0" w:line="294" w:lineRule="auto"/>
        <w:rPr>
          <w:sz w:val="20"/>
          <w:szCs w:val="20"/>
          <w:color w:val="auto"/>
        </w:rPr>
      </w:pPr>
      <w:r>
        <w:rPr>
          <w:rFonts w:ascii="Times New Roman" w:cs="Times New Roman" w:eastAsia="Times New Roman" w:hAnsi="Times New Roman"/>
          <w:sz w:val="14"/>
          <w:szCs w:val="14"/>
          <w:color w:val="auto"/>
        </w:rPr>
        <w:t>Each one-thousandth of a Preferred Share will entitle the holder thereof to the same dividends and liquidation rights as if the holder held one Common Share and will be treated the same as a Common Share in the event of a merger, consolidation or other share exchange.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Rights of Holders</w:t>
      </w:r>
    </w:p>
    <w:p>
      <w:pPr>
        <w:spacing w:after="0" w:line="99" w:lineRule="exact"/>
        <w:rPr>
          <w:sz w:val="20"/>
          <w:szCs w:val="20"/>
          <w:color w:val="auto"/>
        </w:rPr>
      </w:pPr>
    </w:p>
    <w:p>
      <w:pPr>
        <w:ind w:left="120" w:right="179" w:firstLine="351"/>
        <w:spacing w:after="0" w:line="294" w:lineRule="auto"/>
        <w:rPr>
          <w:sz w:val="20"/>
          <w:szCs w:val="20"/>
          <w:color w:val="auto"/>
        </w:rPr>
      </w:pPr>
      <w:r>
        <w:rPr>
          <w:rFonts w:ascii="Times New Roman" w:cs="Times New Roman" w:eastAsia="Times New Roman" w:hAnsi="Times New Roman"/>
          <w:sz w:val="14"/>
          <w:szCs w:val="14"/>
          <w:color w:val="auto"/>
        </w:rPr>
        <w:t>Until a Right is exercised, the holder thereof, as such, will have no rights as a stockholder of the Company, including, without limitation, the right to vote or to receive dividends.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Our Certificate of Incorporation and Our Bylaws</w:t>
      </w:r>
    </w:p>
    <w:p>
      <w:pPr>
        <w:spacing w:after="0" w:line="99" w:lineRule="exact"/>
        <w:rPr>
          <w:sz w:val="20"/>
          <w:szCs w:val="20"/>
          <w:color w:val="auto"/>
        </w:rPr>
      </w:pPr>
    </w:p>
    <w:p>
      <w:pPr>
        <w:ind w:left="120" w:right="159" w:firstLine="351"/>
        <w:spacing w:after="0" w:line="266" w:lineRule="auto"/>
        <w:rPr>
          <w:sz w:val="20"/>
          <w:szCs w:val="20"/>
          <w:color w:val="auto"/>
        </w:rPr>
      </w:pPr>
      <w:r>
        <w:rPr>
          <w:rFonts w:ascii="Times New Roman" w:cs="Times New Roman" w:eastAsia="Times New Roman" w:hAnsi="Times New Roman"/>
          <w:sz w:val="14"/>
          <w:szCs w:val="14"/>
          <w:color w:val="auto"/>
        </w:rPr>
        <w:t>Some provisions of Delaware law, our Certificate of Incorporation and our Bylaws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42" w:lineRule="exact"/>
        <w:rPr>
          <w:sz w:val="20"/>
          <w:szCs w:val="20"/>
          <w:color w:val="auto"/>
        </w:rPr>
      </w:pPr>
    </w:p>
    <w:p>
      <w:pPr>
        <w:ind w:left="120" w:right="139" w:firstLine="351"/>
        <w:spacing w:after="0" w:line="269" w:lineRule="auto"/>
        <w:rPr>
          <w:sz w:val="20"/>
          <w:szCs w:val="20"/>
          <w:color w:val="auto"/>
        </w:rPr>
      </w:pPr>
      <w:r>
        <w:rPr>
          <w:rFonts w:ascii="Times New Roman" w:cs="Times New Roman" w:eastAsia="Times New Roman" w:hAnsi="Times New Roman"/>
          <w:sz w:val="14"/>
          <w:szCs w:val="14"/>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Delaware Law</w:t>
      </w:r>
    </w:p>
    <w:p>
      <w:pPr>
        <w:spacing w:after="0" w:line="99" w:lineRule="exact"/>
        <w:rPr>
          <w:sz w:val="20"/>
          <w:szCs w:val="20"/>
          <w:color w:val="auto"/>
        </w:rPr>
      </w:pPr>
    </w:p>
    <w:p>
      <w:pPr>
        <w:ind w:left="120" w:right="479" w:firstLine="351"/>
        <w:spacing w:after="0" w:line="294" w:lineRule="auto"/>
        <w:rPr>
          <w:sz w:val="20"/>
          <w:szCs w:val="20"/>
          <w:color w:val="auto"/>
        </w:rPr>
      </w:pPr>
      <w:r>
        <w:rPr>
          <w:rFonts w:ascii="Times New Roman" w:cs="Times New Roman" w:eastAsia="Times New Roman" w:hAnsi="Times New Roman"/>
          <w:sz w:val="14"/>
          <w:szCs w:val="14"/>
          <w:color w:val="auto"/>
        </w:rPr>
        <w:t>Section 203 of the DGCL prohibits a Delaware corporation from engaging in any business combination with any interested stockholder for a period of three years following the date that the stockholder became an interested stockholder, unless:</w:t>
      </w:r>
    </w:p>
    <w:p>
      <w:pPr>
        <w:spacing w:after="0" w:line="47" w:lineRule="exact"/>
        <w:rPr>
          <w:sz w:val="20"/>
          <w:szCs w:val="20"/>
          <w:color w:val="auto"/>
        </w:rPr>
      </w:pPr>
    </w:p>
    <w:p>
      <w:pPr>
        <w:ind w:left="880" w:hanging="339"/>
        <w:spacing w:after="0"/>
        <w:tabs>
          <w:tab w:leader="none" w:pos="8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approved by the board of directors before the date the interested stockholder attained that status;</w:t>
      </w:r>
    </w:p>
    <w:p>
      <w:pPr>
        <w:spacing w:after="0" w:line="108" w:lineRule="exact"/>
        <w:rPr>
          <w:rFonts w:ascii="Times New Roman" w:cs="Times New Roman" w:eastAsia="Times New Roman" w:hAnsi="Times New Roman"/>
          <w:sz w:val="14"/>
          <w:szCs w:val="14"/>
          <w:color w:val="auto"/>
        </w:rPr>
      </w:pPr>
    </w:p>
    <w:p>
      <w:pPr>
        <w:ind w:left="880" w:right="519" w:hanging="339"/>
        <w:spacing w:after="0" w:line="294" w:lineRule="auto"/>
        <w:tabs>
          <w:tab w:leader="none" w:pos="8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ectPr>
          <w:pgSz w:w="11900" w:h="16838" w:orient="portrait"/>
          <w:cols w:equalWidth="0" w:num="1">
            <w:col w:w="9019"/>
          </w:cols>
          <w:pgMar w:left="1440" w:top="241" w:right="1440" w:bottom="1440" w:gutter="0" w:footer="0" w:header="0"/>
        </w:sectPr>
      </w:pPr>
    </w:p>
    <w:bookmarkStart w:id="48" w:name="page49"/>
    <w:bookmarkEnd w:id="48"/>
    <w:p>
      <w:pPr>
        <w:ind w:left="880" w:right="159" w:hanging="339"/>
        <w:spacing w:after="0" w:line="294" w:lineRule="auto"/>
        <w:tabs>
          <w:tab w:leader="none" w:pos="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on or after such time the business combination is approved by the board of directors and authorized at a meeting of stockholders by at least two-thirds of the outstanding voting stock that is not owned by the interested stockholder.</w:t>
      </w:r>
    </w:p>
    <w:p>
      <w:pPr>
        <w:spacing w:after="0" w:line="123" w:lineRule="exact"/>
        <w:rPr>
          <w:sz w:val="20"/>
          <w:szCs w:val="20"/>
          <w:color w:val="auto"/>
        </w:rPr>
      </w:pPr>
    </w:p>
    <w:p>
      <w:pPr>
        <w:ind w:left="120" w:right="319" w:firstLine="351"/>
        <w:spacing w:after="0" w:line="266" w:lineRule="auto"/>
        <w:rPr>
          <w:sz w:val="20"/>
          <w:szCs w:val="20"/>
          <w:color w:val="auto"/>
        </w:rPr>
      </w:pPr>
      <w:r>
        <w:rPr>
          <w:rFonts w:ascii="Times New Roman" w:cs="Times New Roman" w:eastAsia="Times New Roman" w:hAnsi="Times New Roman"/>
          <w:sz w:val="14"/>
          <w:szCs w:val="14"/>
          <w:color w:val="auto"/>
        </w:rPr>
        <w:t>An interested stockholder is defined as a person who, together with any affiliates or associates of such person, beneficially owns, directly or indirectly, 15% or more of the outstanding voting shares of a Delaware corporation. The term “business combination” is broadly defined to include a broad array of transactions, including mergers, consolidations, sales or other dispositions of assets having a total value in excess of 10% of the consolidated assets of the corporation or all of the outstanding stock of the corporation, and some other transactions that would increase the interested stockholder’s proportionate share ownership in the corporation.</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Our Certificate of Incorporation and Our Bylaws</w:t>
      </w:r>
    </w:p>
    <w:p>
      <w:pPr>
        <w:spacing w:after="0" w:line="99" w:lineRule="exact"/>
        <w:rPr>
          <w:sz w:val="20"/>
          <w:szCs w:val="20"/>
          <w:color w:val="auto"/>
        </w:rPr>
      </w:pPr>
    </w:p>
    <w:p>
      <w:pPr>
        <w:ind w:left="120" w:right="259" w:firstLine="351"/>
        <w:spacing w:after="0" w:line="272" w:lineRule="auto"/>
        <w:rPr>
          <w:sz w:val="20"/>
          <w:szCs w:val="20"/>
          <w:color w:val="auto"/>
        </w:rPr>
      </w:pPr>
      <w:r>
        <w:rPr>
          <w:rFonts w:ascii="Times New Roman" w:cs="Times New Roman" w:eastAsia="Times New Roman" w:hAnsi="Times New Roman"/>
          <w:sz w:val="14"/>
          <w:szCs w:val="14"/>
          <w:color w:val="auto"/>
        </w:rPr>
        <w:t>Provisions of our Certificate of Incorporation and our Bylaws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Among other things, our Certificate of Incorporation and Bylaws:</w:t>
      </w:r>
    </w:p>
    <w:p>
      <w:pPr>
        <w:spacing w:after="0" w:line="108" w:lineRule="exact"/>
        <w:rPr>
          <w:sz w:val="20"/>
          <w:szCs w:val="20"/>
          <w:color w:val="auto"/>
        </w:rPr>
      </w:pPr>
    </w:p>
    <w:p>
      <w:pPr>
        <w:ind w:left="880" w:right="299" w:hanging="339"/>
        <w:spacing w:after="0" w:line="275" w:lineRule="auto"/>
        <w:tabs>
          <w:tab w:leader="none" w:pos="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division of the Board of Directors into three classes, each class consisting as nearly as possible of one-third of the whole. The term of office of one class of directors expires each year; with each class of directors elected for a term of three years and until the stockholders elect their qualified successors;</w:t>
      </w:r>
    </w:p>
    <w:p>
      <w:pPr>
        <w:spacing w:after="0" w:line="60" w:lineRule="exact"/>
        <w:rPr>
          <w:rFonts w:ascii="Times New Roman" w:cs="Times New Roman" w:eastAsia="Times New Roman" w:hAnsi="Times New Roman"/>
          <w:sz w:val="14"/>
          <w:szCs w:val="14"/>
          <w:color w:val="auto"/>
        </w:rPr>
      </w:pPr>
    </w:p>
    <w:p>
      <w:pPr>
        <w:ind w:left="880" w:right="139" w:hanging="339"/>
        <w:spacing w:after="0" w:line="275" w:lineRule="auto"/>
        <w:tabs>
          <w:tab w:leader="none" w:pos="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or, if applicable, the rights of holders of a series of preferred stock, be filled by a majority of directors then in office, even if less than a quorum, or by the sole remaining director;</w:t>
      </w:r>
    </w:p>
    <w:p>
      <w:pPr>
        <w:spacing w:after="0" w:line="60" w:lineRule="exact"/>
        <w:rPr>
          <w:rFonts w:ascii="Times New Roman" w:cs="Times New Roman" w:eastAsia="Times New Roman" w:hAnsi="Times New Roman"/>
          <w:sz w:val="14"/>
          <w:szCs w:val="14"/>
          <w:color w:val="auto"/>
        </w:rPr>
      </w:pPr>
    </w:p>
    <w:p>
      <w:pPr>
        <w:ind w:left="880" w:right="219" w:hanging="339"/>
        <w:spacing w:after="0" w:line="263" w:lineRule="auto"/>
        <w:tabs>
          <w:tab w:leader="none" w:pos="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 the affirmative vote of not less than two-thirds of the outstanding voting stock, voting as a single class, is required to amend the provisions of our Certificate of Incorporation governing our classified Board of Directors, the supermajority vote requirement for mergers and bylaw amendments, or to adopt any provision inconsistent therewith, (b) our Bylaws may be amended by a vote of a majority of the directors then in office or by a vote of the holders of two-thirds of the outstanding voting stock entitled to vote for the election of directors, and (c) certain provisions of our Bylaws (relating to director terms, vacancies and bylaw amendments) may be amended only by a vote of two-thirds of the entire Board of Directors or by a vote of two-thirds of the outstanding voting stock entitled to vote for the election of directors;</w:t>
      </w:r>
    </w:p>
    <w:p>
      <w:pPr>
        <w:spacing w:after="0" w:line="68" w:lineRule="exact"/>
        <w:rPr>
          <w:rFonts w:ascii="Times New Roman" w:cs="Times New Roman" w:eastAsia="Times New Roman" w:hAnsi="Times New Roman"/>
          <w:sz w:val="14"/>
          <w:szCs w:val="14"/>
          <w:color w:val="auto"/>
        </w:rPr>
      </w:pPr>
    </w:p>
    <w:p>
      <w:pPr>
        <w:ind w:left="880" w:right="299" w:hanging="339"/>
        <w:spacing w:after="0" w:line="269" w:lineRule="auto"/>
        <w:tabs>
          <w:tab w:leader="none" w:pos="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only by our chairman, by a majority of the directors then in office, or by our chairman upon receipt of a written request to do so signed by holders of record of two-thirds of the shares of stock that would be entitled to be voted on such matter or matters if the meeting was held on the day such request is received and the record date for such meeting was the close of business on the preceding day;</w:t>
      </w:r>
    </w:p>
    <w:p>
      <w:pPr>
        <w:spacing w:after="0" w:line="64" w:lineRule="exact"/>
        <w:rPr>
          <w:rFonts w:ascii="Times New Roman" w:cs="Times New Roman" w:eastAsia="Times New Roman" w:hAnsi="Times New Roman"/>
          <w:sz w:val="14"/>
          <w:szCs w:val="14"/>
          <w:color w:val="auto"/>
        </w:rPr>
      </w:pPr>
    </w:p>
    <w:p>
      <w:pPr>
        <w:ind w:left="880" w:right="159" w:hanging="339"/>
        <w:spacing w:after="0" w:line="260" w:lineRule="auto"/>
        <w:tabs>
          <w:tab w:leader="none" w:pos="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unless we consent in writing to the selection of an alternative forum, (i) the Court of Chancery of the State of Delaware will be the sole and exclusive forum for (a) any derivative claim brought in the right of the Company, (b) any action asserting a claim of breach of a fiduciary duty owed by any of our current or former directors, officers, or other employees or stockholders, (c) any action asserting a claim arising pursuant to any provision of the DGCL, the Certificate of Incorporation or the Bylaws, (d) any action to interpret, apply, enforce or determine the validity of the Bylaws, (e) any action asserting a claim governed by the internal affairs doctrine, or (f) any other claim, not subject to exclusive federal jurisdiction, brought in any action asserting one or more of the claims specified in clauses</w:t>
      </w:r>
    </w:p>
    <w:p>
      <w:pPr>
        <w:spacing w:after="0" w:line="1" w:lineRule="exact"/>
        <w:rPr>
          <w:rFonts w:ascii="Times New Roman" w:cs="Times New Roman" w:eastAsia="Times New Roman" w:hAnsi="Times New Roman"/>
          <w:sz w:val="14"/>
          <w:szCs w:val="14"/>
          <w:color w:val="auto"/>
        </w:rPr>
      </w:pPr>
    </w:p>
    <w:p>
      <w:pPr>
        <w:jc w:val="both"/>
        <w:ind w:left="880" w:right="239"/>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through (e);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foregoing will not apply to claims brought to enforce any liability or duty created by the Exchange Act, and (ii) the federal district courts of the United States shall be the exclusive forum for the resolution of any complaint asserting a cause of action arising under the Securities Act of 1933, as amended (the “Securities Act”);</w:t>
      </w:r>
    </w:p>
    <w:p>
      <w:pPr>
        <w:sectPr>
          <w:pgSz w:w="11900" w:h="16838" w:orient="portrait"/>
          <w:cols w:equalWidth="0" w:num="1">
            <w:col w:w="9019"/>
          </w:cols>
          <w:pgMar w:left="1440" w:top="243" w:right="1440" w:bottom="1440" w:gutter="0" w:footer="0" w:header="0"/>
        </w:sectPr>
      </w:pPr>
    </w:p>
    <w:bookmarkStart w:id="49" w:name="page50"/>
    <w:bookmarkEnd w:id="49"/>
    <w:p>
      <w:pPr>
        <w:ind w:left="880" w:right="259" w:hanging="339"/>
        <w:spacing w:after="0" w:line="261" w:lineRule="auto"/>
        <w:tabs>
          <w:tab w:leader="none" w:pos="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provide that the affirmative vote of the holders of not less than two-thirds of the outstanding voting stock of the Company voting as a single class shall be required for the approval or authorization of any (i) merger or consolidation of the Company with or into any other corporation, or (ii) sale, lease or exchange of all or substantially all of the assets of the Company to or with any other corporation, person or entity;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such two-thirds voting requirement shall not be applicable if (a) the Company is merged with a corporation in which at least two-thirds of the outstanding shares of each class of stock of such corporation is owned by the Company, or (b) if a transaction described in clauses (i) or (ii) above has been approved by a vote of at least a majority of the members of the Board of Directors. If such two-thirds voting requirement of the outstanding voting stock of the Company shall not be applicable under the provisions of clauses (a) or (b) above, then in such event transactions specified in (i) or (ii) above shall require only such affirmative vote as is required by law, regulation or any other provision of our Certificate of Incorporation; and</w:t>
      </w:r>
    </w:p>
    <w:p>
      <w:pPr>
        <w:spacing w:after="0" w:line="72" w:lineRule="exact"/>
        <w:rPr>
          <w:rFonts w:ascii="Times New Roman" w:cs="Times New Roman" w:eastAsia="Times New Roman" w:hAnsi="Times New Roman"/>
          <w:sz w:val="14"/>
          <w:szCs w:val="14"/>
          <w:color w:val="auto"/>
        </w:rPr>
      </w:pPr>
    </w:p>
    <w:p>
      <w:pPr>
        <w:ind w:left="880" w:hanging="339"/>
        <w:spacing w:after="0"/>
        <w:tabs>
          <w:tab w:leader="none" w:pos="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Bylaws can be amended by our Board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Limitations of Liability and Indemnification Matters</w:t>
      </w:r>
    </w:p>
    <w:p>
      <w:pPr>
        <w:spacing w:after="0" w:line="99" w:lineRule="exact"/>
        <w:rPr>
          <w:sz w:val="20"/>
          <w:szCs w:val="20"/>
          <w:color w:val="auto"/>
        </w:rPr>
      </w:pPr>
    </w:p>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t>Our Certificate of Incorporation limits the liability of our directors for monetary damages for breach of their fiduciary duty as directors, except for liability that cannot be eliminated under the DGCL. Delaware law provides that directors of a company will not be personally liable for monetary damages for breach of their fiduciary duty as directors, except for liabilities:</w:t>
      </w:r>
    </w:p>
    <w:p>
      <w:pPr>
        <w:spacing w:after="0" w:line="60" w:lineRule="exact"/>
        <w:rPr>
          <w:sz w:val="20"/>
          <w:szCs w:val="20"/>
          <w:color w:val="auto"/>
        </w:rPr>
      </w:pPr>
    </w:p>
    <w:p>
      <w:pPr>
        <w:ind w:left="880" w:hanging="339"/>
        <w:spacing w:after="0"/>
        <w:tabs>
          <w:tab w:leader="none" w:pos="8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their duty of loyalty to us or our stockholders;</w:t>
      </w:r>
    </w:p>
    <w:p>
      <w:pPr>
        <w:spacing w:after="0" w:line="108" w:lineRule="exact"/>
        <w:rPr>
          <w:rFonts w:ascii="Times New Roman" w:cs="Times New Roman" w:eastAsia="Times New Roman" w:hAnsi="Times New Roman"/>
          <w:sz w:val="14"/>
          <w:szCs w:val="14"/>
          <w:color w:val="auto"/>
        </w:rPr>
      </w:pPr>
    </w:p>
    <w:p>
      <w:pPr>
        <w:ind w:left="880" w:hanging="339"/>
        <w:spacing w:after="0"/>
        <w:tabs>
          <w:tab w:leader="none" w:pos="8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intentional misconduct or a knowing violation of law;</w:t>
      </w:r>
    </w:p>
    <w:p>
      <w:pPr>
        <w:spacing w:after="0" w:line="108" w:lineRule="exact"/>
        <w:rPr>
          <w:rFonts w:ascii="Times New Roman" w:cs="Times New Roman" w:eastAsia="Times New Roman" w:hAnsi="Times New Roman"/>
          <w:sz w:val="14"/>
          <w:szCs w:val="14"/>
          <w:color w:val="auto"/>
        </w:rPr>
      </w:pPr>
    </w:p>
    <w:p>
      <w:pPr>
        <w:ind w:left="880" w:hanging="339"/>
        <w:spacing w:after="0"/>
        <w:tabs>
          <w:tab w:leader="none" w:pos="8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unlawful payment of dividend or unlawful stock repurchase or redemption, as provided under Section 174 of the DGCL; or</w:t>
      </w:r>
    </w:p>
    <w:p>
      <w:pPr>
        <w:spacing w:after="0" w:line="108" w:lineRule="exact"/>
        <w:rPr>
          <w:rFonts w:ascii="Times New Roman" w:cs="Times New Roman" w:eastAsia="Times New Roman" w:hAnsi="Times New Roman"/>
          <w:sz w:val="14"/>
          <w:szCs w:val="14"/>
          <w:color w:val="auto"/>
        </w:rPr>
      </w:pPr>
    </w:p>
    <w:p>
      <w:pPr>
        <w:ind w:left="880" w:hanging="339"/>
        <w:spacing w:after="0"/>
        <w:tabs>
          <w:tab w:leader="none" w:pos="8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derived an improper personal benefit.</w:t>
      </w:r>
    </w:p>
    <w:p>
      <w:pPr>
        <w:spacing w:after="0" w:line="184" w:lineRule="exact"/>
        <w:rPr>
          <w:sz w:val="20"/>
          <w:szCs w:val="20"/>
          <w:color w:val="auto"/>
        </w:rPr>
      </w:pPr>
    </w:p>
    <w:p>
      <w:pPr>
        <w:ind w:left="120" w:right="259" w:firstLine="351"/>
        <w:spacing w:after="0" w:line="294" w:lineRule="auto"/>
        <w:rPr>
          <w:sz w:val="20"/>
          <w:szCs w:val="20"/>
          <w:color w:val="auto"/>
        </w:rPr>
      </w:pPr>
      <w:r>
        <w:rPr>
          <w:rFonts w:ascii="Times New Roman" w:cs="Times New Roman" w:eastAsia="Times New Roman" w:hAnsi="Times New Roman"/>
          <w:sz w:val="14"/>
          <w:szCs w:val="14"/>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2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Our Bylaws also provide that we will indemnify our directors and officers to the fullest extent permitted by Delaware law. If Delaware law is amended to authorize corporate action further eliminating or limiting the personal liability of a director, then the liability of our directors will be eliminated or limited to the fullest extent permitted by Delaware law, as so amended. Our Bylaws also permit us to purchase insurance on behalf of any officer, director, employee or other agent for any liability arising out of that person’s actions as our officer, director, employee or agent, regardless of whether Delaware law would permit indemnification. We have entered into indemnification agreements with each of our directors and officers. These agreements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the Certificate of Incorporation and the indemnification agreements facilitates our ability to continue to attract and retain qualified individuals to serve as directors and officers.</w:t>
      </w:r>
    </w:p>
    <w:p>
      <w:pPr>
        <w:spacing w:after="0" w:line="147"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ectPr>
          <w:pgSz w:w="11900" w:h="16838" w:orient="portrait"/>
          <w:cols w:equalWidth="0" w:num="1">
            <w:col w:w="9019"/>
          </w:cols>
          <w:pgMar w:left="1440" w:top="243" w:right="1440" w:bottom="1440" w:gutter="0" w:footer="0" w:header="0"/>
        </w:sectPr>
      </w:pPr>
    </w:p>
    <w:bookmarkStart w:id="50" w:name="page51"/>
    <w:bookmarkEnd w:id="50"/>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LSB INDUSTRIES,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8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Dated as of ___________, 20___</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Trustee</w:t>
      </w:r>
    </w:p>
    <w:p>
      <w:pPr>
        <w:sectPr>
          <w:pgSz w:w="11900" w:h="16838" w:orient="portrait"/>
          <w:cols w:equalWidth="0" w:num="1">
            <w:col w:w="9019"/>
          </w:cols>
          <w:pgMar w:left="1440" w:top="123"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50"/>
        </w:trPr>
        <w:tc>
          <w:tcPr>
            <w:tcW w:w="1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4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 AND INCORPORATION BY REFERENCE</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Definitions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Definitions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Incorporation by Reference of Trust Indenture Act</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Rules of Construction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5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SECURITIES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Issuable in Series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Establishment of Terms of Series of Securities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Registrar, Paying Agent and Notice Agent</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Paying Agent to Hold Money in Trust</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Holder Lists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2.7</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Transfer and Exchange</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2.8</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Mutilated, Destroyed, Lost and Stolen Securities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2.9</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Outstanding Securities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Treasury Securities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2.11</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Temporary Securities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2.12</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Cancellation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2.13</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Defaulted Interest</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2.14</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Global Securities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2.15</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CUSIP Numbers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REDEMPTION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 to Trustee</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Selection of Securities to be Redeemed</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3.3</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 of Redemption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3.4</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 of Notice of Redemption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3.5</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3.6</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COVENANTS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Principal and Interest</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 Reports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Compliance Certificate</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4.4</w:t>
            </w:r>
          </w:p>
        </w:tc>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Stay, Extension and Usury Laws</w:t>
            </w:r>
          </w:p>
        </w:tc>
        <w:tc>
          <w:tcPr>
            <w:tcW w:w="4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91"/>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40" w:type="dxa"/>
            <w:vAlign w:val="bottom"/>
          </w:tcPr>
          <w:p>
            <w:pPr>
              <w:jc w:val="right"/>
              <w:ind w:right="4209"/>
              <w:spacing w:after="0"/>
              <w:rPr>
                <w:sz w:val="20"/>
                <w:szCs w:val="20"/>
                <w:color w:val="auto"/>
              </w:rPr>
            </w:pPr>
            <w:r>
              <w:rPr>
                <w:rFonts w:ascii="Times New Roman" w:cs="Times New Roman" w:eastAsia="Times New Roman" w:hAnsi="Times New Roman"/>
                <w:sz w:val="14"/>
                <w:szCs w:val="14"/>
                <w:color w:val="auto"/>
              </w:rPr>
              <w:t>-i-</w:t>
            </w:r>
          </w:p>
        </w:tc>
      </w:tr>
    </w:tbl>
    <w:p>
      <w:pPr>
        <w:sectPr>
          <w:pgSz w:w="11900" w:h="16838" w:orient="portrait"/>
          <w:cols w:equalWidth="0" w:num="1">
            <w:col w:w="9019"/>
          </w:cols>
          <w:pgMar w:left="1440" w:top="241" w:right="1440"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98995" cy="3302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74"/>
        </w:trPr>
        <w:tc>
          <w:tcPr>
            <w:tcW w:w="1140" w:type="dxa"/>
            <w:vAlign w:val="bottom"/>
          </w:tcPr>
          <w:p>
            <w:pPr>
              <w:spacing w:after="0"/>
              <w:rPr>
                <w:sz w:val="15"/>
                <w:szCs w:val="15"/>
                <w:color w:val="auto"/>
              </w:rPr>
            </w:pPr>
          </w:p>
        </w:tc>
        <w:tc>
          <w:tcPr>
            <w:tcW w:w="5680" w:type="dxa"/>
            <w:vAlign w:val="bottom"/>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920" w:type="dxa"/>
            <w:vAlign w:val="bottom"/>
          </w:tcPr>
          <w:p>
            <w:pPr>
              <w:spacing w:after="0"/>
              <w:rPr>
                <w:sz w:val="15"/>
                <w:szCs w:val="15"/>
                <w:color w:val="auto"/>
              </w:rPr>
            </w:pPr>
          </w:p>
        </w:tc>
      </w:tr>
      <w:tr>
        <w:trPr>
          <w:trHeight w:val="186"/>
        </w:trPr>
        <w:tc>
          <w:tcPr>
            <w:tcW w:w="1140" w:type="dxa"/>
            <w:vAlign w:val="bottom"/>
          </w:tcPr>
          <w:p>
            <w:pPr>
              <w:spacing w:after="0"/>
              <w:rPr>
                <w:sz w:val="16"/>
                <w:szCs w:val="16"/>
                <w:color w:val="auto"/>
              </w:rPr>
            </w:pPr>
          </w:p>
        </w:tc>
        <w:tc>
          <w:tcPr>
            <w:tcW w:w="568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(continued)</w:t>
            </w:r>
          </w:p>
        </w:tc>
        <w:tc>
          <w:tcPr>
            <w:tcW w:w="1920" w:type="dxa"/>
            <w:vAlign w:val="bottom"/>
          </w:tcPr>
          <w:p>
            <w:pPr>
              <w:spacing w:after="0"/>
              <w:rPr>
                <w:sz w:val="16"/>
                <w:szCs w:val="16"/>
                <w:color w:val="auto"/>
              </w:rPr>
            </w:pPr>
          </w:p>
        </w:tc>
      </w:tr>
      <w:tr>
        <w:trPr>
          <w:trHeight w:val="337"/>
        </w:trPr>
        <w:tc>
          <w:tcPr>
            <w:tcW w:w="11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45"/>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SUCCESSORS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When Company May Merge,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Successor Corporation Substituted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58"/>
        </w:trPr>
        <w:tc>
          <w:tcPr>
            <w:tcW w:w="6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ARTICLE VI. DEFAULTS AND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Events of Default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Acceleration of Maturity; Rescission and Annulment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Trustee May Enforce Claims Without Possession of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Limitation on Suits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6.8</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Unconditional Right of Holders to Receive Principal and Interest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6.9</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6.10</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Rights and Remedies Cumulative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6.11</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Delay or Omission Not Waiver</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6.12</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Control by 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6.13</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Waiver of Past Defaults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6.14</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Undertaking for Costs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8"/>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Duties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Rights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7.3</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Individual Rights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7.4</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Trustee’s Disclaimer</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7.5</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 of Defaults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7.6</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Reports by Trustee to 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7.7</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 and Indemnity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7.8</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Replacement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7.9</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Successor Trustee by Merger,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7.10</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7.11</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8"/>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SATISFACTION AND DISCHARGE; DEFEASANCE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91"/>
        </w:trPr>
        <w:tc>
          <w:tcPr>
            <w:tcW w:w="1140" w:type="dxa"/>
            <w:vAlign w:val="bottom"/>
          </w:tcPr>
          <w:p>
            <w:pPr>
              <w:spacing w:after="0"/>
              <w:rPr>
                <w:sz w:val="24"/>
                <w:szCs w:val="24"/>
                <w:color w:val="auto"/>
              </w:rPr>
            </w:pPr>
          </w:p>
        </w:tc>
        <w:tc>
          <w:tcPr>
            <w:tcW w:w="568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-ii-</w:t>
            </w:r>
          </w:p>
        </w:tc>
        <w:tc>
          <w:tcPr>
            <w:tcW w:w="1920" w:type="dxa"/>
            <w:vAlign w:val="bottom"/>
          </w:tcPr>
          <w:p>
            <w:pPr>
              <w:spacing w:after="0"/>
              <w:rPr>
                <w:sz w:val="24"/>
                <w:szCs w:val="24"/>
                <w:color w:val="auto"/>
              </w:rPr>
            </w:pPr>
          </w:p>
        </w:tc>
      </w:tr>
    </w:tbl>
    <w:p>
      <w:pPr>
        <w:sectPr>
          <w:pgSz w:w="11900" w:h="16838" w:orient="portrait"/>
          <w:cols w:equalWidth="0" w:num="1">
            <w:col w:w="9019"/>
          </w:cols>
          <w:pgMar w:left="1440" w:top="241"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50"/>
        </w:trPr>
        <w:tc>
          <w:tcPr>
            <w:tcW w:w="11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45"/>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Application of Trust Funds; Indemnification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8.3</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Legal Defeasance of Securities of any Series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8.4</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Covenant Defeasance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8.5</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to Company</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8.6</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Reinstatement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8"/>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AMENDMENTS AND WAIVERS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9.2</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Consent of 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9.3</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Limitations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9.4</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Compliance with Trust Indenture Act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9.5</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9.6</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9.7</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Trustee Protected</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8"/>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MISCELLANEOUS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Trust Indenture Act Controls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10.2</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10.3</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Communication by Holders with Other 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10.4</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Certificate and Opinion as to Conditions Precedent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10.5</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10.6</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Rules by Trustee and Agents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10.7</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Legal Holidays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10.8</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 Recourse Against Others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10.9</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10.10</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Governing Law; Waiver of Jury Trial; Consent to Jurisdiction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10.11</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 Adverse Interpretation of Other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10.12</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Successors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10.13</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10.14</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Table of Contents, Headings,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10.15</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 in a Foreign Currency</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10.16</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Judgment Currency</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10.17</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Force Majeure</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8"/>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10.18</w:t>
            </w: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U.S.A. Patriot Act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91"/>
        </w:trPr>
        <w:tc>
          <w:tcPr>
            <w:tcW w:w="1180" w:type="dxa"/>
            <w:vAlign w:val="bottom"/>
          </w:tcPr>
          <w:p>
            <w:pPr>
              <w:spacing w:after="0"/>
              <w:rPr>
                <w:sz w:val="24"/>
                <w:szCs w:val="24"/>
                <w:color w:val="auto"/>
              </w:rPr>
            </w:pPr>
          </w:p>
        </w:tc>
        <w:tc>
          <w:tcPr>
            <w:tcW w:w="54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-iii-</w:t>
            </w:r>
          </w:p>
        </w:tc>
        <w:tc>
          <w:tcPr>
            <w:tcW w:w="2080" w:type="dxa"/>
            <w:vAlign w:val="bottom"/>
          </w:tcPr>
          <w:p>
            <w:pPr>
              <w:spacing w:after="0"/>
              <w:rPr>
                <w:sz w:val="24"/>
                <w:szCs w:val="24"/>
                <w:color w:val="auto"/>
              </w:rPr>
            </w:pPr>
          </w:p>
        </w:tc>
      </w:tr>
    </w:tbl>
    <w:p>
      <w:pPr>
        <w:sectPr>
          <w:pgSz w:w="11900" w:h="16838" w:orient="portrait"/>
          <w:cols w:equalWidth="0" w:num="1">
            <w:col w:w="9019"/>
          </w:cols>
          <w:pgMar w:left="1440" w:top="241"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50"/>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45"/>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SINKING FUNDS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11.1</w:t>
            </w:r>
          </w:p>
        </w:tc>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Applicability of Article</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11.2</w:t>
            </w:r>
          </w:p>
        </w:tc>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8"/>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11.3</w:t>
            </w:r>
          </w:p>
        </w:tc>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91"/>
        </w:trPr>
        <w:tc>
          <w:tcPr>
            <w:tcW w:w="1140" w:type="dxa"/>
            <w:vAlign w:val="bottom"/>
          </w:tcPr>
          <w:p>
            <w:pPr>
              <w:spacing w:after="0"/>
              <w:rPr>
                <w:sz w:val="24"/>
                <w:szCs w:val="24"/>
                <w:color w:val="auto"/>
              </w:rPr>
            </w:pPr>
          </w:p>
        </w:tc>
        <w:tc>
          <w:tcPr>
            <w:tcW w:w="536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-iv-</w:t>
            </w:r>
          </w:p>
        </w:tc>
        <w:tc>
          <w:tcPr>
            <w:tcW w:w="2240" w:type="dxa"/>
            <w:vAlign w:val="bottom"/>
          </w:tcPr>
          <w:p>
            <w:pPr>
              <w:spacing w:after="0"/>
              <w:rPr>
                <w:sz w:val="24"/>
                <w:szCs w:val="24"/>
                <w:color w:val="auto"/>
              </w:rPr>
            </w:pPr>
          </w:p>
        </w:tc>
      </w:tr>
    </w:tbl>
    <w:p>
      <w:pPr>
        <w:sectPr>
          <w:pgSz w:w="11900" w:h="16838" w:orient="portrait"/>
          <w:cols w:equalWidth="0" w:num="1">
            <w:col w:w="9019"/>
          </w:cols>
          <w:pgMar w:left="1440" w:top="241"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LSB INDUSTRIES, INC.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Reconciliation and tie between Trust Indenture Act of 1939 and</w:t>
      </w:r>
    </w:p>
    <w:p>
      <w:pPr>
        <w:spacing w:after="0" w:line="18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Indenture, dated as of ____________, 20__</w:t>
      </w:r>
    </w:p>
    <w:p>
      <w:pPr>
        <w:spacing w:after="0" w:line="291" w:lineRule="exact"/>
        <w:rPr>
          <w:sz w:val="20"/>
          <w:szCs w:val="20"/>
          <w:color w:val="auto"/>
        </w:rPr>
      </w:pPr>
    </w:p>
    <w:tbl>
      <w:tblPr>
        <w:tblLayout w:type="fixed"/>
        <w:tblInd w:w="344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color w:val="auto"/>
              </w:rPr>
              <w:t>§ 310(a)(1) 7.10</w:t>
            </w:r>
          </w:p>
        </w:tc>
      </w:tr>
      <w:tr>
        <w:trPr>
          <w:trHeight w:val="258"/>
        </w:trPr>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3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 (a)(2) 7.10</w:t>
            </w:r>
          </w:p>
        </w:tc>
      </w:tr>
      <w:tr>
        <w:trPr>
          <w:trHeight w:val="258"/>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(a)(3) Not Applicable</w:t>
            </w:r>
          </w:p>
        </w:tc>
      </w:tr>
      <w:tr>
        <w:trPr>
          <w:trHeight w:val="258"/>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(a)(4) Not Applicable</w:t>
            </w:r>
          </w:p>
        </w:tc>
      </w:tr>
    </w:tbl>
    <w:p>
      <w:pPr>
        <w:spacing w:after="0" w:line="73" w:lineRule="exact"/>
        <w:rPr>
          <w:sz w:val="20"/>
          <w:szCs w:val="20"/>
          <w:color w:val="auto"/>
        </w:rPr>
      </w:pPr>
    </w:p>
    <w:p>
      <w:pPr>
        <w:ind w:left="4240" w:hanging="151"/>
        <w:spacing w:after="0"/>
        <w:tabs>
          <w:tab w:leader="none" w:pos="4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(a)(5) 7.10</w:t>
      </w:r>
    </w:p>
    <w:p>
      <w:pPr>
        <w:spacing w:after="0" w:line="97" w:lineRule="exact"/>
        <w:rPr>
          <w:rFonts w:ascii="Times New Roman" w:cs="Times New Roman" w:eastAsia="Times New Roman" w:hAnsi="Times New Roman"/>
          <w:sz w:val="14"/>
          <w:szCs w:val="14"/>
          <w:color w:val="auto"/>
        </w:rPr>
      </w:pPr>
    </w:p>
    <w:p>
      <w:pPr>
        <w:ind w:left="4240" w:hanging="135"/>
        <w:spacing w:after="0"/>
        <w:tabs>
          <w:tab w:leader="none" w:pos="424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(b) 7.10</w:t>
      </w:r>
    </w:p>
    <w:p>
      <w:pPr>
        <w:spacing w:after="0" w:line="108" w:lineRule="exact"/>
        <w:rPr>
          <w:rFonts w:ascii="Times New Roman" w:cs="Times New Roman" w:eastAsia="Times New Roman" w:hAnsi="Times New Roman"/>
          <w:sz w:val="13"/>
          <w:szCs w:val="13"/>
          <w:color w:val="auto"/>
        </w:rPr>
      </w:pPr>
    </w:p>
    <w:p>
      <w:pPr>
        <w:ind w:left="4240" w:hanging="115"/>
        <w:spacing w:after="0"/>
        <w:tabs>
          <w:tab w:leader="none" w:pos="4240" w:val="left"/>
        </w:tabs>
        <w:numPr>
          <w:ilvl w:val="2"/>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311(a) 7.11</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(b) 7.11</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(c) Not Applicable</w:t>
      </w:r>
    </w:p>
    <w:p>
      <w:pPr>
        <w:spacing w:after="0" w:line="97" w:lineRule="exact"/>
        <w:rPr>
          <w:sz w:val="20"/>
          <w:szCs w:val="20"/>
          <w:color w:val="auto"/>
        </w:rPr>
      </w:pPr>
    </w:p>
    <w:p>
      <w:pPr>
        <w:ind w:left="4260" w:hanging="105"/>
        <w:spacing w:after="0"/>
        <w:tabs>
          <w:tab w:leader="none" w:pos="4260" w:val="left"/>
        </w:tabs>
        <w:numPr>
          <w:ilvl w:val="5"/>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312(a) 2.6</w:t>
      </w:r>
    </w:p>
    <w:p>
      <w:pPr>
        <w:spacing w:after="0" w:line="97" w:lineRule="exact"/>
        <w:rPr>
          <w:rFonts w:ascii="Times New Roman" w:cs="Times New Roman" w:eastAsia="Times New Roman" w:hAnsi="Times New Roman"/>
          <w:sz w:val="14"/>
          <w:szCs w:val="14"/>
          <w:color w:val="auto"/>
        </w:rPr>
      </w:pPr>
    </w:p>
    <w:p>
      <w:pPr>
        <w:ind w:left="4160" w:hanging="63"/>
        <w:spacing w:after="0"/>
        <w:tabs>
          <w:tab w:leader="none" w:pos="416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(b) 10.3</w:t>
      </w:r>
    </w:p>
    <w:p>
      <w:pPr>
        <w:spacing w:after="0" w:line="120" w:lineRule="exact"/>
        <w:rPr>
          <w:rFonts w:ascii="Times New Roman" w:cs="Times New Roman" w:eastAsia="Times New Roman" w:hAnsi="Times New Roman"/>
          <w:sz w:val="12"/>
          <w:szCs w:val="12"/>
          <w:color w:val="auto"/>
        </w:rPr>
      </w:pPr>
    </w:p>
    <w:p>
      <w:pPr>
        <w:ind w:left="4200" w:hanging="77"/>
        <w:spacing w:after="0"/>
        <w:tabs>
          <w:tab w:leader="none" w:pos="4200" w:val="left"/>
        </w:tabs>
        <w:numPr>
          <w:ilvl w:val="2"/>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 10.3</w:t>
      </w:r>
    </w:p>
    <w:p>
      <w:pPr>
        <w:spacing w:after="0" w:line="97" w:lineRule="exact"/>
        <w:rPr>
          <w:rFonts w:ascii="Times New Roman" w:cs="Times New Roman" w:eastAsia="Times New Roman" w:hAnsi="Times New Roman"/>
          <w:sz w:val="14"/>
          <w:szCs w:val="14"/>
          <w:color w:val="auto"/>
        </w:rPr>
      </w:pPr>
    </w:p>
    <w:p>
      <w:pPr>
        <w:ind w:left="4260" w:hanging="105"/>
        <w:spacing w:after="0"/>
        <w:tabs>
          <w:tab w:leader="none" w:pos="4260" w:val="left"/>
        </w:tabs>
        <w:numPr>
          <w:ilvl w:val="5"/>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313(a) 7.6</w:t>
      </w:r>
    </w:p>
    <w:p>
      <w:pPr>
        <w:spacing w:after="0" w:line="97" w:lineRule="exact"/>
        <w:rPr>
          <w:rFonts w:ascii="Times New Roman" w:cs="Times New Roman" w:eastAsia="Times New Roman" w:hAnsi="Times New Roman"/>
          <w:sz w:val="14"/>
          <w:szCs w:val="14"/>
          <w:color w:val="auto"/>
        </w:rPr>
      </w:pPr>
    </w:p>
    <w:p>
      <w:pPr>
        <w:ind w:left="4300" w:hanging="143"/>
        <w:spacing w:after="0"/>
        <w:tabs>
          <w:tab w:leader="none" w:pos="4300" w:val="left"/>
        </w:tabs>
        <w:numPr>
          <w:ilvl w:val="4"/>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(b)(1) 7.6</w:t>
      </w:r>
    </w:p>
    <w:p>
      <w:pPr>
        <w:spacing w:after="0" w:line="97" w:lineRule="exact"/>
        <w:rPr>
          <w:rFonts w:ascii="Times New Roman" w:cs="Times New Roman" w:eastAsia="Times New Roman" w:hAnsi="Times New Roman"/>
          <w:sz w:val="14"/>
          <w:szCs w:val="14"/>
          <w:color w:val="auto"/>
        </w:rPr>
      </w:pPr>
    </w:p>
    <w:p>
      <w:pPr>
        <w:ind w:left="4280" w:hanging="137"/>
        <w:spacing w:after="0"/>
        <w:tabs>
          <w:tab w:leader="none" w:pos="4280" w:val="left"/>
        </w:tabs>
        <w:numPr>
          <w:ilvl w:val="3"/>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(b)(2) 7.6</w:t>
      </w:r>
    </w:p>
    <w:p>
      <w:pPr>
        <w:spacing w:after="0" w:line="108" w:lineRule="exact"/>
        <w:rPr>
          <w:rFonts w:ascii="Times New Roman" w:cs="Times New Roman" w:eastAsia="Times New Roman" w:hAnsi="Times New Roman"/>
          <w:sz w:val="13"/>
          <w:szCs w:val="13"/>
          <w:color w:val="auto"/>
        </w:rPr>
      </w:pPr>
    </w:p>
    <w:p>
      <w:pPr>
        <w:ind w:left="4300" w:hanging="153"/>
        <w:spacing w:after="0"/>
        <w:tabs>
          <w:tab w:leader="none" w:pos="4300" w:val="left"/>
        </w:tabs>
        <w:numPr>
          <w:ilvl w:val="3"/>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(c)(1) 7.6</w:t>
      </w:r>
    </w:p>
    <w:p>
      <w:pPr>
        <w:spacing w:after="0" w:line="97" w:lineRule="exact"/>
        <w:rPr>
          <w:rFonts w:ascii="Times New Roman" w:cs="Times New Roman" w:eastAsia="Times New Roman" w:hAnsi="Times New Roman"/>
          <w:sz w:val="14"/>
          <w:szCs w:val="14"/>
          <w:color w:val="auto"/>
        </w:rPr>
      </w:pPr>
    </w:p>
    <w:p>
      <w:pPr>
        <w:ind w:left="4300" w:hanging="145"/>
        <w:spacing w:after="0"/>
        <w:tabs>
          <w:tab w:leader="none" w:pos="4300" w:val="left"/>
        </w:tabs>
        <w:numPr>
          <w:ilvl w:val="4"/>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 7.6</w:t>
      </w:r>
    </w:p>
    <w:p>
      <w:pPr>
        <w:spacing w:after="0" w:line="97" w:lineRule="exact"/>
        <w:rPr>
          <w:rFonts w:ascii="Times New Roman" w:cs="Times New Roman" w:eastAsia="Times New Roman" w:hAnsi="Times New Roman"/>
          <w:sz w:val="14"/>
          <w:szCs w:val="14"/>
          <w:color w:val="auto"/>
        </w:rPr>
      </w:pPr>
    </w:p>
    <w:p>
      <w:pPr>
        <w:ind w:left="4100" w:hanging="106"/>
        <w:spacing w:after="0"/>
        <w:tabs>
          <w:tab w:leader="none" w:pos="4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314(a) 4.2, 10.5</w:t>
      </w:r>
    </w:p>
    <w:p>
      <w:pPr>
        <w:spacing w:after="0" w:line="356" w:lineRule="exact"/>
        <w:rPr>
          <w:sz w:val="20"/>
          <w:szCs w:val="20"/>
          <w:color w:val="auto"/>
        </w:rPr>
      </w:pPr>
    </w:p>
    <w:tbl>
      <w:tblPr>
        <w:tblLayout w:type="fixed"/>
        <w:tblInd w:w="352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(c)(1) 10.4</w:t>
            </w:r>
          </w:p>
        </w:tc>
      </w:tr>
      <w:tr>
        <w:trPr>
          <w:trHeight w:val="258"/>
        </w:trPr>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(c)(2) 10.4</w:t>
            </w:r>
          </w:p>
        </w:tc>
      </w:tr>
      <w:tr>
        <w:trPr>
          <w:trHeight w:val="258"/>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(c)(3) Not Applicable</w:t>
            </w:r>
          </w:p>
        </w:tc>
      </w:tr>
      <w:tr>
        <w:trPr>
          <w:trHeight w:val="258"/>
        </w:trPr>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9"/>
              </w:rPr>
              <w:t>        (d) Not Applicable</w:t>
            </w:r>
          </w:p>
        </w:tc>
      </w:tr>
    </w:tbl>
    <w:p>
      <w:pPr>
        <w:sectPr>
          <w:pgSz w:w="11900" w:h="16838" w:orient="portrait"/>
          <w:cols w:equalWidth="0" w:num="1">
            <w:col w:w="9019"/>
          </w:cols>
          <w:pgMar w:left="1440" w:top="241"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(e) 10.5</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(f) Not Applicable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315(a) 7.1</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 7.5</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 7.1</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 7.1</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(e) 6.14</w:t>
      </w:r>
    </w:p>
    <w:p>
      <w:pPr>
        <w:spacing w:after="0" w:line="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 316(a) 2.10</w:t>
      </w:r>
    </w:p>
    <w:p>
      <w:pPr>
        <w:spacing w:after="0" w:line="9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(a)(1)(A) 6.12</w:t>
      </w:r>
    </w:p>
    <w:p>
      <w:pPr>
        <w:spacing w:after="0" w:line="9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(a)(1)(B) 6.13</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 6.8</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317(a)(1) 6.3</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 6.4</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 2.5</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318(a)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214630</wp:posOffset>
            </wp:positionV>
            <wp:extent cx="60833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3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part of the Indenture.</w:t>
      </w:r>
    </w:p>
    <w:p>
      <w:pPr>
        <w:sectPr>
          <w:pgSz w:w="11900" w:h="16838" w:orient="portrait"/>
          <w:cols w:equalWidth="0" w:num="1">
            <w:col w:w="9019"/>
          </w:cols>
          <w:pgMar w:left="1440" w:top="329"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INDENTURE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Indenture dated as of __________, 20__ between LSB INDUSTRIES, INC., a company incorporated under the laws of Delaware (“Company”),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and [   ], a [   ] (“Trustee”).</w:t>
      </w:r>
    </w:p>
    <w:p>
      <w:pPr>
        <w:spacing w:after="0" w:line="170" w:lineRule="exact"/>
        <w:rPr>
          <w:sz w:val="20"/>
          <w:szCs w:val="20"/>
          <w:color w:val="auto"/>
        </w:rPr>
      </w:pPr>
    </w:p>
    <w:p>
      <w:pPr>
        <w:ind w:left="120" w:right="339" w:firstLine="351"/>
        <w:spacing w:after="0" w:line="294" w:lineRule="auto"/>
        <w:rPr>
          <w:sz w:val="20"/>
          <w:szCs w:val="20"/>
          <w:color w:val="auto"/>
        </w:rPr>
      </w:pPr>
      <w:r>
        <w:rPr>
          <w:rFonts w:ascii="Times New Roman" w:cs="Times New Roman" w:eastAsia="Times New Roman" w:hAnsi="Times New Roman"/>
          <w:sz w:val="14"/>
          <w:szCs w:val="14"/>
          <w:color w:val="auto"/>
        </w:rPr>
        <w:t>Each party agrees as follows for the benefit of the other party and for the equal and ratable benefit of the Holders of the Securities issued under this Indenture.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DEFINITIONS AND INCORPORATION BY REFERENCE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259" w:firstLine="351"/>
        <w:spacing w:after="0" w:line="269" w:lineRule="auto"/>
        <w:rPr>
          <w:sz w:val="20"/>
          <w:szCs w:val="20"/>
          <w:color w:val="auto"/>
        </w:rPr>
      </w:pPr>
      <w:r>
        <w:rPr>
          <w:rFonts w:ascii="Times New Roman" w:cs="Times New Roman" w:eastAsia="Times New Roman" w:hAnsi="Times New Roman"/>
          <w:sz w:val="14"/>
          <w:szCs w:val="14"/>
          <w:color w:val="auto"/>
        </w:rPr>
        <w:t>“Affiliate”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“Agent” means any Registrar, Paying Agent or Notice Agent.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“Board of Directors” means the board of directors of the Company or any duly authorized committee thereof.</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“Board Resolution” means with respect to any person, a resolution duly adopted by the Board of Directors of such person.</w:t>
      </w:r>
    </w:p>
    <w:p>
      <w:pPr>
        <w:spacing w:after="0" w:line="184" w:lineRule="exact"/>
        <w:rPr>
          <w:sz w:val="20"/>
          <w:szCs w:val="20"/>
          <w:color w:val="auto"/>
        </w:rPr>
      </w:pPr>
    </w:p>
    <w:p>
      <w:pPr>
        <w:ind w:left="120" w:right="539" w:firstLine="351"/>
        <w:spacing w:after="0" w:line="294" w:lineRule="auto"/>
        <w:rPr>
          <w:sz w:val="20"/>
          <w:szCs w:val="20"/>
          <w:color w:val="auto"/>
        </w:rPr>
      </w:pPr>
      <w:r>
        <w:rPr>
          <w:rFonts w:ascii="Times New Roman" w:cs="Times New Roman" w:eastAsia="Times New Roman" w:hAnsi="Times New Roman"/>
          <w:sz w:val="14"/>
          <w:szCs w:val="14"/>
          <w:color w:val="auto"/>
        </w:rPr>
        <w:t>“Business Day”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“Capital Stock” means any and all shares, interests, participations, rights or other equivalents (however designated) of corporate stock.</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“Company” means the party named as such above until a successor replaces it and thereafter means the successor.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“Company Order” means a written order signed in the name of the Company by an Officer and delivered to the Trustee.</w:t>
      </w:r>
    </w:p>
    <w:p>
      <w:pPr>
        <w:spacing w:after="0" w:line="184" w:lineRule="exact"/>
        <w:rPr>
          <w:sz w:val="20"/>
          <w:szCs w:val="20"/>
          <w:color w:val="auto"/>
        </w:rPr>
      </w:pPr>
    </w:p>
    <w:p>
      <w:pPr>
        <w:ind w:left="120" w:right="259" w:firstLine="351"/>
        <w:spacing w:after="0" w:line="294" w:lineRule="auto"/>
        <w:rPr>
          <w:sz w:val="20"/>
          <w:szCs w:val="20"/>
          <w:color w:val="auto"/>
        </w:rPr>
      </w:pPr>
      <w:r>
        <w:rPr>
          <w:rFonts w:ascii="Times New Roman" w:cs="Times New Roman" w:eastAsia="Times New Roman" w:hAnsi="Times New Roman"/>
          <w:sz w:val="14"/>
          <w:szCs w:val="14"/>
          <w:color w:val="auto"/>
        </w:rPr>
        <w:t>“Corporate Trust Office” means the office of the Trustee at which at any particular time its corporate trust business related to this Indenture shall be principally administered.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“Default” means any event which is, or after notice, passage of time or both would be, an Event of Default.</w:t>
      </w:r>
    </w:p>
    <w:p>
      <w:pPr>
        <w:spacing w:after="0" w:line="184" w:lineRule="exact"/>
        <w:rPr>
          <w:sz w:val="20"/>
          <w:szCs w:val="20"/>
          <w:color w:val="auto"/>
        </w:rPr>
      </w:pPr>
    </w:p>
    <w:p>
      <w:pPr>
        <w:ind w:left="120" w:right="359" w:firstLine="351"/>
        <w:spacing w:after="0" w:line="269" w:lineRule="auto"/>
        <w:rPr>
          <w:sz w:val="20"/>
          <w:szCs w:val="20"/>
          <w:color w:val="auto"/>
        </w:rPr>
      </w:pPr>
      <w:r>
        <w:rPr>
          <w:rFonts w:ascii="Times New Roman" w:cs="Times New Roman" w:eastAsia="Times New Roman" w:hAnsi="Times New Roman"/>
          <w:sz w:val="14"/>
          <w:szCs w:val="14"/>
          <w:color w:val="auto"/>
        </w:rPr>
        <w:t>“Depositary”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41" w:right="1440" w:bottom="1440" w:gutter="0" w:footer="0" w:header="0"/>
        </w:sectPr>
      </w:pPr>
    </w:p>
    <w:bookmarkStart w:id="58" w:name="page59"/>
    <w:bookmarkEnd w:id="58"/>
    <w:p>
      <w:pPr>
        <w:ind w:left="120" w:right="439" w:firstLine="351"/>
        <w:spacing w:after="0" w:line="29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“Discount Security” means any Security that provides for an amount less than the stated principal amount thereof to be due and payable upon declaration of acceleration of the maturity thereof pursuant to Section 6.2.</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“Dollars” and “$” means the currency of the United States of America.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“Foreign Currency” means any currency or currency unit issued by a government other than the government of the United States of America.</w:t>
      </w:r>
    </w:p>
    <w:p>
      <w:pPr>
        <w:spacing w:after="0" w:line="184" w:lineRule="exact"/>
        <w:rPr>
          <w:sz w:val="20"/>
          <w:szCs w:val="20"/>
          <w:color w:val="auto"/>
        </w:rPr>
      </w:pPr>
    </w:p>
    <w:p>
      <w:pPr>
        <w:jc w:val="both"/>
        <w:ind w:left="120" w:right="219" w:firstLine="351"/>
        <w:spacing w:after="0" w:line="275" w:lineRule="auto"/>
        <w:rPr>
          <w:sz w:val="20"/>
          <w:szCs w:val="20"/>
          <w:color w:val="auto"/>
        </w:rPr>
      </w:pPr>
      <w:r>
        <w:rPr>
          <w:rFonts w:ascii="Times New Roman" w:cs="Times New Roman" w:eastAsia="Times New Roman" w:hAnsi="Times New Roman"/>
          <w:sz w:val="14"/>
          <w:szCs w:val="14"/>
          <w:color w:val="auto"/>
        </w:rPr>
        <w:t>“Foreign Government Obligations”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36" w:lineRule="exact"/>
        <w:rPr>
          <w:sz w:val="20"/>
          <w:szCs w:val="20"/>
          <w:color w:val="auto"/>
        </w:rPr>
      </w:pPr>
    </w:p>
    <w:p>
      <w:pPr>
        <w:ind w:left="120" w:right="139" w:firstLine="351"/>
        <w:spacing w:after="0" w:line="269" w:lineRule="auto"/>
        <w:rPr>
          <w:sz w:val="20"/>
          <w:szCs w:val="20"/>
          <w:color w:val="auto"/>
        </w:rPr>
      </w:pPr>
      <w:r>
        <w:rPr>
          <w:rFonts w:ascii="Times New Roman" w:cs="Times New Roman" w:eastAsia="Times New Roman" w:hAnsi="Times New Roman"/>
          <w:sz w:val="14"/>
          <w:szCs w:val="14"/>
          <w:color w:val="auto"/>
        </w:rPr>
        <w:t>“GAAP”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40" w:lineRule="exact"/>
        <w:rPr>
          <w:sz w:val="20"/>
          <w:szCs w:val="20"/>
          <w:color w:val="auto"/>
        </w:rPr>
      </w:pPr>
    </w:p>
    <w:p>
      <w:pPr>
        <w:ind w:left="120" w:right="219" w:firstLine="351"/>
        <w:spacing w:after="0" w:line="275" w:lineRule="auto"/>
        <w:rPr>
          <w:sz w:val="20"/>
          <w:szCs w:val="20"/>
          <w:color w:val="auto"/>
        </w:rPr>
      </w:pPr>
      <w:r>
        <w:rPr>
          <w:rFonts w:ascii="Times New Roman" w:cs="Times New Roman" w:eastAsia="Times New Roman" w:hAnsi="Times New Roman"/>
          <w:sz w:val="14"/>
          <w:szCs w:val="14"/>
          <w:color w:val="auto"/>
        </w:rPr>
        <w:t>“Global Security” or “Global Securities”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“Holder” means a person in whose name a Security is registered on the Registrar’s books.</w:t>
      </w:r>
    </w:p>
    <w:p>
      <w:pPr>
        <w:spacing w:after="0" w:line="184" w:lineRule="exact"/>
        <w:rPr>
          <w:sz w:val="20"/>
          <w:szCs w:val="20"/>
          <w:color w:val="auto"/>
        </w:rPr>
      </w:pPr>
    </w:p>
    <w:p>
      <w:pPr>
        <w:ind w:left="120" w:right="499" w:firstLine="351"/>
        <w:spacing w:after="0" w:line="294" w:lineRule="auto"/>
        <w:rPr>
          <w:sz w:val="20"/>
          <w:szCs w:val="20"/>
          <w:color w:val="auto"/>
        </w:rPr>
      </w:pPr>
      <w:r>
        <w:rPr>
          <w:rFonts w:ascii="Times New Roman" w:cs="Times New Roman" w:eastAsia="Times New Roman" w:hAnsi="Times New Roman"/>
          <w:sz w:val="14"/>
          <w:szCs w:val="14"/>
          <w:color w:val="auto"/>
        </w:rPr>
        <w:t>“Indenture” means this Indenture as amended or supplemented from time to time and shall include the form and terms of particular Series of Securities established as contemplated hereunder.</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“interest” with respect to any Discount Security which by its terms bears interest only after Maturity, means interest payable after Maturity.</w:t>
      </w:r>
    </w:p>
    <w:p>
      <w:pPr>
        <w:spacing w:after="0" w:line="184" w:lineRule="exact"/>
        <w:rPr>
          <w:sz w:val="20"/>
          <w:szCs w:val="20"/>
          <w:color w:val="auto"/>
        </w:rPr>
      </w:pPr>
    </w:p>
    <w:p>
      <w:pPr>
        <w:ind w:left="120" w:right="179" w:firstLine="351"/>
        <w:spacing w:after="0" w:line="294" w:lineRule="auto"/>
        <w:rPr>
          <w:sz w:val="20"/>
          <w:szCs w:val="20"/>
          <w:color w:val="auto"/>
        </w:rPr>
      </w:pPr>
      <w:r>
        <w:rPr>
          <w:rFonts w:ascii="Times New Roman" w:cs="Times New Roman" w:eastAsia="Times New Roman" w:hAnsi="Times New Roman"/>
          <w:sz w:val="14"/>
          <w:szCs w:val="14"/>
          <w:color w:val="auto"/>
        </w:rPr>
        <w:t>“Maturity”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23" w:lineRule="exact"/>
        <w:rPr>
          <w:sz w:val="20"/>
          <w:szCs w:val="20"/>
          <w:color w:val="auto"/>
        </w:rPr>
      </w:pPr>
    </w:p>
    <w:p>
      <w:pPr>
        <w:ind w:left="120" w:right="139" w:firstLine="351"/>
        <w:spacing w:after="0" w:line="294" w:lineRule="auto"/>
        <w:rPr>
          <w:sz w:val="20"/>
          <w:szCs w:val="20"/>
          <w:color w:val="auto"/>
        </w:rPr>
      </w:pPr>
      <w:r>
        <w:rPr>
          <w:rFonts w:ascii="Times New Roman" w:cs="Times New Roman" w:eastAsia="Times New Roman" w:hAnsi="Times New Roman"/>
          <w:sz w:val="14"/>
          <w:szCs w:val="14"/>
          <w:color w:val="auto"/>
        </w:rPr>
        <w:t>“Officer” means the Chairman or Executive Chairman of the Board, the Chief Executive Officer, the President, any Vice President (whether or not designated by a number or numbers or word or words added before or after the title “Vice President”), the Treasurer or the Secretary of the Company.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“Officer’s Certificate” means a certificate signed by any Officer that meets the requirements of this Indenture.</w:t>
      </w:r>
    </w:p>
    <w:p>
      <w:pPr>
        <w:spacing w:after="0" w:line="184" w:lineRule="exact"/>
        <w:rPr>
          <w:sz w:val="20"/>
          <w:szCs w:val="20"/>
          <w:color w:val="auto"/>
        </w:rPr>
      </w:pPr>
    </w:p>
    <w:p>
      <w:pPr>
        <w:ind w:left="120" w:right="139" w:firstLine="351"/>
        <w:spacing w:after="0" w:line="294" w:lineRule="auto"/>
        <w:rPr>
          <w:sz w:val="20"/>
          <w:szCs w:val="20"/>
          <w:color w:val="auto"/>
        </w:rPr>
      </w:pPr>
      <w:r>
        <w:rPr>
          <w:rFonts w:ascii="Times New Roman" w:cs="Times New Roman" w:eastAsia="Times New Roman" w:hAnsi="Times New Roman"/>
          <w:sz w:val="14"/>
          <w:szCs w:val="14"/>
          <w:color w:val="auto"/>
        </w:rPr>
        <w:t>“Opinion of Counsel” means a written opinion of legal counsel who is acceptable to the Trustee. The counsel may be an employee of or counsel to the Company. The opinion may contain customary limitations, conditions and exceptions.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3" w:right="1440" w:bottom="1440" w:gutter="0" w:footer="0" w:header="0"/>
        </w:sectPr>
      </w:pPr>
    </w:p>
    <w:bookmarkStart w:id="59" w:name="page60"/>
    <w:bookmarkEnd w:id="59"/>
    <w:p>
      <w:pPr>
        <w:ind w:left="120" w:right="699" w:firstLine="351"/>
        <w:spacing w:after="0" w:line="29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“person” means any individual, corporation, partnership, joint venture, association, limited liability company, joint-stock company, trust, unincorporated organization or government or any agency or political subdivision thereof.</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“principal” of a Security means the principal of the Security plus, when appropriate, the premium, if any, on, the Security.</w:t>
      </w:r>
    </w:p>
    <w:p>
      <w:pPr>
        <w:spacing w:after="0" w:line="184" w:lineRule="exact"/>
        <w:rPr>
          <w:sz w:val="20"/>
          <w:szCs w:val="20"/>
          <w:color w:val="auto"/>
        </w:rPr>
      </w:pPr>
    </w:p>
    <w:p>
      <w:pPr>
        <w:ind w:left="120" w:right="179" w:firstLine="351"/>
        <w:spacing w:after="0" w:line="275" w:lineRule="auto"/>
        <w:rPr>
          <w:sz w:val="20"/>
          <w:szCs w:val="20"/>
          <w:color w:val="auto"/>
        </w:rPr>
      </w:pPr>
      <w:r>
        <w:rPr>
          <w:rFonts w:ascii="Times New Roman" w:cs="Times New Roman" w:eastAsia="Times New Roman" w:hAnsi="Times New Roman"/>
          <w:sz w:val="14"/>
          <w:szCs w:val="14"/>
          <w:color w:val="auto"/>
        </w:rPr>
        <w:t>“Responsible Officer”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“SEC” means the Securities and Exchange Commission.</w:t>
      </w:r>
    </w:p>
    <w:p>
      <w:pPr>
        <w:spacing w:after="0" w:line="184" w:lineRule="exact"/>
        <w:rPr>
          <w:sz w:val="20"/>
          <w:szCs w:val="20"/>
          <w:color w:val="auto"/>
        </w:rPr>
      </w:pPr>
    </w:p>
    <w:p>
      <w:pPr>
        <w:ind w:left="120" w:right="219" w:firstLine="351"/>
        <w:spacing w:after="0" w:line="294" w:lineRule="auto"/>
        <w:rPr>
          <w:sz w:val="20"/>
          <w:szCs w:val="20"/>
          <w:color w:val="auto"/>
        </w:rPr>
      </w:pPr>
      <w:r>
        <w:rPr>
          <w:rFonts w:ascii="Times New Roman" w:cs="Times New Roman" w:eastAsia="Times New Roman" w:hAnsi="Times New Roman"/>
          <w:sz w:val="14"/>
          <w:szCs w:val="14"/>
          <w:color w:val="auto"/>
        </w:rPr>
        <w:t>“Security” or “Securities” means the debentures, notes or other debt instruments of the Company of any Series authenticated and delivered under this Indenture.</w:t>
      </w:r>
    </w:p>
    <w:p>
      <w:pPr>
        <w:spacing w:after="0" w:line="123" w:lineRule="exact"/>
        <w:rPr>
          <w:sz w:val="20"/>
          <w:szCs w:val="20"/>
          <w:color w:val="auto"/>
        </w:rPr>
      </w:pPr>
    </w:p>
    <w:p>
      <w:pPr>
        <w:ind w:left="120" w:right="319" w:firstLine="351"/>
        <w:spacing w:after="0" w:line="294" w:lineRule="auto"/>
        <w:rPr>
          <w:sz w:val="20"/>
          <w:szCs w:val="20"/>
          <w:color w:val="auto"/>
        </w:rPr>
      </w:pPr>
      <w:r>
        <w:rPr>
          <w:rFonts w:ascii="Times New Roman" w:cs="Times New Roman" w:eastAsia="Times New Roman" w:hAnsi="Times New Roman"/>
          <w:sz w:val="14"/>
          <w:szCs w:val="14"/>
          <w:color w:val="auto"/>
        </w:rPr>
        <w:t>“Series” or “Series of Securities” means each series of debentures, notes or other debt instruments of the Company created pursuant to Sections 2.1 and 2.2 hereof.</w:t>
      </w:r>
    </w:p>
    <w:p>
      <w:pPr>
        <w:spacing w:after="0" w:line="123" w:lineRule="exact"/>
        <w:rPr>
          <w:sz w:val="20"/>
          <w:szCs w:val="20"/>
          <w:color w:val="auto"/>
        </w:rPr>
      </w:pPr>
    </w:p>
    <w:p>
      <w:pPr>
        <w:ind w:left="120" w:right="359" w:firstLine="351"/>
        <w:spacing w:after="0" w:line="294" w:lineRule="auto"/>
        <w:rPr>
          <w:sz w:val="20"/>
          <w:szCs w:val="20"/>
          <w:color w:val="auto"/>
        </w:rPr>
      </w:pPr>
      <w:r>
        <w:rPr>
          <w:rFonts w:ascii="Times New Roman" w:cs="Times New Roman" w:eastAsia="Times New Roman" w:hAnsi="Times New Roman"/>
          <w:sz w:val="14"/>
          <w:szCs w:val="14"/>
          <w:color w:val="auto"/>
        </w:rPr>
        <w:t>“Stated Maturity” when used with respect to any Security, means the date specified in such Security as the fixed date on which the principal of such Security or interest is due and payable.</w:t>
      </w:r>
    </w:p>
    <w:p>
      <w:pPr>
        <w:spacing w:after="0" w:line="123" w:lineRule="exact"/>
        <w:rPr>
          <w:sz w:val="20"/>
          <w:szCs w:val="20"/>
          <w:color w:val="auto"/>
        </w:rPr>
      </w:pPr>
    </w:p>
    <w:p>
      <w:pPr>
        <w:ind w:left="120" w:right="199" w:firstLine="351"/>
        <w:spacing w:after="0" w:line="272" w:lineRule="auto"/>
        <w:rPr>
          <w:sz w:val="20"/>
          <w:szCs w:val="20"/>
          <w:color w:val="auto"/>
        </w:rPr>
      </w:pPr>
      <w:r>
        <w:rPr>
          <w:rFonts w:ascii="Times New Roman" w:cs="Times New Roman" w:eastAsia="Times New Roman" w:hAnsi="Times New Roman"/>
          <w:sz w:val="14"/>
          <w:szCs w:val="14"/>
          <w:color w:val="auto"/>
        </w:rPr>
        <w:t>“Subsidiary”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314" w:lineRule="exact"/>
        <w:rPr>
          <w:sz w:val="20"/>
          <w:szCs w:val="20"/>
          <w:color w:val="auto"/>
        </w:rPr>
      </w:pPr>
    </w:p>
    <w:p>
      <w:pPr>
        <w:ind w:left="120" w:right="259" w:firstLine="351"/>
        <w:spacing w:after="0" w:line="275" w:lineRule="auto"/>
        <w:rPr>
          <w:sz w:val="20"/>
          <w:szCs w:val="20"/>
          <w:color w:val="auto"/>
        </w:rPr>
      </w:pPr>
      <w:r>
        <w:rPr>
          <w:rFonts w:ascii="Times New Roman" w:cs="Times New Roman" w:eastAsia="Times New Roman" w:hAnsi="Times New Roman"/>
          <w:sz w:val="14"/>
          <w:szCs w:val="14"/>
          <w:color w:val="auto"/>
        </w:rPr>
        <w:t xml:space="preserve">“TIA” means the Trust Indenture Act of 1939 (15 U.S. Code §§ 77aaa-77bbbb) as in effect on the date of this Indenture;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the Trust Indenture Act of 1939 is amended after such date, “TIA” means, to the extent required by any such amendment, the Trust Indenture Act as so amended.</w:t>
      </w:r>
    </w:p>
    <w:p>
      <w:pPr>
        <w:spacing w:after="0" w:line="136" w:lineRule="exact"/>
        <w:rPr>
          <w:sz w:val="20"/>
          <w:szCs w:val="20"/>
          <w:color w:val="auto"/>
        </w:rPr>
      </w:pPr>
    </w:p>
    <w:p>
      <w:pPr>
        <w:ind w:left="120" w:right="239" w:firstLine="351"/>
        <w:spacing w:after="0" w:line="269" w:lineRule="auto"/>
        <w:rPr>
          <w:sz w:val="20"/>
          <w:szCs w:val="20"/>
          <w:color w:val="auto"/>
        </w:rPr>
      </w:pPr>
      <w:r>
        <w:rPr>
          <w:rFonts w:ascii="Times New Roman" w:cs="Times New Roman" w:eastAsia="Times New Roman" w:hAnsi="Times New Roman"/>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0"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“U.S. Government Obligations”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3" w:right="1440" w:bottom="1440" w:gutter="0" w:footer="0" w:header="0"/>
        </w:sectPr>
      </w:pPr>
    </w:p>
    <w:bookmarkStart w:id="60" w:name="page61"/>
    <w:bookmarkEnd w:id="60"/>
    <w:tbl>
      <w:tblPr>
        <w:tblLayout w:type="fixed"/>
        <w:tblInd w:w="120" w:type="dxa"/>
        <w:tblCellMar>
          <w:top w:w="0" w:type="dxa"/>
          <w:left w:w="0" w:type="dxa"/>
          <w:bottom w:w="0" w:type="dxa"/>
          <w:right w:w="0" w:type="dxa"/>
        </w:tblCellMar>
      </w:tblPr>
      <w:tr>
        <w:trPr>
          <w:trHeight w:val="161"/>
        </w:trPr>
        <w:tc>
          <w:tcPr>
            <w:tcW w:w="53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Section 1.2 Other Definitions.</w:t>
            </w:r>
          </w:p>
        </w:tc>
        <w:tc>
          <w:tcPr>
            <w:tcW w:w="3420" w:type="dxa"/>
            <w:vAlign w:val="bottom"/>
          </w:tcPr>
          <w:p>
            <w:pPr>
              <w:spacing w:after="0"/>
              <w:rPr>
                <w:sz w:val="13"/>
                <w:szCs w:val="13"/>
                <w:color w:val="auto"/>
              </w:rPr>
            </w:pP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Agent Members</w:t>
            </w:r>
          </w:p>
        </w:tc>
        <w:tc>
          <w:tcPr>
            <w:tcW w:w="102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Bankruptcy Law</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Custodian</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DTC</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Event of Default</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Judgment Currency</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mandatory sinking fund payment</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New York Banking Day</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Notice Agent</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optional sinking fund payment</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Paying Agent</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Registrar</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Required Currency</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Specified Courts</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6"/>
        </w:trPr>
        <w:tc>
          <w:tcPr>
            <w:tcW w:w="5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successor person</w:t>
            </w: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98995" cy="3302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Incorporation by Reference of Trust Indenture Act</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459" w:firstLine="351"/>
        <w:spacing w:after="0" w:line="294" w:lineRule="auto"/>
        <w:rPr>
          <w:sz w:val="20"/>
          <w:szCs w:val="20"/>
          <w:color w:val="auto"/>
        </w:rPr>
      </w:pPr>
      <w:r>
        <w:rPr>
          <w:rFonts w:ascii="Times New Roman" w:cs="Times New Roman" w:eastAsia="Times New Roman" w:hAnsi="Times New Roman"/>
          <w:sz w:val="14"/>
          <w:szCs w:val="14"/>
          <w:color w:val="auto"/>
        </w:rPr>
        <w:t>Whenever this Indenture refers to a provision of the TIA, the provision is incorporated by reference in and made a part of this Indenture. The following TIA terms used in this Indenture have the following meanings: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“Commission” means the SEC.</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“indenture securities” means the Securities.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“indenture security holder” means a Holder.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“indenture to be qualified” means this Indenture.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“indenture trustee” or “institutional trustee” means the Trustee.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“obligor” on the indenture securities means the Company and any successor obligor upon the Securities.</w:t>
      </w:r>
    </w:p>
    <w:p>
      <w:pPr>
        <w:spacing w:after="0" w:line="184" w:lineRule="exact"/>
        <w:rPr>
          <w:sz w:val="20"/>
          <w:szCs w:val="20"/>
          <w:color w:val="auto"/>
        </w:rPr>
      </w:pPr>
    </w:p>
    <w:p>
      <w:pPr>
        <w:ind w:left="120" w:right="339" w:firstLine="351"/>
        <w:spacing w:after="0" w:line="294" w:lineRule="auto"/>
        <w:rPr>
          <w:sz w:val="20"/>
          <w:szCs w:val="20"/>
          <w:color w:val="auto"/>
        </w:rPr>
      </w:pPr>
      <w:r>
        <w:rPr>
          <w:rFonts w:ascii="Times New Roman" w:cs="Times New Roman" w:eastAsia="Times New Roman" w:hAnsi="Times New Roman"/>
          <w:sz w:val="14"/>
          <w:szCs w:val="14"/>
          <w:color w:val="auto"/>
        </w:rPr>
        <w:t>All other terms used in this Indenture that are defined by the TIA, defined by TIA reference to another statute or defined by SEC rule under the TIA and not otherwise defined herein are used herein as so defined.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1.4.1 a term has the meaning assigned to it;</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1.4.2 an accounting term not otherwise defined has the meaning assigned to it in accordance with GAAP;</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7" w:right="1440" w:bottom="1440" w:gutter="0" w:footer="0" w:header="0"/>
        </w:sectPr>
      </w:pPr>
    </w:p>
    <w:bookmarkStart w:id="61" w:name="page62"/>
    <w:bookmarkEnd w:id="61"/>
    <w:p>
      <w:pPr>
        <w:ind w:left="9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1.4.3 “</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is not exclusive;</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1.4.4 words in the singular include the plural, and in the plural include the singular;</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1.4.5 provisions apply to successive events and transactions;</w:t>
      </w:r>
    </w:p>
    <w:p>
      <w:pPr>
        <w:spacing w:after="0" w:line="184" w:lineRule="exact"/>
        <w:rPr>
          <w:sz w:val="20"/>
          <w:szCs w:val="20"/>
          <w:color w:val="auto"/>
        </w:rPr>
      </w:pPr>
    </w:p>
    <w:p>
      <w:pPr>
        <w:ind w:left="120" w:right="319" w:firstLine="791"/>
        <w:spacing w:after="0" w:line="294" w:lineRule="auto"/>
        <w:rPr>
          <w:sz w:val="20"/>
          <w:szCs w:val="20"/>
          <w:color w:val="auto"/>
        </w:rPr>
      </w:pPr>
      <w:r>
        <w:rPr>
          <w:rFonts w:ascii="Times New Roman" w:cs="Times New Roman" w:eastAsia="Times New Roman" w:hAnsi="Times New Roman"/>
          <w:sz w:val="14"/>
          <w:szCs w:val="14"/>
          <w:color w:val="auto"/>
        </w:rPr>
        <w:t>1.4.6 in the computation of periods of time from a specified date to a later specified date, the word “from” means “from and including,” and the words “to” and “until” each mean “to but excluding”; and</w:t>
      </w:r>
    </w:p>
    <w:p>
      <w:pPr>
        <w:spacing w:after="0" w:line="123" w:lineRule="exact"/>
        <w:rPr>
          <w:sz w:val="20"/>
          <w:szCs w:val="20"/>
          <w:color w:val="auto"/>
        </w:rPr>
      </w:pPr>
    </w:p>
    <w:p>
      <w:pPr>
        <w:ind w:left="120" w:right="299" w:firstLine="791"/>
        <w:spacing w:after="0" w:line="294" w:lineRule="auto"/>
        <w:rPr>
          <w:sz w:val="20"/>
          <w:szCs w:val="20"/>
          <w:color w:val="auto"/>
        </w:rPr>
      </w:pPr>
      <w:r>
        <w:rPr>
          <w:rFonts w:ascii="Times New Roman" w:cs="Times New Roman" w:eastAsia="Times New Roman" w:hAnsi="Times New Roman"/>
          <w:sz w:val="14"/>
          <w:szCs w:val="14"/>
          <w:color w:val="auto"/>
        </w:rPr>
        <w:t>1.4.7 the phrase “in writing” as used herein shall be deemed to include PDFs, e-mails and other electronic means of transmission, unless otherwise indicated.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SECURITIES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Issuable in Series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Establishment of Terms of Series of Securities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 or prior to the issuance of any Securities within a Series, the following shall be established (as to the Series generally, in the case of</w:t>
      </w:r>
    </w:p>
    <w:p>
      <w:pPr>
        <w:spacing w:after="0" w:line="25" w:lineRule="exact"/>
        <w:rPr>
          <w:sz w:val="20"/>
          <w:szCs w:val="20"/>
          <w:color w:val="auto"/>
        </w:rPr>
      </w:pPr>
    </w:p>
    <w:p>
      <w:pPr>
        <w:ind w:left="120" w:right="139"/>
        <w:spacing w:after="0" w:line="273" w:lineRule="auto"/>
        <w:rPr>
          <w:sz w:val="20"/>
          <w:szCs w:val="20"/>
          <w:color w:val="auto"/>
        </w:rPr>
      </w:pPr>
      <w:r>
        <w:rPr>
          <w:rFonts w:ascii="Times New Roman" w:cs="Times New Roman" w:eastAsia="Times New Roman" w:hAnsi="Times New Roman"/>
          <w:sz w:val="14"/>
          <w:szCs w:val="14"/>
          <w:color w:val="auto"/>
        </w:rPr>
        <w:t>Section 2.2.1 and either as to such Securities within the Series or as to the Series generally in the case of Sections 2.2.2 through 2.2.23) by or pursuant to a Board Resolution, and set forth or determined in the manner provided in a Board Resolution, supplemental indenture hereto or Officer’s Certificate:</w:t>
      </w:r>
    </w:p>
    <w:p>
      <w:pPr>
        <w:spacing w:after="0" w:line="137" w:lineRule="exact"/>
        <w:rPr>
          <w:sz w:val="20"/>
          <w:szCs w:val="20"/>
          <w:color w:val="auto"/>
        </w:rPr>
      </w:pPr>
    </w:p>
    <w:p>
      <w:pPr>
        <w:ind w:left="120" w:right="119" w:firstLine="791"/>
        <w:spacing w:after="0" w:line="294" w:lineRule="auto"/>
        <w:rPr>
          <w:sz w:val="20"/>
          <w:szCs w:val="20"/>
          <w:color w:val="auto"/>
        </w:rPr>
      </w:pPr>
      <w:r>
        <w:rPr>
          <w:rFonts w:ascii="Times New Roman" w:cs="Times New Roman" w:eastAsia="Times New Roman" w:hAnsi="Times New Roman"/>
          <w:sz w:val="14"/>
          <w:szCs w:val="14"/>
          <w:color w:val="auto"/>
        </w:rPr>
        <w:t>2.2.1 the title (which shall distinguish the Securities of that particular Series from the Securities of any other Series) and ranking (including the terms of any subordination provisions) of the Series;</w:t>
      </w:r>
    </w:p>
    <w:p>
      <w:pPr>
        <w:spacing w:after="0" w:line="1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2.2.2 the price or prices (expressed as a percentage of the principal amount thereof) at which the Securities of the Series will be issued;</w:t>
      </w:r>
    </w:p>
    <w:p>
      <w:pPr>
        <w:spacing w:after="0" w:line="184" w:lineRule="exact"/>
        <w:rPr>
          <w:sz w:val="20"/>
          <w:szCs w:val="20"/>
          <w:color w:val="auto"/>
        </w:rPr>
      </w:pPr>
    </w:p>
    <w:p>
      <w:pPr>
        <w:ind w:left="120" w:right="359" w:firstLine="791"/>
        <w:spacing w:after="0" w:line="275" w:lineRule="auto"/>
        <w:rPr>
          <w:sz w:val="20"/>
          <w:szCs w:val="20"/>
          <w:color w:val="auto"/>
        </w:rPr>
      </w:pPr>
      <w:r>
        <w:rPr>
          <w:rFonts w:ascii="Times New Roman" w:cs="Times New Roman" w:eastAsia="Times New Roman" w:hAnsi="Times New Roman"/>
          <w:sz w:val="14"/>
          <w:szCs w:val="14"/>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2.2.4 the date or dates on which the principal of the Securities of the Series is payable;</w:t>
      </w:r>
    </w:p>
    <w:p>
      <w:pPr>
        <w:spacing w:after="0" w:line="1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62" w:name="page63"/>
    <w:bookmarkEnd w:id="62"/>
    <w:p>
      <w:pPr>
        <w:ind w:left="120" w:right="119" w:firstLine="791"/>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54" w:lineRule="exact"/>
        <w:rPr>
          <w:sz w:val="20"/>
          <w:szCs w:val="20"/>
          <w:color w:val="auto"/>
        </w:rPr>
      </w:pPr>
    </w:p>
    <w:p>
      <w:pPr>
        <w:ind w:left="120" w:right="199" w:firstLine="791"/>
        <w:spacing w:after="0" w:line="275" w:lineRule="auto"/>
        <w:rPr>
          <w:sz w:val="20"/>
          <w:szCs w:val="20"/>
          <w:color w:val="auto"/>
        </w:rPr>
      </w:pPr>
      <w:r>
        <w:rPr>
          <w:rFonts w:ascii="Times New Roman" w:cs="Times New Roman" w:eastAsia="Times New Roman" w:hAnsi="Times New Roman"/>
          <w:sz w:val="14"/>
          <w:szCs w:val="14"/>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50" w:lineRule="exact"/>
        <w:rPr>
          <w:sz w:val="20"/>
          <w:szCs w:val="20"/>
          <w:color w:val="auto"/>
        </w:rPr>
      </w:pPr>
    </w:p>
    <w:p>
      <w:pPr>
        <w:ind w:left="120" w:right="199" w:firstLine="791"/>
        <w:spacing w:after="0" w:line="294" w:lineRule="auto"/>
        <w:rPr>
          <w:sz w:val="20"/>
          <w:szCs w:val="20"/>
          <w:color w:val="auto"/>
        </w:rPr>
      </w:pPr>
      <w:r>
        <w:rPr>
          <w:rFonts w:ascii="Times New Roman" w:cs="Times New Roman" w:eastAsia="Times New Roman" w:hAnsi="Times New Roman"/>
          <w:sz w:val="14"/>
          <w:szCs w:val="14"/>
          <w:color w:val="auto"/>
        </w:rPr>
        <w:t>2.2.7 if applicable, the period or periods within which, the price or prices at which and the terms and conditions upon which the Securities of the Series may be redeemed, in whole or in part, at the option of the Company;</w:t>
      </w:r>
    </w:p>
    <w:p>
      <w:pPr>
        <w:spacing w:after="0" w:line="36" w:lineRule="exact"/>
        <w:rPr>
          <w:sz w:val="20"/>
          <w:szCs w:val="20"/>
          <w:color w:val="auto"/>
        </w:rPr>
      </w:pPr>
    </w:p>
    <w:p>
      <w:pPr>
        <w:ind w:left="120" w:right="279" w:firstLine="791"/>
        <w:spacing w:after="0" w:line="275" w:lineRule="auto"/>
        <w:rPr>
          <w:sz w:val="20"/>
          <w:szCs w:val="20"/>
          <w:color w:val="auto"/>
        </w:rPr>
      </w:pPr>
      <w:r>
        <w:rPr>
          <w:rFonts w:ascii="Times New Roman" w:cs="Times New Roman" w:eastAsia="Times New Roman" w:hAnsi="Times New Roman"/>
          <w:sz w:val="14"/>
          <w:szCs w:val="14"/>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50" w:lineRule="exact"/>
        <w:rPr>
          <w:sz w:val="20"/>
          <w:szCs w:val="20"/>
          <w:color w:val="auto"/>
        </w:rPr>
      </w:pPr>
    </w:p>
    <w:p>
      <w:pPr>
        <w:ind w:left="120" w:right="399" w:firstLine="791"/>
        <w:spacing w:after="0" w:line="294" w:lineRule="auto"/>
        <w:rPr>
          <w:sz w:val="20"/>
          <w:szCs w:val="20"/>
          <w:color w:val="auto"/>
        </w:rPr>
      </w:pPr>
      <w:r>
        <w:rPr>
          <w:rFonts w:ascii="Times New Roman" w:cs="Times New Roman" w:eastAsia="Times New Roman" w:hAnsi="Times New Roman"/>
          <w:sz w:val="14"/>
          <w:szCs w:val="14"/>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36" w:lineRule="exact"/>
        <w:rPr>
          <w:sz w:val="20"/>
          <w:szCs w:val="20"/>
          <w:color w:val="auto"/>
        </w:rPr>
      </w:pPr>
    </w:p>
    <w:p>
      <w:pPr>
        <w:ind w:left="120" w:right="399" w:firstLine="791"/>
        <w:spacing w:after="0" w:line="294" w:lineRule="auto"/>
        <w:rPr>
          <w:sz w:val="20"/>
          <w:szCs w:val="20"/>
          <w:color w:val="auto"/>
        </w:rPr>
      </w:pPr>
      <w:r>
        <w:rPr>
          <w:rFonts w:ascii="Times New Roman" w:cs="Times New Roman" w:eastAsia="Times New Roman" w:hAnsi="Times New Roman"/>
          <w:sz w:val="14"/>
          <w:szCs w:val="14"/>
          <w:color w:val="auto"/>
        </w:rPr>
        <w:t>2.2.10 if other than denominations of $1,000 and any integral multiple thereof, the denominations in which the Securities of the Series shall be issuable;</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2.2.11 the forms of the Securities of the Series and whether the Securities will be issuable as Global Securities;</w:t>
      </w:r>
    </w:p>
    <w:p>
      <w:pPr>
        <w:spacing w:after="0" w:line="97" w:lineRule="exact"/>
        <w:rPr>
          <w:sz w:val="20"/>
          <w:szCs w:val="20"/>
          <w:color w:val="auto"/>
        </w:rPr>
      </w:pPr>
    </w:p>
    <w:p>
      <w:pPr>
        <w:jc w:val="both"/>
        <w:ind w:left="120" w:right="339" w:firstLine="791"/>
        <w:spacing w:after="0" w:line="294" w:lineRule="auto"/>
        <w:rPr>
          <w:sz w:val="20"/>
          <w:szCs w:val="20"/>
          <w:color w:val="auto"/>
        </w:rPr>
      </w:pPr>
      <w:r>
        <w:rPr>
          <w:rFonts w:ascii="Times New Roman" w:cs="Times New Roman" w:eastAsia="Times New Roman" w:hAnsi="Times New Roman"/>
          <w:sz w:val="14"/>
          <w:szCs w:val="14"/>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36" w:lineRule="exact"/>
        <w:rPr>
          <w:sz w:val="20"/>
          <w:szCs w:val="20"/>
          <w:color w:val="auto"/>
        </w:rPr>
      </w:pPr>
    </w:p>
    <w:p>
      <w:pPr>
        <w:ind w:left="120" w:right="139" w:firstLine="791"/>
        <w:spacing w:after="0" w:line="294" w:lineRule="auto"/>
        <w:rPr>
          <w:sz w:val="20"/>
          <w:szCs w:val="20"/>
          <w:color w:val="auto"/>
        </w:rPr>
      </w:pPr>
      <w:r>
        <w:rPr>
          <w:rFonts w:ascii="Times New Roman" w:cs="Times New Roman" w:eastAsia="Times New Roman" w:hAnsi="Times New Roman"/>
          <w:sz w:val="14"/>
          <w:szCs w:val="14"/>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36" w:lineRule="exact"/>
        <w:rPr>
          <w:sz w:val="20"/>
          <w:szCs w:val="20"/>
          <w:color w:val="auto"/>
        </w:rPr>
      </w:pPr>
    </w:p>
    <w:p>
      <w:pPr>
        <w:ind w:left="120" w:right="639" w:firstLine="791"/>
        <w:spacing w:after="0" w:line="294" w:lineRule="auto"/>
        <w:rPr>
          <w:sz w:val="20"/>
          <w:szCs w:val="20"/>
          <w:color w:val="auto"/>
        </w:rPr>
      </w:pPr>
      <w:r>
        <w:rPr>
          <w:rFonts w:ascii="Times New Roman" w:cs="Times New Roman" w:eastAsia="Times New Roman" w:hAnsi="Times New Roman"/>
          <w:sz w:val="14"/>
          <w:szCs w:val="14"/>
          <w:color w:val="auto"/>
        </w:rPr>
        <w:t>2.2.14 the designation of the currency, currencies or currency units in which payment of the principal of and interest, if any, on the Securities of the Series will be made;</w:t>
      </w:r>
    </w:p>
    <w:p>
      <w:pPr>
        <w:spacing w:after="0" w:line="36" w:lineRule="exact"/>
        <w:rPr>
          <w:sz w:val="20"/>
          <w:szCs w:val="20"/>
          <w:color w:val="auto"/>
        </w:rPr>
      </w:pPr>
    </w:p>
    <w:p>
      <w:pPr>
        <w:jc w:val="both"/>
        <w:ind w:left="120" w:right="339" w:firstLine="791"/>
        <w:spacing w:after="0" w:line="275" w:lineRule="auto"/>
        <w:rPr>
          <w:sz w:val="20"/>
          <w:szCs w:val="20"/>
          <w:color w:val="auto"/>
        </w:rPr>
      </w:pPr>
      <w:r>
        <w:rPr>
          <w:rFonts w:ascii="Times New Roman" w:cs="Times New Roman" w:eastAsia="Times New Roman" w:hAnsi="Times New Roman"/>
          <w:sz w:val="14"/>
          <w:szCs w:val="14"/>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50" w:lineRule="exact"/>
        <w:rPr>
          <w:sz w:val="20"/>
          <w:szCs w:val="20"/>
          <w:color w:val="auto"/>
        </w:rPr>
      </w:pPr>
    </w:p>
    <w:p>
      <w:pPr>
        <w:ind w:left="120" w:right="219" w:firstLine="791"/>
        <w:spacing w:after="0" w:line="275" w:lineRule="auto"/>
        <w:rPr>
          <w:sz w:val="20"/>
          <w:szCs w:val="20"/>
          <w:color w:val="auto"/>
        </w:rPr>
      </w:pPr>
      <w:r>
        <w:rPr>
          <w:rFonts w:ascii="Times New Roman" w:cs="Times New Roman" w:eastAsia="Times New Roman" w:hAnsi="Times New Roman"/>
          <w:sz w:val="14"/>
          <w:szCs w:val="14"/>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3" w:right="1440" w:bottom="1440" w:gutter="0" w:footer="0" w:header="0"/>
        </w:sectPr>
      </w:pPr>
    </w:p>
    <w:bookmarkStart w:id="63" w:name="page64"/>
    <w:bookmarkEnd w:id="63"/>
    <w:p>
      <w:pPr>
        <w:ind w:left="9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2.2.17 the provisions, if any, relating to any security provided for the Securities of the Series;</w:t>
      </w:r>
    </w:p>
    <w:p>
      <w:pPr>
        <w:spacing w:after="0" w:line="97" w:lineRule="exact"/>
        <w:rPr>
          <w:sz w:val="20"/>
          <w:szCs w:val="20"/>
          <w:color w:val="auto"/>
        </w:rPr>
      </w:pPr>
    </w:p>
    <w:p>
      <w:pPr>
        <w:ind w:left="120" w:right="299" w:firstLine="791"/>
        <w:spacing w:after="0" w:line="294" w:lineRule="auto"/>
        <w:rPr>
          <w:sz w:val="20"/>
          <w:szCs w:val="20"/>
          <w:color w:val="auto"/>
        </w:rPr>
      </w:pPr>
      <w:r>
        <w:rPr>
          <w:rFonts w:ascii="Times New Roman" w:cs="Times New Roman" w:eastAsia="Times New Roman" w:hAnsi="Times New Roman"/>
          <w:sz w:val="14"/>
          <w:szCs w:val="14"/>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2.2.19 any addition to, deletion of or change in the covenants applicable to Securities of the Series;</w:t>
      </w:r>
    </w:p>
    <w:p>
      <w:pPr>
        <w:spacing w:after="0" w:line="97" w:lineRule="exact"/>
        <w:rPr>
          <w:sz w:val="20"/>
          <w:szCs w:val="20"/>
          <w:color w:val="auto"/>
        </w:rPr>
      </w:pPr>
    </w:p>
    <w:p>
      <w:pPr>
        <w:ind w:left="120" w:right="199" w:firstLine="791"/>
        <w:spacing w:after="0" w:line="294" w:lineRule="auto"/>
        <w:rPr>
          <w:sz w:val="20"/>
          <w:szCs w:val="20"/>
          <w:color w:val="auto"/>
        </w:rPr>
      </w:pPr>
      <w:r>
        <w:rPr>
          <w:rFonts w:ascii="Times New Roman" w:cs="Times New Roman" w:eastAsia="Times New Roman" w:hAnsi="Times New Roman"/>
          <w:sz w:val="14"/>
          <w:szCs w:val="14"/>
          <w:color w:val="auto"/>
        </w:rPr>
        <w:t>2.2.20 any Depositaries, interest rate calculation agents, exchange rate calculation agents or other agents with respect to Securities of such Series if other than those appointed herein;</w:t>
      </w:r>
    </w:p>
    <w:p>
      <w:pPr>
        <w:spacing w:after="0" w:line="36" w:lineRule="exact"/>
        <w:rPr>
          <w:sz w:val="20"/>
          <w:szCs w:val="20"/>
          <w:color w:val="auto"/>
        </w:rPr>
      </w:pPr>
    </w:p>
    <w:p>
      <w:pPr>
        <w:ind w:left="120" w:right="199" w:firstLine="791"/>
        <w:spacing w:after="0" w:line="269" w:lineRule="auto"/>
        <w:rPr>
          <w:sz w:val="20"/>
          <w:szCs w:val="20"/>
          <w:color w:val="auto"/>
        </w:rPr>
      </w:pPr>
      <w:r>
        <w:rPr>
          <w:rFonts w:ascii="Times New Roman" w:cs="Times New Roman" w:eastAsia="Times New Roman" w:hAnsi="Times New Roman"/>
          <w:sz w:val="14"/>
          <w:szCs w:val="14"/>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54" w:lineRule="exact"/>
        <w:rPr>
          <w:sz w:val="20"/>
          <w:szCs w:val="20"/>
          <w:color w:val="auto"/>
        </w:rPr>
      </w:pPr>
    </w:p>
    <w:p>
      <w:pPr>
        <w:jc w:val="both"/>
        <w:ind w:left="120" w:right="179" w:firstLine="791"/>
        <w:spacing w:after="0" w:line="275" w:lineRule="auto"/>
        <w:rPr>
          <w:sz w:val="20"/>
          <w:szCs w:val="20"/>
          <w:color w:val="auto"/>
        </w:rPr>
      </w:pPr>
      <w:r>
        <w:rPr>
          <w:rFonts w:ascii="Times New Roman" w:cs="Times New Roman" w:eastAsia="Times New Roman" w:hAnsi="Times New Roman"/>
          <w:sz w:val="14"/>
          <w:szCs w:val="14"/>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50" w:lineRule="exact"/>
        <w:rPr>
          <w:sz w:val="20"/>
          <w:szCs w:val="20"/>
          <w:color w:val="auto"/>
        </w:rPr>
      </w:pPr>
    </w:p>
    <w:p>
      <w:pPr>
        <w:ind w:left="120" w:right="439" w:firstLine="791"/>
        <w:spacing w:after="0" w:line="294" w:lineRule="auto"/>
        <w:rPr>
          <w:sz w:val="20"/>
          <w:szCs w:val="20"/>
          <w:color w:val="auto"/>
        </w:rPr>
      </w:pPr>
      <w:r>
        <w:rPr>
          <w:rFonts w:ascii="Times New Roman" w:cs="Times New Roman" w:eastAsia="Times New Roman" w:hAnsi="Times New Roman"/>
          <w:sz w:val="14"/>
          <w:szCs w:val="14"/>
          <w:color w:val="auto"/>
        </w:rPr>
        <w:t>2.2.23 whether any of the Company’s direct or indirect Subsidiaries will guarantee the Securities of that Series, including the terms of subordination, if any, of such guarantees.</w:t>
      </w:r>
    </w:p>
    <w:p>
      <w:pPr>
        <w:spacing w:after="0" w:line="123" w:lineRule="exact"/>
        <w:rPr>
          <w:sz w:val="20"/>
          <w:szCs w:val="20"/>
          <w:color w:val="auto"/>
        </w:rPr>
      </w:pPr>
    </w:p>
    <w:p>
      <w:pPr>
        <w:ind w:left="120" w:right="639" w:firstLine="351"/>
        <w:spacing w:after="0" w:line="294" w:lineRule="auto"/>
        <w:rPr>
          <w:sz w:val="20"/>
          <w:szCs w:val="20"/>
          <w:color w:val="auto"/>
        </w:rPr>
      </w:pPr>
      <w:r>
        <w:rPr>
          <w:rFonts w:ascii="Times New Roman" w:cs="Times New Roman" w:eastAsia="Times New Roman" w:hAnsi="Times New Roman"/>
          <w:sz w:val="14"/>
          <w:szCs w:val="14"/>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Execution and Authentication</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Officer shall sign the Securities for the Company by manual, facsimile or electronic signature.</w:t>
      </w:r>
    </w:p>
    <w:p>
      <w:pPr>
        <w:spacing w:after="0" w:line="184" w:lineRule="exact"/>
        <w:rPr>
          <w:sz w:val="20"/>
          <w:szCs w:val="20"/>
          <w:color w:val="auto"/>
        </w:rPr>
      </w:pPr>
    </w:p>
    <w:p>
      <w:pPr>
        <w:ind w:left="120" w:right="299" w:firstLine="351"/>
        <w:spacing w:after="0" w:line="294" w:lineRule="auto"/>
        <w:rPr>
          <w:sz w:val="20"/>
          <w:szCs w:val="20"/>
          <w:color w:val="auto"/>
        </w:rPr>
      </w:pPr>
      <w:r>
        <w:rPr>
          <w:rFonts w:ascii="Times New Roman" w:cs="Times New Roman" w:eastAsia="Times New Roman" w:hAnsi="Times New Roman"/>
          <w:sz w:val="14"/>
          <w:szCs w:val="14"/>
          <w:color w:val="auto"/>
        </w:rPr>
        <w:t>If an Officer whose signature is on a Security no longer holds that office at the time the Security is authenticated, the Security shall nevertheless be valid.</w:t>
      </w:r>
    </w:p>
    <w:p>
      <w:pPr>
        <w:spacing w:after="0" w:line="123" w:lineRule="exact"/>
        <w:rPr>
          <w:sz w:val="20"/>
          <w:szCs w:val="20"/>
          <w:color w:val="auto"/>
        </w:rPr>
      </w:pPr>
    </w:p>
    <w:p>
      <w:pPr>
        <w:ind w:left="120" w:right="719" w:firstLine="351"/>
        <w:spacing w:after="0" w:line="294" w:lineRule="auto"/>
        <w:rPr>
          <w:sz w:val="20"/>
          <w:szCs w:val="20"/>
          <w:color w:val="auto"/>
        </w:rPr>
      </w:pPr>
      <w:r>
        <w:rPr>
          <w:rFonts w:ascii="Times New Roman" w:cs="Times New Roman" w:eastAsia="Times New Roman" w:hAnsi="Times New Roman"/>
          <w:sz w:val="14"/>
          <w:szCs w:val="14"/>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23" w:lineRule="exact"/>
        <w:rPr>
          <w:sz w:val="20"/>
          <w:szCs w:val="20"/>
          <w:color w:val="auto"/>
        </w:rPr>
      </w:pPr>
    </w:p>
    <w:p>
      <w:pPr>
        <w:ind w:left="120" w:right="379" w:firstLine="351"/>
        <w:spacing w:after="0" w:line="275" w:lineRule="auto"/>
        <w:rPr>
          <w:sz w:val="20"/>
          <w:szCs w:val="20"/>
          <w:color w:val="auto"/>
        </w:rPr>
      </w:pPr>
      <w:r>
        <w:rPr>
          <w:rFonts w:ascii="Times New Roman" w:cs="Times New Roman" w:eastAsia="Times New Roman" w:hAnsi="Times New Roman"/>
          <w:sz w:val="14"/>
          <w:szCs w:val="14"/>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36" w:lineRule="exact"/>
        <w:rPr>
          <w:sz w:val="20"/>
          <w:szCs w:val="20"/>
          <w:color w:val="auto"/>
        </w:rPr>
      </w:pPr>
    </w:p>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3"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Prior to the issuance of Securities of any Series, the Trustee shall have received and (subject to Section 7.2) shall be fully protected in relying on:</w:t>
      </w:r>
    </w:p>
    <w:p>
      <w:pPr>
        <w:spacing w:after="0" w:line="25" w:lineRule="exact"/>
        <w:rPr>
          <w:sz w:val="20"/>
          <w:szCs w:val="20"/>
          <w:color w:val="auto"/>
        </w:rPr>
      </w:pPr>
    </w:p>
    <w:p>
      <w:pPr>
        <w:ind w:left="120" w:right="319" w:hanging="10"/>
        <w:spacing w:after="0" w:line="265" w:lineRule="auto"/>
        <w:tabs>
          <w:tab w:leader="none" w:pos="31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w:t>
      </w:r>
    </w:p>
    <w:p>
      <w:pPr>
        <w:spacing w:after="0" w:line="142" w:lineRule="exact"/>
        <w:rPr>
          <w:sz w:val="20"/>
          <w:szCs w:val="20"/>
          <w:color w:val="auto"/>
        </w:rPr>
      </w:pPr>
    </w:p>
    <w:p>
      <w:pPr>
        <w:ind w:left="120" w:right="179" w:firstLine="351"/>
        <w:spacing w:after="0" w:line="275"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36" w:lineRule="exact"/>
        <w:rPr>
          <w:sz w:val="20"/>
          <w:szCs w:val="20"/>
          <w:color w:val="auto"/>
        </w:rPr>
      </w:pPr>
    </w:p>
    <w:p>
      <w:pPr>
        <w:jc w:val="both"/>
        <w:ind w:left="120" w:right="219" w:firstLine="351"/>
        <w:spacing w:after="0" w:line="275" w:lineRule="auto"/>
        <w:rPr>
          <w:sz w:val="20"/>
          <w:szCs w:val="20"/>
          <w:color w:val="auto"/>
        </w:rPr>
      </w:pPr>
      <w:r>
        <w:rPr>
          <w:rFonts w:ascii="Times New Roman" w:cs="Times New Roman" w:eastAsia="Times New Roman" w:hAnsi="Times New Roman"/>
          <w:sz w:val="14"/>
          <w:szCs w:val="14"/>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Registrar, Paying Agent and Notice Agent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 xml:space="preserve">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delivered (“Notice Agent”).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appointment of the Trustee as the Notice Agent shall exclude the appointment of the Trustee or any office of the Trustee as an agent to receive the service of legal process on the Company.</w:t>
      </w:r>
    </w:p>
    <w:p>
      <w:pPr>
        <w:spacing w:after="0" w:line="145"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“Registrar” includes any co-registrar; the term “Paying Agent” includes any additional paying agent; and the term “Notice Agent” includes any additional notice agent. The Company or any of its Affiliates may serve as Registrar or Paying Agent.</w:t>
      </w:r>
    </w:p>
    <w:p>
      <w:pPr>
        <w:spacing w:after="0" w:line="144" w:lineRule="exact"/>
        <w:rPr>
          <w:sz w:val="20"/>
          <w:szCs w:val="20"/>
          <w:color w:val="auto"/>
        </w:rPr>
      </w:pPr>
    </w:p>
    <w:p>
      <w:pPr>
        <w:ind w:left="120" w:right="139" w:firstLine="351"/>
        <w:spacing w:after="0" w:line="269" w:lineRule="auto"/>
        <w:rPr>
          <w:sz w:val="20"/>
          <w:szCs w:val="20"/>
          <w:color w:val="auto"/>
        </w:rPr>
      </w:pPr>
      <w:r>
        <w:rPr>
          <w:rFonts w:ascii="Times New Roman" w:cs="Times New Roman" w:eastAsia="Times New Roman" w:hAnsi="Times New Roman"/>
          <w:sz w:val="14"/>
          <w:szCs w:val="14"/>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3"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Section 2.5 </w:t>
      </w:r>
      <w:r>
        <w:rPr>
          <w:rFonts w:ascii="Times New Roman" w:cs="Times New Roman" w:eastAsia="Times New Roman" w:hAnsi="Times New Roman"/>
          <w:sz w:val="14"/>
          <w:szCs w:val="14"/>
          <w:u w:val="single" w:color="auto"/>
          <w:color w:val="auto"/>
        </w:rPr>
        <w:t>Paying Agent to Hold Money in Trust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19" w:firstLine="351"/>
        <w:spacing w:after="0" w:line="261" w:lineRule="auto"/>
        <w:rPr>
          <w:sz w:val="20"/>
          <w:szCs w:val="20"/>
          <w:color w:val="auto"/>
        </w:rPr>
      </w:pPr>
      <w:r>
        <w:rPr>
          <w:rFonts w:ascii="Times New Roman" w:cs="Times New Roman" w:eastAsia="Times New Roman" w:hAnsi="Times New Roman"/>
          <w:sz w:val="14"/>
          <w:szCs w:val="14"/>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Holder Lists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59" w:firstLine="351"/>
        <w:spacing w:after="0" w:line="269" w:lineRule="auto"/>
        <w:rPr>
          <w:sz w:val="20"/>
          <w:szCs w:val="20"/>
          <w:color w:val="auto"/>
        </w:rPr>
      </w:pPr>
      <w:r>
        <w:rPr>
          <w:rFonts w:ascii="Times New Roman" w:cs="Times New Roman" w:eastAsia="Times New Roman" w:hAnsi="Times New Roman"/>
          <w:sz w:val="14"/>
          <w:szCs w:val="14"/>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40" w:lineRule="exact"/>
        <w:rPr>
          <w:sz w:val="20"/>
          <w:szCs w:val="20"/>
          <w:color w:val="auto"/>
        </w:rPr>
      </w:pPr>
    </w:p>
    <w:p>
      <w:pPr>
        <w:jc w:val="both"/>
        <w:ind w:left="120" w:right="379" w:firstLine="351"/>
        <w:spacing w:after="0" w:line="269" w:lineRule="auto"/>
        <w:rPr>
          <w:sz w:val="20"/>
          <w:szCs w:val="20"/>
          <w:color w:val="auto"/>
        </w:rPr>
      </w:pPr>
      <w:r>
        <w:rPr>
          <w:rFonts w:ascii="Times New Roman" w:cs="Times New Roman" w:eastAsia="Times New Roman" w:hAnsi="Times New Roman"/>
          <w:sz w:val="14"/>
          <w:szCs w:val="14"/>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44" w:lineRule="exact"/>
        <w:rPr>
          <w:sz w:val="20"/>
          <w:szCs w:val="20"/>
          <w:color w:val="auto"/>
        </w:rPr>
      </w:pPr>
    </w:p>
    <w:p>
      <w:pPr>
        <w:ind w:left="120" w:right="159" w:firstLine="351"/>
        <w:spacing w:after="0" w:line="266" w:lineRule="auto"/>
        <w:rPr>
          <w:sz w:val="20"/>
          <w:szCs w:val="20"/>
          <w:color w:val="auto"/>
        </w:rPr>
      </w:pPr>
      <w:r>
        <w:rPr>
          <w:rFonts w:ascii="Times New Roman" w:cs="Times New Roman" w:eastAsia="Times New Roman" w:hAnsi="Times New Roman"/>
          <w:sz w:val="14"/>
          <w:szCs w:val="14"/>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3"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Section 2.8 </w:t>
      </w:r>
      <w:r>
        <w:rPr>
          <w:rFonts w:ascii="Times New Roman" w:cs="Times New Roman" w:eastAsia="Times New Roman" w:hAnsi="Times New Roman"/>
          <w:sz w:val="14"/>
          <w:szCs w:val="14"/>
          <w:u w:val="single" w:color="auto"/>
          <w:color w:val="auto"/>
        </w:rPr>
        <w:t>Mutilated, Destroyed, Lost and Stolen Securities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479" w:firstLine="351"/>
        <w:spacing w:after="0" w:line="294" w:lineRule="auto"/>
        <w:rPr>
          <w:sz w:val="20"/>
          <w:szCs w:val="20"/>
          <w:color w:val="auto"/>
        </w:rPr>
      </w:pPr>
      <w:r>
        <w:rPr>
          <w:rFonts w:ascii="Times New Roman" w:cs="Times New Roman" w:eastAsia="Times New Roman" w:hAnsi="Times New Roman"/>
          <w:sz w:val="14"/>
          <w:szCs w:val="14"/>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If there shall be delivered to the Company and the Trustee (i) evidence to their satisfaction of the destruction, loss or theft of any Security and</w:t>
      </w:r>
    </w:p>
    <w:p>
      <w:pPr>
        <w:spacing w:after="0" w:line="25" w:lineRule="exact"/>
        <w:rPr>
          <w:sz w:val="20"/>
          <w:szCs w:val="20"/>
          <w:color w:val="auto"/>
        </w:rPr>
      </w:pPr>
    </w:p>
    <w:p>
      <w:pPr>
        <w:ind w:left="120" w:right="139" w:hanging="10"/>
        <w:spacing w:after="0" w:line="262" w:lineRule="auto"/>
        <w:tabs>
          <w:tab w:leader="none" w:pos="33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45" w:lineRule="exact"/>
        <w:rPr>
          <w:sz w:val="20"/>
          <w:szCs w:val="20"/>
          <w:color w:val="auto"/>
        </w:rPr>
      </w:pPr>
    </w:p>
    <w:p>
      <w:pPr>
        <w:ind w:left="120" w:right="359" w:firstLine="351"/>
        <w:spacing w:after="0" w:line="294" w:lineRule="auto"/>
        <w:rPr>
          <w:sz w:val="20"/>
          <w:szCs w:val="20"/>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new Security, pay such Security.</w:t>
      </w:r>
    </w:p>
    <w:p>
      <w:pPr>
        <w:spacing w:after="0" w:line="123" w:lineRule="exact"/>
        <w:rPr>
          <w:sz w:val="20"/>
          <w:szCs w:val="20"/>
          <w:color w:val="auto"/>
        </w:rPr>
      </w:pPr>
    </w:p>
    <w:p>
      <w:pPr>
        <w:ind w:left="120" w:right="379" w:firstLine="351"/>
        <w:spacing w:after="0" w:line="275" w:lineRule="auto"/>
        <w:rPr>
          <w:sz w:val="20"/>
          <w:szCs w:val="20"/>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6" w:lineRule="exact"/>
        <w:rPr>
          <w:sz w:val="20"/>
          <w:szCs w:val="20"/>
          <w:color w:val="auto"/>
        </w:rPr>
      </w:pPr>
    </w:p>
    <w:p>
      <w:pPr>
        <w:ind w:left="120" w:right="279" w:firstLine="351"/>
        <w:spacing w:after="0" w:line="275" w:lineRule="auto"/>
        <w:rPr>
          <w:sz w:val="20"/>
          <w:szCs w:val="20"/>
          <w:color w:val="auto"/>
        </w:rPr>
      </w:pPr>
      <w:r>
        <w:rPr>
          <w:rFonts w:ascii="Times New Roman" w:cs="Times New Roman" w:eastAsia="Times New Roman" w:hAnsi="Times New Roman"/>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36" w:lineRule="exact"/>
        <w:rPr>
          <w:sz w:val="20"/>
          <w:szCs w:val="20"/>
          <w:color w:val="auto"/>
        </w:rPr>
      </w:pPr>
    </w:p>
    <w:p>
      <w:pPr>
        <w:ind w:left="120" w:right="219" w:firstLine="351"/>
        <w:spacing w:after="0" w:line="294" w:lineRule="auto"/>
        <w:rPr>
          <w:sz w:val="20"/>
          <w:szCs w:val="20"/>
          <w:color w:val="auto"/>
        </w:rPr>
      </w:pPr>
      <w:r>
        <w:rPr>
          <w:rFonts w:ascii="Times New Roman" w:cs="Times New Roman" w:eastAsia="Times New Roman" w:hAnsi="Times New Roman"/>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Outstanding Securities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75" w:lineRule="auto"/>
        <w:rPr>
          <w:sz w:val="20"/>
          <w:szCs w:val="20"/>
          <w:color w:val="auto"/>
        </w:rPr>
      </w:pPr>
      <w:r>
        <w:rPr>
          <w:rFonts w:ascii="Times New Roman" w:cs="Times New Roman" w:eastAsia="Times New Roman" w:hAnsi="Times New Roman"/>
          <w:sz w:val="14"/>
          <w:szCs w:val="14"/>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36" w:lineRule="exact"/>
        <w:rPr>
          <w:sz w:val="20"/>
          <w:szCs w:val="20"/>
          <w:color w:val="auto"/>
        </w:rPr>
      </w:pPr>
    </w:p>
    <w:p>
      <w:pPr>
        <w:ind w:left="120" w:right="479" w:firstLine="351"/>
        <w:spacing w:after="0" w:line="294" w:lineRule="auto"/>
        <w:rPr>
          <w:sz w:val="20"/>
          <w:szCs w:val="20"/>
          <w:color w:val="auto"/>
        </w:rPr>
      </w:pPr>
      <w:r>
        <w:rPr>
          <w:rFonts w:ascii="Times New Roman" w:cs="Times New Roman" w:eastAsia="Times New Roman" w:hAnsi="Times New Roman"/>
          <w:sz w:val="14"/>
          <w:szCs w:val="14"/>
          <w:color w:val="auto"/>
        </w:rPr>
        <w:t>If a Security is replaced pursuant to Section 2.8, it ceases to be outstanding until the Trustee receives proof satisfactory to it that the replaced Security is held by a bona fide purchaser.</w:t>
      </w:r>
    </w:p>
    <w:p>
      <w:pPr>
        <w:spacing w:after="0" w:line="123" w:lineRule="exact"/>
        <w:rPr>
          <w:sz w:val="20"/>
          <w:szCs w:val="20"/>
          <w:color w:val="auto"/>
        </w:rPr>
      </w:pPr>
    </w:p>
    <w:p>
      <w:pPr>
        <w:jc w:val="both"/>
        <w:ind w:left="120" w:right="139" w:firstLine="351"/>
        <w:spacing w:after="0" w:line="275" w:lineRule="auto"/>
        <w:rPr>
          <w:sz w:val="20"/>
          <w:szCs w:val="20"/>
          <w:color w:val="auto"/>
        </w:rPr>
      </w:pPr>
      <w:r>
        <w:rPr>
          <w:rFonts w:ascii="Times New Roman" w:cs="Times New Roman" w:eastAsia="Times New Roman" w:hAnsi="Times New Roman"/>
          <w:sz w:val="14"/>
          <w:szCs w:val="14"/>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36" w:lineRule="exact"/>
        <w:rPr>
          <w:sz w:val="20"/>
          <w:szCs w:val="20"/>
          <w:color w:val="auto"/>
        </w:rPr>
      </w:pPr>
    </w:p>
    <w:p>
      <w:pPr>
        <w:ind w:left="120" w:right="519" w:firstLine="351"/>
        <w:spacing w:after="0" w:line="294" w:lineRule="auto"/>
        <w:rPr>
          <w:sz w:val="20"/>
          <w:szCs w:val="20"/>
          <w:color w:val="auto"/>
        </w:rPr>
      </w:pPr>
      <w:r>
        <w:rPr>
          <w:rFonts w:ascii="Times New Roman" w:cs="Times New Roman" w:eastAsia="Times New Roman" w:hAnsi="Times New Roman"/>
          <w:sz w:val="14"/>
          <w:szCs w:val="14"/>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3" w:right="1440" w:bottom="1440" w:gutter="0" w:footer="0" w:header="0"/>
        </w:sectPr>
      </w:pPr>
    </w:p>
    <w:bookmarkStart w:id="67" w:name="page68"/>
    <w:bookmarkEnd w:id="67"/>
    <w:p>
      <w:pPr>
        <w:ind w:left="120" w:right="219" w:firstLine="351"/>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Treasury Securities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79" w:firstLine="351"/>
        <w:spacing w:after="0" w:line="269"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79" w:firstLine="351"/>
        <w:spacing w:after="0" w:line="266" w:lineRule="auto"/>
        <w:rPr>
          <w:sz w:val="20"/>
          <w:szCs w:val="20"/>
          <w:color w:val="auto"/>
        </w:rPr>
      </w:pPr>
      <w:r>
        <w:rPr>
          <w:rFonts w:ascii="Times New Roman" w:cs="Times New Roman" w:eastAsia="Times New Roman" w:hAnsi="Times New Roman"/>
          <w:sz w:val="14"/>
          <w:szCs w:val="14"/>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2.12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66" w:lineRule="auto"/>
        <w:rPr>
          <w:sz w:val="20"/>
          <w:szCs w:val="20"/>
          <w:color w:val="auto"/>
        </w:rPr>
      </w:pPr>
      <w:r>
        <w:rPr>
          <w:rFonts w:ascii="Times New Roman" w:cs="Times New Roman" w:eastAsia="Times New Roman" w:hAnsi="Times New Roman"/>
          <w:sz w:val="14"/>
          <w:szCs w:val="14"/>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2.13 </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79" w:firstLine="351"/>
        <w:spacing w:after="0" w:line="266" w:lineRule="auto"/>
        <w:rPr>
          <w:sz w:val="20"/>
          <w:szCs w:val="20"/>
          <w:color w:val="auto"/>
        </w:rPr>
      </w:pPr>
      <w:r>
        <w:rPr>
          <w:rFonts w:ascii="Times New Roman" w:cs="Times New Roman" w:eastAsia="Times New Roman" w:hAnsi="Times New Roman"/>
          <w:sz w:val="14"/>
          <w:szCs w:val="14"/>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u w:val="single" w:color="auto"/>
          <w:color w:val="auto"/>
        </w:rPr>
        <w:t>Global Securities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jc w:val="both"/>
        <w:ind w:left="120" w:right="399" w:firstLine="791"/>
        <w:spacing w:after="0" w:line="275" w:lineRule="auto"/>
        <w:rPr>
          <w:sz w:val="20"/>
          <w:szCs w:val="20"/>
          <w:color w:val="auto"/>
        </w:rPr>
      </w:pPr>
      <w:r>
        <w:rPr>
          <w:rFonts w:ascii="Times New Roman" w:cs="Times New Roman" w:eastAsia="Times New Roman" w:hAnsi="Times New Roman"/>
          <w:sz w:val="14"/>
          <w:szCs w:val="14"/>
          <w:color w:val="auto"/>
        </w:rPr>
        <w:t xml:space="preserve">2.14.1 </w:t>
      </w:r>
      <w:r>
        <w:rPr>
          <w:rFonts w:ascii="Times New Roman" w:cs="Times New Roman" w:eastAsia="Times New Roman" w:hAnsi="Times New Roman"/>
          <w:sz w:val="14"/>
          <w:szCs w:val="14"/>
          <w:u w:val="single" w:color="auto"/>
          <w:color w:val="auto"/>
        </w:rPr>
        <w:t>Terms of Securities</w:t>
      </w:r>
      <w:r>
        <w:rPr>
          <w:rFonts w:ascii="Times New Roman" w:cs="Times New Roman" w:eastAsia="Times New Roman" w:hAnsi="Times New Roman"/>
          <w:sz w:val="14"/>
          <w:szCs w:val="14"/>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3" w:right="1440" w:bottom="1440" w:gutter="0" w:footer="0" w:header="0"/>
        </w:sectPr>
      </w:pPr>
    </w:p>
    <w:bookmarkStart w:id="68" w:name="page69"/>
    <w:bookmarkEnd w:id="68"/>
    <w:p>
      <w:pPr>
        <w:ind w:left="120" w:right="219" w:firstLine="791"/>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2.14.2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45" w:lineRule="exact"/>
        <w:rPr>
          <w:sz w:val="20"/>
          <w:szCs w:val="20"/>
          <w:color w:val="auto"/>
        </w:rPr>
      </w:pPr>
    </w:p>
    <w:p>
      <w:pPr>
        <w:ind w:left="120" w:right="219" w:firstLine="351"/>
        <w:spacing w:after="0" w:line="275" w:lineRule="auto"/>
        <w:rPr>
          <w:sz w:val="20"/>
          <w:szCs w:val="20"/>
          <w:color w:val="auto"/>
        </w:rPr>
      </w:pPr>
      <w:r>
        <w:rPr>
          <w:rFonts w:ascii="Times New Roman" w:cs="Times New Roman" w:eastAsia="Times New Roman" w:hAnsi="Times New Roman"/>
          <w:sz w:val="14"/>
          <w:szCs w:val="14"/>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36" w:lineRule="exact"/>
        <w:rPr>
          <w:sz w:val="20"/>
          <w:szCs w:val="20"/>
          <w:color w:val="auto"/>
        </w:rPr>
      </w:pPr>
    </w:p>
    <w:p>
      <w:pPr>
        <w:ind w:left="120" w:right="219" w:firstLine="351"/>
        <w:spacing w:after="0" w:line="266" w:lineRule="auto"/>
        <w:rPr>
          <w:sz w:val="20"/>
          <w:szCs w:val="20"/>
          <w:color w:val="auto"/>
        </w:rPr>
      </w:pPr>
      <w:r>
        <w:rPr>
          <w:rFonts w:ascii="Times New Roman" w:cs="Times New Roman" w:eastAsia="Times New Roman" w:hAnsi="Times New Roman"/>
          <w:sz w:val="14"/>
          <w:szCs w:val="14"/>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2" w:lineRule="exact"/>
        <w:rPr>
          <w:sz w:val="20"/>
          <w:szCs w:val="20"/>
          <w:color w:val="auto"/>
        </w:rPr>
      </w:pPr>
    </w:p>
    <w:p>
      <w:pPr>
        <w:ind w:left="120" w:right="139" w:firstLine="351"/>
        <w:spacing w:after="0" w:line="266" w:lineRule="auto"/>
        <w:rPr>
          <w:sz w:val="20"/>
          <w:szCs w:val="20"/>
          <w:color w:val="auto"/>
        </w:rPr>
      </w:pPr>
      <w:r>
        <w:rPr>
          <w:rFonts w:ascii="Times New Roman" w:cs="Times New Roman" w:eastAsia="Times New Roman" w:hAnsi="Times New Roman"/>
          <w:sz w:val="14"/>
          <w:szCs w:val="14"/>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2.14.3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Any Global Security issued hereunder shall bear a legend in substantially the following form:</w:t>
      </w:r>
    </w:p>
    <w:p>
      <w:pPr>
        <w:spacing w:after="0" w:line="97"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44" w:lineRule="exact"/>
        <w:rPr>
          <w:sz w:val="20"/>
          <w:szCs w:val="20"/>
          <w:color w:val="auto"/>
        </w:rPr>
      </w:pPr>
    </w:p>
    <w:p>
      <w:pPr>
        <w:ind w:left="120" w:right="539" w:firstLine="351"/>
        <w:spacing w:after="0" w:line="294" w:lineRule="auto"/>
        <w:rPr>
          <w:sz w:val="20"/>
          <w:szCs w:val="20"/>
          <w:color w:val="auto"/>
        </w:rPr>
      </w:pPr>
      <w:r>
        <w:rPr>
          <w:rFonts w:ascii="Times New Roman" w:cs="Times New Roman" w:eastAsia="Times New Roman" w:hAnsi="Times New Roman"/>
          <w:sz w:val="14"/>
          <w:szCs w:val="14"/>
          <w:color w:val="auto"/>
        </w:rPr>
        <w:t>In addition, so long as the Depository Trust Company (“DTC”) is the Depositary, each Global Security registered in the name of DTC or its nominee shall bear a legend in substantially the following form:</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3" w:right="1440" w:bottom="1440" w:gutter="0" w:footer="0" w:header="0"/>
        </w:sectPr>
      </w:pPr>
    </w:p>
    <w:bookmarkStart w:id="69" w:name="page70"/>
    <w:bookmarkEnd w:id="69"/>
    <w:p>
      <w:pPr>
        <w:ind w:left="120" w:right="11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57" w:lineRule="exact"/>
        <w:rPr>
          <w:sz w:val="20"/>
          <w:szCs w:val="20"/>
          <w:color w:val="auto"/>
        </w:rPr>
      </w:pPr>
    </w:p>
    <w:p>
      <w:pPr>
        <w:ind w:left="120" w:right="259" w:firstLine="791"/>
        <w:spacing w:after="0" w:line="294" w:lineRule="auto"/>
        <w:rPr>
          <w:sz w:val="20"/>
          <w:szCs w:val="20"/>
          <w:color w:val="auto"/>
        </w:rPr>
      </w:pPr>
      <w:r>
        <w:rPr>
          <w:rFonts w:ascii="Times New Roman" w:cs="Times New Roman" w:eastAsia="Times New Roman" w:hAnsi="Times New Roman"/>
          <w:sz w:val="14"/>
          <w:szCs w:val="14"/>
          <w:color w:val="auto"/>
        </w:rPr>
        <w:t xml:space="preserve">2.14.4 </w:t>
      </w:r>
      <w:r>
        <w:rPr>
          <w:rFonts w:ascii="Times New Roman" w:cs="Times New Roman" w:eastAsia="Times New Roman" w:hAnsi="Times New Roman"/>
          <w:sz w:val="14"/>
          <w:szCs w:val="14"/>
          <w:u w:val="single" w:color="auto"/>
          <w:color w:val="auto"/>
        </w:rPr>
        <w:t>Acts of Holders</w:t>
      </w:r>
      <w:r>
        <w:rPr>
          <w:rFonts w:ascii="Times New Roman" w:cs="Times New Roman" w:eastAsia="Times New Roman" w:hAnsi="Times New Roman"/>
          <w:sz w:val="14"/>
          <w:szCs w:val="14"/>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36" w:lineRule="exact"/>
        <w:rPr>
          <w:sz w:val="20"/>
          <w:szCs w:val="20"/>
          <w:color w:val="auto"/>
        </w:rPr>
      </w:pPr>
    </w:p>
    <w:p>
      <w:pPr>
        <w:ind w:left="120" w:right="539" w:firstLine="791"/>
        <w:spacing w:after="0" w:line="294" w:lineRule="auto"/>
        <w:rPr>
          <w:sz w:val="20"/>
          <w:szCs w:val="20"/>
          <w:color w:val="auto"/>
        </w:rPr>
      </w:pPr>
      <w:r>
        <w:rPr>
          <w:rFonts w:ascii="Times New Roman" w:cs="Times New Roman" w:eastAsia="Times New Roman" w:hAnsi="Times New Roman"/>
          <w:sz w:val="14"/>
          <w:szCs w:val="14"/>
          <w:color w:val="auto"/>
        </w:rPr>
        <w:t xml:space="preserve">2.14.5 </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36" w:lineRule="exact"/>
        <w:rPr>
          <w:sz w:val="20"/>
          <w:szCs w:val="20"/>
          <w:color w:val="auto"/>
        </w:rPr>
      </w:pPr>
    </w:p>
    <w:p>
      <w:pPr>
        <w:ind w:left="120" w:right="139" w:firstLine="791"/>
        <w:spacing w:after="0" w:line="262" w:lineRule="auto"/>
        <w:rPr>
          <w:sz w:val="20"/>
          <w:szCs w:val="20"/>
          <w:color w:val="auto"/>
        </w:rPr>
      </w:pPr>
      <w:r>
        <w:rPr>
          <w:rFonts w:ascii="Times New Roman" w:cs="Times New Roman" w:eastAsia="Times New Roman" w:hAnsi="Times New Roman"/>
          <w:sz w:val="14"/>
          <w:szCs w:val="14"/>
          <w:color w:val="auto"/>
        </w:rPr>
        <w:t xml:space="preserve">2.14.6 </w:t>
      </w:r>
      <w:r>
        <w:rPr>
          <w:rFonts w:ascii="Times New Roman" w:cs="Times New Roman" w:eastAsia="Times New Roman" w:hAnsi="Times New Roman"/>
          <w:sz w:val="14"/>
          <w:szCs w:val="14"/>
          <w:u w:val="single" w:color="auto"/>
          <w:color w:val="auto"/>
        </w:rPr>
        <w:t>Agent Members</w:t>
      </w:r>
      <w:r>
        <w:rPr>
          <w:rFonts w:ascii="Times New Roman" w:cs="Times New Roman" w:eastAsia="Times New Roman" w:hAnsi="Times New Roman"/>
          <w:sz w:val="14"/>
          <w:szCs w:val="14"/>
          <w:color w:val="auto"/>
        </w:rPr>
        <w:t>. The registered Holder of a Security will be treated as the owner of such Security for all purposes and only registered Holders shall have rights under this Indenture and the Securities. Members of, or participants in, the Depositary (“Agent Members”)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2.15 </w:t>
      </w: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79" w:firstLine="351"/>
        <w:spacing w:after="0" w:line="269" w:lineRule="auto"/>
        <w:rPr>
          <w:sz w:val="20"/>
          <w:szCs w:val="20"/>
          <w:color w:val="auto"/>
        </w:rPr>
      </w:pPr>
      <w:r>
        <w:rPr>
          <w:rFonts w:ascii="Times New Roman" w:cs="Times New Roman" w:eastAsia="Times New Roman" w:hAnsi="Times New Roman"/>
          <w:sz w:val="14"/>
          <w:szCs w:val="14"/>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REDEMPTION</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Notice to Trustee</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219" w:firstLine="351"/>
        <w:spacing w:after="0" w:line="264" w:lineRule="auto"/>
        <w:rPr>
          <w:sz w:val="20"/>
          <w:szCs w:val="20"/>
          <w:color w:val="auto"/>
        </w:rPr>
      </w:pPr>
      <w:r>
        <w:rPr>
          <w:rFonts w:ascii="Times New Roman" w:cs="Times New Roman" w:eastAsia="Times New Roman" w:hAnsi="Times New Roman"/>
          <w:sz w:val="14"/>
          <w:szCs w:val="14"/>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3"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Section 3.2 </w:t>
      </w:r>
      <w:r>
        <w:rPr>
          <w:rFonts w:ascii="Times New Roman" w:cs="Times New Roman" w:eastAsia="Times New Roman" w:hAnsi="Times New Roman"/>
          <w:sz w:val="14"/>
          <w:szCs w:val="14"/>
          <w:u w:val="single" w:color="auto"/>
          <w:color w:val="auto"/>
        </w:rPr>
        <w:t>Selection of Securities to be Redeemed</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75" w:lineRule="auto"/>
        <w:rPr>
          <w:sz w:val="20"/>
          <w:szCs w:val="20"/>
          <w:color w:val="auto"/>
        </w:rPr>
      </w:pPr>
      <w:r>
        <w:rPr>
          <w:rFonts w:ascii="Times New Roman" w:cs="Times New Roman" w:eastAsia="Times New Roman" w:hAnsi="Times New Roman"/>
          <w:sz w:val="14"/>
          <w:szCs w:val="14"/>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notice shall identify the Securities of the Series to be redeemed and shall state:</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3.3.1 the redemption date;</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3.3.2 the redemption price;</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3.3.3 the name and address of the Paying Agent;</w:t>
      </w:r>
    </w:p>
    <w:p>
      <w:pPr>
        <w:spacing w:after="0" w:line="97" w:lineRule="exact"/>
        <w:rPr>
          <w:sz w:val="20"/>
          <w:szCs w:val="20"/>
          <w:color w:val="auto"/>
        </w:rPr>
      </w:pPr>
    </w:p>
    <w:p>
      <w:pPr>
        <w:ind w:left="120" w:right="219" w:firstLine="791"/>
        <w:spacing w:after="0" w:line="275" w:lineRule="auto"/>
        <w:rPr>
          <w:sz w:val="20"/>
          <w:szCs w:val="20"/>
          <w:color w:val="auto"/>
        </w:rPr>
      </w:pPr>
      <w:r>
        <w:rPr>
          <w:rFonts w:ascii="Times New Roman" w:cs="Times New Roman" w:eastAsia="Times New Roman" w:hAnsi="Times New Roman"/>
          <w:sz w:val="14"/>
          <w:szCs w:val="14"/>
          <w:color w:val="auto"/>
        </w:rPr>
        <w:t>3.3.4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3.3.5 that Securities of the Series called for redemption must be surrendered to the Paying Agent to collect the redemption price;</w:t>
      </w:r>
    </w:p>
    <w:p>
      <w:pPr>
        <w:spacing w:after="0" w:line="97" w:lineRule="exact"/>
        <w:rPr>
          <w:sz w:val="20"/>
          <w:szCs w:val="20"/>
          <w:color w:val="auto"/>
        </w:rPr>
      </w:pPr>
    </w:p>
    <w:p>
      <w:pPr>
        <w:ind w:left="120" w:right="259" w:firstLine="791"/>
        <w:spacing w:after="0" w:line="294" w:lineRule="auto"/>
        <w:rPr>
          <w:sz w:val="20"/>
          <w:szCs w:val="20"/>
          <w:color w:val="auto"/>
        </w:rPr>
      </w:pPr>
      <w:r>
        <w:rPr>
          <w:rFonts w:ascii="Times New Roman" w:cs="Times New Roman" w:eastAsia="Times New Roman" w:hAnsi="Times New Roman"/>
          <w:sz w:val="14"/>
          <w:szCs w:val="14"/>
          <w:color w:val="auto"/>
        </w:rPr>
        <w:t>3.3.6 that interest on Securities of the Series called for redemption ceases to accrue on and after the redemption date unless the Company defaults in the deposit of the redemption price;</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3.3.7 the “CUSIP” number, if any; and</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3.3.8 any other information as may be required by the terms of the particular Series or the Securities of a Series being redeemed.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3" w:right="1440" w:bottom="1440" w:gutter="0" w:footer="0" w:header="0"/>
        </w:sectPr>
      </w:pPr>
    </w:p>
    <w:bookmarkStart w:id="71" w:name="page72"/>
    <w:bookmarkEnd w:id="71"/>
    <w:p>
      <w:pPr>
        <w:ind w:left="120" w:right="239" w:firstLine="351"/>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Effect of Notice of Redemption</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69" w:lineRule="auto"/>
        <w:rPr>
          <w:sz w:val="20"/>
          <w:szCs w:val="20"/>
          <w:color w:val="auto"/>
        </w:rPr>
      </w:pPr>
      <w:r>
        <w:rPr>
          <w:rFonts w:ascii="Times New Roman" w:cs="Times New Roman" w:eastAsia="Times New Roman" w:hAnsi="Times New Roman"/>
          <w:sz w:val="14"/>
          <w:szCs w:val="14"/>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39" w:firstLine="351"/>
        <w:spacing w:after="0" w:line="294" w:lineRule="auto"/>
        <w:rPr>
          <w:sz w:val="20"/>
          <w:szCs w:val="20"/>
          <w:color w:val="auto"/>
        </w:rPr>
      </w:pPr>
      <w:r>
        <w:rPr>
          <w:rFonts w:ascii="Times New Roman" w:cs="Times New Roman" w:eastAsia="Times New Roman" w:hAnsi="Times New Roman"/>
          <w:sz w:val="14"/>
          <w:szCs w:val="14"/>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Securities Redeemed in Part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59" w:firstLine="351"/>
        <w:spacing w:after="0" w:line="294" w:lineRule="auto"/>
        <w:rPr>
          <w:sz w:val="20"/>
          <w:szCs w:val="20"/>
          <w:color w:val="auto"/>
        </w:rPr>
      </w:pPr>
      <w:r>
        <w:rPr>
          <w:rFonts w:ascii="Times New Roman" w:cs="Times New Roman" w:eastAsia="Times New Roman" w:hAnsi="Times New Roman"/>
          <w:sz w:val="14"/>
          <w:szCs w:val="14"/>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29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ARTICLE IV.</w:t>
      </w:r>
    </w:p>
    <w:p>
      <w:pPr>
        <w:spacing w:after="0" w:line="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COVENANTS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Payment of Principal and Interest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19" w:firstLine="351"/>
        <w:spacing w:after="0" w:line="269" w:lineRule="auto"/>
        <w:rPr>
          <w:sz w:val="20"/>
          <w:szCs w:val="20"/>
          <w:color w:val="auto"/>
        </w:rPr>
      </w:pPr>
      <w:r>
        <w:rPr>
          <w:rFonts w:ascii="Times New Roman" w:cs="Times New Roman" w:eastAsia="Times New Roman" w:hAnsi="Times New Roman"/>
          <w:sz w:val="14"/>
          <w:szCs w:val="14"/>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SEC Reports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59" w:firstLine="351"/>
        <w:spacing w:after="0" w:line="266" w:lineRule="auto"/>
        <w:rPr>
          <w:sz w:val="20"/>
          <w:szCs w:val="20"/>
          <w:color w:val="auto"/>
        </w:rPr>
      </w:pPr>
      <w:r>
        <w:rPr>
          <w:rFonts w:ascii="Times New Roman" w:cs="Times New Roman" w:eastAsia="Times New Roman" w:hAnsi="Times New Roman"/>
          <w:sz w:val="14"/>
          <w:szCs w:val="14"/>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3" w:right="1440" w:bottom="1440" w:gutter="0" w:footer="0" w:header="0"/>
        </w:sectPr>
      </w:pPr>
    </w:p>
    <w:bookmarkStart w:id="72" w:name="page73"/>
    <w:bookmarkEnd w:id="72"/>
    <w:p>
      <w:pPr>
        <w:ind w:left="120" w:right="119" w:firstLine="351"/>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Stay, Extension and Usury Laws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59" w:firstLine="351"/>
        <w:spacing w:after="0" w:line="266" w:lineRule="auto"/>
        <w:rPr>
          <w:sz w:val="20"/>
          <w:szCs w:val="20"/>
          <w:color w:val="auto"/>
        </w:rPr>
      </w:pPr>
      <w:r>
        <w:rPr>
          <w:rFonts w:ascii="Times New Roman" w:cs="Times New Roman" w:eastAsia="Times New Roman" w:hAnsi="Times New Roman"/>
          <w:sz w:val="14"/>
          <w:szCs w:val="14"/>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SUCCESSORS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When Company May Merge, Etc</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359" w:firstLine="351"/>
        <w:spacing w:after="0" w:line="294" w:lineRule="auto"/>
        <w:rPr>
          <w:sz w:val="20"/>
          <w:szCs w:val="20"/>
          <w:color w:val="auto"/>
        </w:rPr>
      </w:pPr>
      <w:r>
        <w:rPr>
          <w:rFonts w:ascii="Times New Roman" w:cs="Times New Roman" w:eastAsia="Times New Roman" w:hAnsi="Times New Roman"/>
          <w:sz w:val="14"/>
          <w:szCs w:val="14"/>
          <w:color w:val="auto"/>
        </w:rPr>
        <w:t>The Company shall not consolidate with or merge with or into, or convey, transfer or lease all or substantially all of its properties and assets to, any person (a “successor person”) unless:</w:t>
      </w:r>
    </w:p>
    <w:p>
      <w:pPr>
        <w:spacing w:after="0" w:line="36" w:lineRule="exact"/>
        <w:rPr>
          <w:sz w:val="20"/>
          <w:szCs w:val="20"/>
          <w:color w:val="auto"/>
        </w:rPr>
      </w:pPr>
    </w:p>
    <w:p>
      <w:pPr>
        <w:jc w:val="both"/>
        <w:ind w:left="120" w:right="219" w:firstLine="791"/>
        <w:spacing w:after="0" w:line="275" w:lineRule="auto"/>
        <w:rPr>
          <w:sz w:val="20"/>
          <w:szCs w:val="20"/>
          <w:color w:val="auto"/>
        </w:rPr>
      </w:pPr>
      <w:r>
        <w:rPr>
          <w:rFonts w:ascii="Times New Roman" w:cs="Times New Roman" w:eastAsia="Times New Roman" w:hAnsi="Times New Roman"/>
          <w:sz w:val="14"/>
          <w:szCs w:val="14"/>
          <w:color w:val="auto"/>
        </w:rPr>
        <w:t>5.1.1 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5.1.2 immediately after giving effect to the transaction, no Default or Event of Default, shall have occurred and be continuing.</w:t>
      </w:r>
    </w:p>
    <w:p>
      <w:pPr>
        <w:spacing w:after="0" w:line="184" w:lineRule="exact"/>
        <w:rPr>
          <w:sz w:val="20"/>
          <w:szCs w:val="20"/>
          <w:color w:val="auto"/>
        </w:rPr>
      </w:pPr>
    </w:p>
    <w:p>
      <w:pPr>
        <w:ind w:left="120" w:right="359" w:firstLine="351"/>
        <w:spacing w:after="0" w:line="294" w:lineRule="auto"/>
        <w:rPr>
          <w:sz w:val="20"/>
          <w:szCs w:val="20"/>
          <w:color w:val="auto"/>
        </w:rPr>
      </w:pPr>
      <w:r>
        <w:rPr>
          <w:rFonts w:ascii="Times New Roman" w:cs="Times New Roman" w:eastAsia="Times New Roman" w:hAnsi="Times New Roman"/>
          <w:sz w:val="14"/>
          <w:szCs w:val="14"/>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3" w:right="1440" w:bottom="1440" w:gutter="0" w:footer="0" w:header="0"/>
        </w:sectPr>
      </w:pPr>
    </w:p>
    <w:bookmarkStart w:id="73" w:name="page74"/>
    <w:bookmarkEnd w:id="73"/>
    <w:p>
      <w:pPr>
        <w:ind w:left="120" w:right="659" w:firstLine="351"/>
        <w:spacing w:after="0" w:line="29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Successor Corporation Substituted</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99" w:firstLine="351"/>
        <w:spacing w:after="0" w:line="264" w:lineRule="auto"/>
        <w:rPr>
          <w:sz w:val="20"/>
          <w:szCs w:val="20"/>
          <w:color w:val="auto"/>
        </w:rPr>
      </w:pPr>
      <w:r>
        <w:rPr>
          <w:rFonts w:ascii="Times New Roman" w:cs="Times New Roman" w:eastAsia="Times New Roman" w:hAnsi="Times New Roman"/>
          <w:sz w:val="14"/>
          <w:szCs w:val="14"/>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predecessor Company in the case of a sale, conveyance or other disposition (other than a lease) shall be released from all obligations and covenants under this Indenture and the Securities.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DEFAULTS AND REMEDIES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259" w:firstLine="351"/>
        <w:spacing w:after="0" w:line="287" w:lineRule="auto"/>
        <w:rPr>
          <w:sz w:val="20"/>
          <w:szCs w:val="20"/>
          <w:color w:val="auto"/>
        </w:rPr>
      </w:pPr>
      <w:r>
        <w:rPr>
          <w:rFonts w:ascii="Times New Roman" w:cs="Times New Roman" w:eastAsia="Times New Roman" w:hAnsi="Times New Roman"/>
          <w:sz w:val="14"/>
          <w:szCs w:val="14"/>
          <w:color w:val="auto"/>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218" w:lineRule="exact"/>
        <w:rPr>
          <w:sz w:val="20"/>
          <w:szCs w:val="20"/>
          <w:color w:val="auto"/>
        </w:rPr>
      </w:pPr>
    </w:p>
    <w:p>
      <w:pPr>
        <w:ind w:left="120" w:right="199" w:firstLine="791"/>
        <w:spacing w:after="0" w:line="275" w:lineRule="auto"/>
        <w:rPr>
          <w:sz w:val="20"/>
          <w:szCs w:val="20"/>
          <w:color w:val="auto"/>
        </w:rPr>
      </w:pPr>
      <w:r>
        <w:rPr>
          <w:rFonts w:ascii="Times New Roman" w:cs="Times New Roman" w:eastAsia="Times New Roman" w:hAnsi="Times New Roman"/>
          <w:sz w:val="14"/>
          <w:szCs w:val="14"/>
          <w:color w:val="auto"/>
        </w:rPr>
        <w:t>6.1.1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6.1.2 default in the payment of principal of any Security of that Series at its Maturity;</w:t>
      </w:r>
    </w:p>
    <w:p>
      <w:pPr>
        <w:spacing w:after="0" w:line="97" w:lineRule="exact"/>
        <w:rPr>
          <w:sz w:val="20"/>
          <w:szCs w:val="20"/>
          <w:color w:val="auto"/>
        </w:rPr>
      </w:pPr>
    </w:p>
    <w:p>
      <w:pPr>
        <w:ind w:left="120" w:right="239" w:firstLine="791"/>
        <w:spacing w:after="0" w:line="266" w:lineRule="auto"/>
        <w:rPr>
          <w:sz w:val="20"/>
          <w:szCs w:val="20"/>
          <w:color w:val="auto"/>
        </w:rPr>
      </w:pPr>
      <w:r>
        <w:rPr>
          <w:rFonts w:ascii="Times New Roman" w:cs="Times New Roman" w:eastAsia="Times New Roman" w:hAnsi="Times New Roman"/>
          <w:sz w:val="14"/>
          <w:szCs w:val="14"/>
          <w:color w:val="auto"/>
        </w:rPr>
        <w:t>6.1.3 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6.1.4 the Company pursuant to or within the meaning of any Bankruptcy Law:</w:t>
      </w:r>
    </w:p>
    <w:p>
      <w:pPr>
        <w:spacing w:after="0" w:line="97" w:lineRule="exact"/>
        <w:rPr>
          <w:sz w:val="20"/>
          <w:szCs w:val="20"/>
          <w:color w:val="auto"/>
        </w:rPr>
      </w:pPr>
    </w:p>
    <w:p>
      <w:pPr>
        <w:ind w:left="1440" w:hanging="188"/>
        <w:spacing w:after="0"/>
        <w:tabs>
          <w:tab w:leader="none" w:pos="1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97" w:lineRule="exact"/>
        <w:rPr>
          <w:rFonts w:ascii="Times New Roman" w:cs="Times New Roman" w:eastAsia="Times New Roman" w:hAnsi="Times New Roman"/>
          <w:sz w:val="14"/>
          <w:szCs w:val="14"/>
          <w:color w:val="auto"/>
        </w:rPr>
      </w:pPr>
    </w:p>
    <w:p>
      <w:pPr>
        <w:ind w:left="1460" w:hanging="208"/>
        <w:spacing w:after="0"/>
        <w:tabs>
          <w:tab w:leader="none" w:pos="14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97" w:lineRule="exact"/>
        <w:rPr>
          <w:rFonts w:ascii="Times New Roman" w:cs="Times New Roman" w:eastAsia="Times New Roman" w:hAnsi="Times New Roman"/>
          <w:sz w:val="14"/>
          <w:szCs w:val="14"/>
          <w:color w:val="auto"/>
        </w:rPr>
      </w:pPr>
    </w:p>
    <w:p>
      <w:pPr>
        <w:ind w:left="1440" w:hanging="188"/>
        <w:spacing w:after="0"/>
        <w:tabs>
          <w:tab w:leader="none" w:pos="1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w:t>
      </w:r>
    </w:p>
    <w:p>
      <w:pPr>
        <w:spacing w:after="0" w:line="97" w:lineRule="exact"/>
        <w:rPr>
          <w:rFonts w:ascii="Times New Roman" w:cs="Times New Roman" w:eastAsia="Times New Roman" w:hAnsi="Times New Roman"/>
          <w:sz w:val="14"/>
          <w:szCs w:val="14"/>
          <w:color w:val="auto"/>
        </w:rPr>
      </w:pPr>
    </w:p>
    <w:p>
      <w:pPr>
        <w:ind w:left="1460" w:hanging="208"/>
        <w:spacing w:after="0"/>
        <w:tabs>
          <w:tab w:leader="none" w:pos="14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3" w:right="1440" w:bottom="1440" w:gutter="0" w:footer="0" w:header="0"/>
        </w:sectPr>
      </w:pPr>
    </w:p>
    <w:bookmarkStart w:id="74" w:name="page75"/>
    <w:bookmarkEnd w:id="74"/>
    <w:p>
      <w:pPr>
        <w:ind w:left="1440" w:hanging="188"/>
        <w:spacing w:after="0"/>
        <w:tabs>
          <w:tab w:leader="none" w:pos="1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generally is unable to pay its debts as the same become due;</w:t>
      </w:r>
    </w:p>
    <w:p>
      <w:pPr>
        <w:spacing w:after="0" w:line="97" w:lineRule="exact"/>
        <w:rPr>
          <w:rFonts w:ascii="Times New Roman" w:cs="Times New Roman" w:eastAsia="Times New Roman" w:hAnsi="Times New Roman"/>
          <w:sz w:val="14"/>
          <w:szCs w:val="14"/>
          <w:color w:val="auto"/>
        </w:rPr>
      </w:pPr>
    </w:p>
    <w:p>
      <w:pPr>
        <w:ind w:left="1440" w:hanging="188"/>
        <w:spacing w:after="0"/>
        <w:tabs>
          <w:tab w:leader="none" w:pos="1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97" w:lineRule="exact"/>
        <w:rPr>
          <w:rFonts w:ascii="Times New Roman" w:cs="Times New Roman" w:eastAsia="Times New Roman" w:hAnsi="Times New Roman"/>
          <w:sz w:val="14"/>
          <w:szCs w:val="14"/>
          <w:color w:val="auto"/>
        </w:rPr>
      </w:pPr>
    </w:p>
    <w:p>
      <w:pPr>
        <w:ind w:left="1460" w:hanging="208"/>
        <w:spacing w:after="0"/>
        <w:tabs>
          <w:tab w:leader="none" w:pos="14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in an involuntary case,</w:t>
      </w:r>
    </w:p>
    <w:p>
      <w:pPr>
        <w:spacing w:after="0" w:line="97" w:lineRule="exact"/>
        <w:rPr>
          <w:rFonts w:ascii="Times New Roman" w:cs="Times New Roman" w:eastAsia="Times New Roman" w:hAnsi="Times New Roman"/>
          <w:sz w:val="14"/>
          <w:szCs w:val="14"/>
          <w:color w:val="auto"/>
        </w:rPr>
      </w:pPr>
    </w:p>
    <w:p>
      <w:pPr>
        <w:ind w:left="1460" w:hanging="208"/>
        <w:spacing w:after="0"/>
        <w:tabs>
          <w:tab w:leader="none" w:pos="14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for all or substantially all of its property, or</w:t>
      </w:r>
    </w:p>
    <w:p>
      <w:pPr>
        <w:spacing w:after="0" w:line="97" w:lineRule="exact"/>
        <w:rPr>
          <w:rFonts w:ascii="Times New Roman" w:cs="Times New Roman" w:eastAsia="Times New Roman" w:hAnsi="Times New Roman"/>
          <w:sz w:val="14"/>
          <w:szCs w:val="14"/>
          <w:color w:val="auto"/>
        </w:rPr>
      </w:pPr>
    </w:p>
    <w:p>
      <w:pPr>
        <w:ind w:left="1420" w:hanging="168"/>
        <w:spacing w:after="0"/>
        <w:tabs>
          <w:tab w:leader="none" w:pos="14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 and the order or decree remains unstayed and in effect for 60 days; or</w:t>
      </w:r>
    </w:p>
    <w:p>
      <w:pPr>
        <w:spacing w:after="0" w:line="97" w:lineRule="exact"/>
        <w:rPr>
          <w:sz w:val="20"/>
          <w:szCs w:val="20"/>
          <w:color w:val="auto"/>
        </w:rPr>
      </w:pPr>
    </w:p>
    <w:p>
      <w:pPr>
        <w:ind w:left="120" w:right="899" w:firstLine="791"/>
        <w:spacing w:after="0" w:line="294" w:lineRule="auto"/>
        <w:rPr>
          <w:sz w:val="20"/>
          <w:szCs w:val="20"/>
          <w:color w:val="auto"/>
        </w:rPr>
      </w:pPr>
      <w:r>
        <w:rPr>
          <w:rFonts w:ascii="Times New Roman" w:cs="Times New Roman" w:eastAsia="Times New Roman" w:hAnsi="Times New Roman"/>
          <w:sz w:val="14"/>
          <w:szCs w:val="14"/>
          <w:color w:val="auto"/>
        </w:rPr>
        <w:t>6.1.5 any other Event of Default provided with respect to Securities of that Series, which is specified in a Board Resolution, a supplemental indenture hereto or an Officer’s Certificate, in accordance with Section 2.2.18.</w:t>
      </w:r>
    </w:p>
    <w:p>
      <w:pPr>
        <w:spacing w:after="0" w:line="123" w:lineRule="exact"/>
        <w:rPr>
          <w:sz w:val="20"/>
          <w:szCs w:val="20"/>
          <w:color w:val="auto"/>
        </w:rPr>
      </w:pPr>
    </w:p>
    <w:p>
      <w:pPr>
        <w:ind w:left="120" w:right="279" w:firstLine="351"/>
        <w:spacing w:after="0" w:line="294" w:lineRule="auto"/>
        <w:rPr>
          <w:sz w:val="20"/>
          <w:szCs w:val="20"/>
          <w:color w:val="auto"/>
        </w:rPr>
      </w:pPr>
      <w:r>
        <w:rPr>
          <w:rFonts w:ascii="Times New Roman" w:cs="Times New Roman" w:eastAsia="Times New Roman" w:hAnsi="Times New Roman"/>
          <w:sz w:val="14"/>
          <w:szCs w:val="14"/>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23" w:lineRule="exact"/>
        <w:rPr>
          <w:sz w:val="20"/>
          <w:szCs w:val="20"/>
          <w:color w:val="auto"/>
        </w:rPr>
      </w:pPr>
    </w:p>
    <w:p>
      <w:pPr>
        <w:ind w:left="120" w:right="279" w:firstLine="351"/>
        <w:spacing w:after="0" w:line="275" w:lineRule="auto"/>
        <w:rPr>
          <w:sz w:val="20"/>
          <w:szCs w:val="20"/>
          <w:color w:val="auto"/>
        </w:rPr>
      </w:pPr>
      <w:r>
        <w:rPr>
          <w:rFonts w:ascii="Times New Roman" w:cs="Times New Roman" w:eastAsia="Times New Roman" w:hAnsi="Times New Roman"/>
          <w:sz w:val="14"/>
          <w:szCs w:val="14"/>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6.2 </w:t>
      </w:r>
      <w:r>
        <w:rPr>
          <w:rFonts w:ascii="Times New Roman" w:cs="Times New Roman" w:eastAsia="Times New Roman" w:hAnsi="Times New Roman"/>
          <w:sz w:val="14"/>
          <w:szCs w:val="14"/>
          <w:u w:val="single" w:color="auto"/>
          <w:color w:val="auto"/>
        </w:rPr>
        <w:t>Acceleration of Maturity; Rescission and Annulment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4"/>
          <w:szCs w:val="14"/>
          <w:i w:val="1"/>
          <w:iCs w:val="1"/>
          <w:color w:val="auto"/>
        </w:rPr>
        <w:t xml:space="preserve">ipso facto </w:t>
      </w:r>
      <w:r>
        <w:rPr>
          <w:rFonts w:ascii="Times New Roman" w:cs="Times New Roman" w:eastAsia="Times New Roman" w:hAnsi="Times New Roman"/>
          <w:sz w:val="14"/>
          <w:szCs w:val="14"/>
          <w:color w:val="auto"/>
        </w:rPr>
        <w:t>become and be immediately due and payable without any declaration or other act on the part of the Trustee or any Holder.</w:t>
      </w:r>
    </w:p>
    <w:p>
      <w:pPr>
        <w:spacing w:after="0" w:line="145" w:lineRule="exact"/>
        <w:rPr>
          <w:sz w:val="20"/>
          <w:szCs w:val="20"/>
          <w:color w:val="auto"/>
        </w:rPr>
      </w:pPr>
    </w:p>
    <w:p>
      <w:pPr>
        <w:ind w:left="120" w:right="179" w:firstLine="351"/>
        <w:spacing w:after="0" w:line="266" w:lineRule="auto"/>
        <w:rPr>
          <w:sz w:val="20"/>
          <w:szCs w:val="20"/>
          <w:color w:val="auto"/>
        </w:rPr>
      </w:pPr>
      <w:r>
        <w:rPr>
          <w:rFonts w:ascii="Times New Roman" w:cs="Times New Roman" w:eastAsia="Times New Roman" w:hAnsi="Times New Roman"/>
          <w:sz w:val="14"/>
          <w:szCs w:val="14"/>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3"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Section 6.3 </w:t>
      </w:r>
      <w:r>
        <w:rPr>
          <w:rFonts w:ascii="Times New Roman" w:cs="Times New Roman" w:eastAsia="Times New Roman" w:hAnsi="Times New Roman"/>
          <w:sz w:val="14"/>
          <w:szCs w:val="14"/>
          <w:u w:val="single" w:color="auto"/>
          <w:color w:val="auto"/>
        </w:rPr>
        <w:t>Collection of Indebtedness and Suits for Enforcement by Trustee</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Company covenants that if:</w:t>
      </w:r>
    </w:p>
    <w:p>
      <w:pPr>
        <w:spacing w:after="0" w:line="97" w:lineRule="exact"/>
        <w:rPr>
          <w:sz w:val="20"/>
          <w:szCs w:val="20"/>
          <w:color w:val="auto"/>
        </w:rPr>
      </w:pPr>
    </w:p>
    <w:p>
      <w:pPr>
        <w:ind w:left="120" w:right="639" w:firstLine="791"/>
        <w:spacing w:after="0" w:line="294" w:lineRule="auto"/>
        <w:rPr>
          <w:sz w:val="20"/>
          <w:szCs w:val="20"/>
          <w:color w:val="auto"/>
        </w:rPr>
      </w:pPr>
      <w:r>
        <w:rPr>
          <w:rFonts w:ascii="Times New Roman" w:cs="Times New Roman" w:eastAsia="Times New Roman" w:hAnsi="Times New Roman"/>
          <w:sz w:val="14"/>
          <w:szCs w:val="14"/>
          <w:color w:val="auto"/>
        </w:rPr>
        <w:t>6.3.1 default is made in the payment of any interest on any Security when such interest becomes due and payable and such default continues for a period of 30 days,</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6.3.2 default is made in the payment of principal of any Security at the Maturity thereof, or</w:t>
      </w:r>
    </w:p>
    <w:p>
      <w:pPr>
        <w:spacing w:after="0" w:line="95" w:lineRule="exact"/>
        <w:rPr>
          <w:sz w:val="20"/>
          <w:szCs w:val="20"/>
          <w:color w:val="auto"/>
        </w:rPr>
      </w:pPr>
    </w:p>
    <w:p>
      <w:pPr>
        <w:ind w:left="120" w:right="139" w:firstLine="791"/>
        <w:spacing w:after="0" w:line="266" w:lineRule="auto"/>
        <w:rPr>
          <w:sz w:val="20"/>
          <w:szCs w:val="20"/>
          <w:color w:val="auto"/>
        </w:rPr>
      </w:pPr>
      <w:r>
        <w:rPr>
          <w:rFonts w:ascii="Times New Roman" w:cs="Times New Roman" w:eastAsia="Times New Roman" w:hAnsi="Times New Roman"/>
          <w:sz w:val="14"/>
          <w:szCs w:val="14"/>
          <w:color w:val="auto"/>
        </w:rPr>
        <w:t xml:space="preserve">6.3.3 default is made in the deposit of any sinking fund payment, if any, when and as due by the terms of a Security, </w:t>
      </w:r>
      <w:r>
        <w:rPr>
          <w:rFonts w:ascii="Times New Roman" w:cs="Times New Roman" w:eastAsia="Times New Roman" w:hAnsi="Times New Roman"/>
          <w:sz w:val="14"/>
          <w:szCs w:val="14"/>
          <w:i w:val="1"/>
          <w:iCs w:val="1"/>
          <w:color w:val="auto"/>
        </w:rPr>
        <w:t>then,</w:t>
      </w:r>
      <w:r>
        <w:rPr>
          <w:rFonts w:ascii="Times New Roman" w:cs="Times New Roman" w:eastAsia="Times New Roman" w:hAnsi="Times New Roman"/>
          <w:sz w:val="14"/>
          <w:szCs w:val="14"/>
          <w:color w:val="auto"/>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44" w:lineRule="exact"/>
        <w:rPr>
          <w:sz w:val="20"/>
          <w:szCs w:val="20"/>
          <w:color w:val="auto"/>
        </w:rPr>
      </w:pPr>
    </w:p>
    <w:p>
      <w:pPr>
        <w:ind w:left="120" w:right="419" w:firstLine="351"/>
        <w:spacing w:after="0" w:line="269" w:lineRule="auto"/>
        <w:rPr>
          <w:sz w:val="20"/>
          <w:szCs w:val="20"/>
          <w:color w:val="auto"/>
        </w:rPr>
      </w:pPr>
      <w:r>
        <w:rPr>
          <w:rFonts w:ascii="Times New Roman" w:cs="Times New Roman" w:eastAsia="Times New Roman" w:hAnsi="Times New Roman"/>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40" w:lineRule="exact"/>
        <w:rPr>
          <w:sz w:val="20"/>
          <w:szCs w:val="20"/>
          <w:color w:val="auto"/>
        </w:rPr>
      </w:pPr>
    </w:p>
    <w:p>
      <w:pPr>
        <w:jc w:val="both"/>
        <w:ind w:left="120" w:right="239" w:firstLine="351"/>
        <w:spacing w:after="0" w:line="269" w:lineRule="auto"/>
        <w:rPr>
          <w:sz w:val="20"/>
          <w:szCs w:val="20"/>
          <w:color w:val="auto"/>
        </w:rPr>
      </w:pPr>
      <w:r>
        <w:rPr>
          <w:rFonts w:ascii="Times New Roman" w:cs="Times New Roman" w:eastAsia="Times New Roman" w:hAnsi="Times New Roman"/>
          <w:sz w:val="14"/>
          <w:szCs w:val="14"/>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u w:val="single" w:color="auto"/>
          <w:color w:val="auto"/>
        </w:rPr>
        <w:t>Trustee May File Proofs of Claim</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79" w:firstLine="351"/>
        <w:spacing w:after="0" w:line="266" w:lineRule="auto"/>
        <w:rPr>
          <w:sz w:val="20"/>
          <w:szCs w:val="20"/>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56" w:lineRule="exact"/>
        <w:rPr>
          <w:sz w:val="20"/>
          <w:szCs w:val="20"/>
          <w:color w:val="auto"/>
        </w:rPr>
      </w:pPr>
    </w:p>
    <w:p>
      <w:pPr>
        <w:ind w:left="120" w:right="179" w:firstLine="791"/>
        <w:spacing w:after="0" w:line="275" w:lineRule="auto"/>
        <w:rPr>
          <w:sz w:val="20"/>
          <w:szCs w:val="20"/>
          <w:color w:val="auto"/>
        </w:rPr>
      </w:pPr>
      <w:r>
        <w:rPr>
          <w:rFonts w:ascii="Times New Roman" w:cs="Times New Roman" w:eastAsia="Times New Roman" w:hAnsi="Times New Roman"/>
          <w:sz w:val="14"/>
          <w:szCs w:val="14"/>
          <w:color w:val="auto"/>
        </w:rPr>
        <w:t>6.4.1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6.4.2 to collect and receive any moneys or other property payable or deliverable on any such claims and to distribute the same,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3" w:right="1440" w:bottom="1440" w:gutter="0" w:footer="0" w:header="0"/>
        </w:sectPr>
      </w:pPr>
    </w:p>
    <w:bookmarkStart w:id="76" w:name="page77"/>
    <w:bookmarkEnd w:id="76"/>
    <w:p>
      <w:pPr>
        <w:ind w:left="120" w:right="199" w:firstLine="351"/>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40" w:lineRule="exact"/>
        <w:rPr>
          <w:sz w:val="20"/>
          <w:szCs w:val="20"/>
          <w:color w:val="auto"/>
        </w:rPr>
      </w:pPr>
    </w:p>
    <w:p>
      <w:pPr>
        <w:jc w:val="both"/>
        <w:ind w:left="120" w:right="199" w:firstLine="351"/>
        <w:spacing w:after="0" w:line="275"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u w:val="single" w:color="auto"/>
          <w:color w:val="auto"/>
        </w:rPr>
        <w:t>Trustee May Enforce Claims Without Possession of Securities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79" w:firstLine="351"/>
        <w:spacing w:after="0" w:line="266" w:lineRule="auto"/>
        <w:rPr>
          <w:sz w:val="20"/>
          <w:szCs w:val="20"/>
          <w:color w:val="auto"/>
        </w:rPr>
      </w:pPr>
      <w:r>
        <w:rPr>
          <w:rFonts w:ascii="Times New Roman" w:cs="Times New Roman" w:eastAsia="Times New Roman" w:hAnsi="Times New Roman"/>
          <w:sz w:val="14"/>
          <w:szCs w:val="14"/>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6.6 </w:t>
      </w:r>
      <w:r>
        <w:rPr>
          <w:rFonts w:ascii="Times New Roman" w:cs="Times New Roman" w:eastAsia="Times New Roman" w:hAnsi="Times New Roman"/>
          <w:sz w:val="14"/>
          <w:szCs w:val="14"/>
          <w:u w:val="single" w:color="auto"/>
          <w:color w:val="auto"/>
        </w:rPr>
        <w:t>Application of Money Collected</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39" w:firstLine="351"/>
        <w:spacing w:after="0" w:line="275" w:lineRule="auto"/>
        <w:rPr>
          <w:sz w:val="20"/>
          <w:szCs w:val="20"/>
          <w:color w:val="auto"/>
        </w:rPr>
      </w:pPr>
      <w:r>
        <w:rPr>
          <w:rFonts w:ascii="Times New Roman" w:cs="Times New Roman" w:eastAsia="Times New Roman" w:hAnsi="Times New Roman"/>
          <w:sz w:val="14"/>
          <w:szCs w:val="14"/>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First: To the payment of all amounts due the Trustee under Section 7.7; and</w:t>
      </w:r>
    </w:p>
    <w:p>
      <w:pPr>
        <w:spacing w:after="0" w:line="184" w:lineRule="exact"/>
        <w:rPr>
          <w:sz w:val="20"/>
          <w:szCs w:val="20"/>
          <w:color w:val="auto"/>
        </w:rPr>
      </w:pPr>
    </w:p>
    <w:p>
      <w:pPr>
        <w:jc w:val="both"/>
        <w:ind w:left="120" w:right="199" w:firstLine="351"/>
        <w:spacing w:after="0" w:line="275"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Third: To the Company.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u w:val="single" w:color="auto"/>
          <w:color w:val="auto"/>
        </w:rPr>
        <w:t>Limitation on Suits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94"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6.7.1 such Holder has previously given written notice to the Trustee of a continuing Event of Default with respect to the Securities of that</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Series;</w:t>
      </w:r>
    </w:p>
    <w:p>
      <w:pPr>
        <w:spacing w:after="0" w:line="84" w:lineRule="exact"/>
        <w:rPr>
          <w:sz w:val="20"/>
          <w:szCs w:val="20"/>
          <w:color w:val="auto"/>
        </w:rPr>
      </w:pPr>
    </w:p>
    <w:p>
      <w:pPr>
        <w:ind w:left="120" w:right="299" w:firstLine="791"/>
        <w:spacing w:after="0" w:line="294" w:lineRule="auto"/>
        <w:rPr>
          <w:sz w:val="20"/>
          <w:szCs w:val="20"/>
          <w:color w:val="auto"/>
        </w:rPr>
      </w:pPr>
      <w:r>
        <w:rPr>
          <w:rFonts w:ascii="Times New Roman" w:cs="Times New Roman" w:eastAsia="Times New Roman" w:hAnsi="Times New Roman"/>
          <w:sz w:val="14"/>
          <w:szCs w:val="14"/>
          <w:color w:val="auto"/>
        </w:rPr>
        <w:t>6.7.2 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3" w:right="1440" w:bottom="1440" w:gutter="0" w:footer="0" w:header="0"/>
        </w:sectPr>
      </w:pPr>
    </w:p>
    <w:bookmarkStart w:id="77" w:name="page78"/>
    <w:bookmarkEnd w:id="77"/>
    <w:p>
      <w:pPr>
        <w:ind w:left="120" w:right="279" w:firstLine="791"/>
        <w:spacing w:after="0" w:line="29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6.7.3 such Holder or Holders have offered to the Trustee indemnity or security satisfactory to the Trustee against the costs, expenses and liabilities which might be incurred by the Trustee in compliance with such request;</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6.7.4 the Trustee for 60 days after its receipt of such notice, request and offer of indemnity has failed to institute any such proceeding; and</w:t>
      </w:r>
    </w:p>
    <w:p>
      <w:pPr>
        <w:spacing w:after="0" w:line="97" w:lineRule="exact"/>
        <w:rPr>
          <w:sz w:val="20"/>
          <w:szCs w:val="20"/>
          <w:color w:val="auto"/>
        </w:rPr>
      </w:pPr>
    </w:p>
    <w:p>
      <w:pPr>
        <w:ind w:left="120" w:right="519" w:firstLine="791"/>
        <w:spacing w:after="0" w:line="294" w:lineRule="auto"/>
        <w:rPr>
          <w:sz w:val="20"/>
          <w:szCs w:val="20"/>
          <w:color w:val="auto"/>
        </w:rPr>
      </w:pPr>
      <w:r>
        <w:rPr>
          <w:rFonts w:ascii="Times New Roman" w:cs="Times New Roman" w:eastAsia="Times New Roman" w:hAnsi="Times New Roman"/>
          <w:sz w:val="14"/>
          <w:szCs w:val="14"/>
          <w:color w:val="auto"/>
        </w:rPr>
        <w:t>6.7.5 no direction inconsistent with such written request has been given to the Trustee during such 60-day period by the Holders of a majority in principal amount of the outstanding Securities of that Series;</w:t>
      </w:r>
    </w:p>
    <w:p>
      <w:pPr>
        <w:spacing w:after="0" w:line="123" w:lineRule="exact"/>
        <w:rPr>
          <w:sz w:val="20"/>
          <w:szCs w:val="20"/>
          <w:color w:val="auto"/>
        </w:rPr>
      </w:pPr>
    </w:p>
    <w:p>
      <w:pPr>
        <w:ind w:left="120" w:right="179" w:firstLine="351"/>
        <w:spacing w:after="0" w:line="269" w:lineRule="auto"/>
        <w:rPr>
          <w:sz w:val="20"/>
          <w:szCs w:val="20"/>
          <w:color w:val="auto"/>
        </w:rPr>
      </w:pPr>
      <w:r>
        <w:rPr>
          <w:rFonts w:ascii="Times New Roman" w:cs="Times New Roman" w:eastAsia="Times New Roman" w:hAnsi="Times New Roman"/>
          <w:sz w:val="14"/>
          <w:szCs w:val="14"/>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u w:val="single" w:color="auto"/>
          <w:color w:val="auto"/>
        </w:rPr>
        <w:t>Unconditional Right of Holders to Receive Principal and Interest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99" w:firstLine="351"/>
        <w:spacing w:after="0" w:line="269" w:lineRule="auto"/>
        <w:rPr>
          <w:sz w:val="20"/>
          <w:szCs w:val="20"/>
          <w:color w:val="auto"/>
        </w:rPr>
      </w:pPr>
      <w:r>
        <w:rPr>
          <w:rFonts w:ascii="Times New Roman" w:cs="Times New Roman" w:eastAsia="Times New Roman" w:hAnsi="Times New Roman"/>
          <w:sz w:val="14"/>
          <w:szCs w:val="14"/>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6.9 </w:t>
      </w:r>
      <w:r>
        <w:rPr>
          <w:rFonts w:ascii="Times New Roman" w:cs="Times New Roman" w:eastAsia="Times New Roman" w:hAnsi="Times New Roman"/>
          <w:sz w:val="14"/>
          <w:szCs w:val="14"/>
          <w:u w:val="single" w:color="auto"/>
          <w:color w:val="auto"/>
        </w:rPr>
        <w:t>Restoration of Rights and Remedies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79" w:firstLine="351"/>
        <w:spacing w:after="0" w:line="269" w:lineRule="auto"/>
        <w:rPr>
          <w:sz w:val="20"/>
          <w:szCs w:val="20"/>
          <w:color w:val="auto"/>
        </w:rPr>
      </w:pPr>
      <w:r>
        <w:rPr>
          <w:rFonts w:ascii="Times New Roman" w:cs="Times New Roman" w:eastAsia="Times New Roman" w:hAnsi="Times New Roman"/>
          <w:sz w:val="14"/>
          <w:szCs w:val="14"/>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Rights and Remedies Cumulative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19" w:firstLine="351"/>
        <w:spacing w:after="0" w:line="266" w:lineRule="auto"/>
        <w:rPr>
          <w:sz w:val="20"/>
          <w:szCs w:val="20"/>
          <w:color w:val="auto"/>
        </w:rPr>
      </w:pPr>
      <w:r>
        <w:rPr>
          <w:rFonts w:ascii="Times New Roman" w:cs="Times New Roman" w:eastAsia="Times New Roman" w:hAnsi="Times New Roman"/>
          <w:sz w:val="14"/>
          <w:szCs w:val="14"/>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Delay or Omission Not Waiver</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69" w:lineRule="auto"/>
        <w:rPr>
          <w:sz w:val="20"/>
          <w:szCs w:val="20"/>
          <w:color w:val="auto"/>
        </w:rPr>
      </w:pPr>
      <w:r>
        <w:rPr>
          <w:rFonts w:ascii="Times New Roman" w:cs="Times New Roman" w:eastAsia="Times New Roman" w:hAnsi="Times New Roman"/>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3"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Section 6.12 </w:t>
      </w:r>
      <w:r>
        <w:rPr>
          <w:rFonts w:ascii="Times New Roman" w:cs="Times New Roman" w:eastAsia="Times New Roman" w:hAnsi="Times New Roman"/>
          <w:sz w:val="14"/>
          <w:szCs w:val="14"/>
          <w:u w:val="single" w:color="auto"/>
          <w:color w:val="auto"/>
        </w:rPr>
        <w:t>Control by Holders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219" w:firstLine="351"/>
        <w:spacing w:after="0" w:line="275"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6.12.1 such direction shall not be in conflict with any rule of law or with this Indenture,</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6.12.2 the Trustee may take any other action deemed proper by the Trustee which is not inconsistent with such direction,</w:t>
      </w:r>
    </w:p>
    <w:p>
      <w:pPr>
        <w:spacing w:after="0" w:line="97" w:lineRule="exact"/>
        <w:rPr>
          <w:sz w:val="20"/>
          <w:szCs w:val="20"/>
          <w:color w:val="auto"/>
        </w:rPr>
      </w:pPr>
    </w:p>
    <w:p>
      <w:pPr>
        <w:ind w:left="120" w:right="139" w:firstLine="791"/>
        <w:spacing w:after="0" w:line="294" w:lineRule="auto"/>
        <w:rPr>
          <w:sz w:val="20"/>
          <w:szCs w:val="20"/>
          <w:color w:val="auto"/>
        </w:rPr>
      </w:pPr>
      <w:r>
        <w:rPr>
          <w:rFonts w:ascii="Times New Roman" w:cs="Times New Roman" w:eastAsia="Times New Roman" w:hAnsi="Times New Roman"/>
          <w:sz w:val="14"/>
          <w:szCs w:val="14"/>
          <w:color w:val="auto"/>
        </w:rPr>
        <w:t>6.12.3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36" w:lineRule="exact"/>
        <w:rPr>
          <w:sz w:val="20"/>
          <w:szCs w:val="20"/>
          <w:color w:val="auto"/>
        </w:rPr>
      </w:pPr>
    </w:p>
    <w:p>
      <w:pPr>
        <w:ind w:left="120" w:right="219" w:firstLine="791"/>
        <w:spacing w:after="0" w:line="294" w:lineRule="auto"/>
        <w:rPr>
          <w:sz w:val="20"/>
          <w:szCs w:val="20"/>
          <w:color w:val="auto"/>
        </w:rPr>
      </w:pPr>
      <w:r>
        <w:rPr>
          <w:rFonts w:ascii="Times New Roman" w:cs="Times New Roman" w:eastAsia="Times New Roman" w:hAnsi="Times New Roman"/>
          <w:sz w:val="14"/>
          <w:szCs w:val="14"/>
          <w:color w:val="auto"/>
        </w:rPr>
        <w:t>6.12.4 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Waiver of Past Defaults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u w:val="single" w:color="auto"/>
          <w:color w:val="auto"/>
        </w:rPr>
        <w:t>Undertaking for Costs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3"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TRUSTEE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Duties of Trustee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79" w:firstLine="791"/>
        <w:spacing w:after="0" w:line="275" w:lineRule="auto"/>
        <w:rPr>
          <w:sz w:val="20"/>
          <w:szCs w:val="20"/>
          <w:color w:val="auto"/>
        </w:rPr>
      </w:pPr>
      <w:r>
        <w:rPr>
          <w:rFonts w:ascii="Times New Roman" w:cs="Times New Roman" w:eastAsia="Times New Roman" w:hAnsi="Times New Roman"/>
          <w:sz w:val="14"/>
          <w:szCs w:val="14"/>
          <w:color w:val="auto"/>
        </w:rPr>
        <w:t>7.1.1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7.1.2 Except during the continuance of an Event of Default:</w:t>
      </w:r>
    </w:p>
    <w:p>
      <w:pPr>
        <w:spacing w:after="0" w:line="97" w:lineRule="exact"/>
        <w:rPr>
          <w:sz w:val="20"/>
          <w:szCs w:val="20"/>
          <w:color w:val="auto"/>
        </w:rPr>
      </w:pPr>
    </w:p>
    <w:p>
      <w:pPr>
        <w:ind w:left="120" w:right="679" w:firstLine="1132"/>
        <w:spacing w:after="0" w:line="294" w:lineRule="auto"/>
        <w:tabs>
          <w:tab w:leader="none" w:pos="145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no others, and no implied covenants or obligations will be read into this Indenture against the Trustee.</w:t>
      </w:r>
    </w:p>
    <w:p>
      <w:pPr>
        <w:spacing w:after="0" w:line="36" w:lineRule="exact"/>
        <w:rPr>
          <w:rFonts w:ascii="Times New Roman" w:cs="Times New Roman" w:eastAsia="Times New Roman" w:hAnsi="Times New Roman"/>
          <w:sz w:val="14"/>
          <w:szCs w:val="14"/>
          <w:color w:val="auto"/>
        </w:rPr>
      </w:pPr>
    </w:p>
    <w:p>
      <w:pPr>
        <w:jc w:val="both"/>
        <w:ind w:left="120" w:right="199" w:firstLine="1132"/>
        <w:spacing w:after="0" w:line="266" w:lineRule="auto"/>
        <w:tabs>
          <w:tab w:leader="none" w:pos="146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56" w:lineRule="exact"/>
        <w:rPr>
          <w:sz w:val="20"/>
          <w:szCs w:val="20"/>
          <w:color w:val="auto"/>
        </w:rPr>
      </w:pPr>
    </w:p>
    <w:p>
      <w:pPr>
        <w:ind w:left="120" w:right="679" w:firstLine="791"/>
        <w:spacing w:after="0" w:line="294" w:lineRule="auto"/>
        <w:rPr>
          <w:sz w:val="20"/>
          <w:szCs w:val="20"/>
          <w:color w:val="auto"/>
        </w:rPr>
      </w:pPr>
      <w:r>
        <w:rPr>
          <w:rFonts w:ascii="Times New Roman" w:cs="Times New Roman" w:eastAsia="Times New Roman" w:hAnsi="Times New Roman"/>
          <w:sz w:val="14"/>
          <w:szCs w:val="14"/>
          <w:color w:val="auto"/>
        </w:rPr>
        <w:t>7.1.3 The Trustee may not be relieved from liability for its own negligent action, its own negligent failure to act or its own willful misconduct, except that:</w:t>
      </w:r>
    </w:p>
    <w:p>
      <w:pPr>
        <w:spacing w:after="0" w:line="36" w:lineRule="exact"/>
        <w:rPr>
          <w:sz w:val="20"/>
          <w:szCs w:val="20"/>
          <w:color w:val="auto"/>
        </w:rPr>
      </w:pPr>
    </w:p>
    <w:p>
      <w:pPr>
        <w:ind w:left="1440" w:hanging="188"/>
        <w:spacing w:after="0"/>
        <w:tabs>
          <w:tab w:leader="none" w:pos="14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paragraph does not limit the effect of paragraph (b) of this Section.</w:t>
      </w:r>
    </w:p>
    <w:p>
      <w:pPr>
        <w:spacing w:after="0" w:line="97" w:lineRule="exact"/>
        <w:rPr>
          <w:rFonts w:ascii="Times New Roman" w:cs="Times New Roman" w:eastAsia="Times New Roman" w:hAnsi="Times New Roman"/>
          <w:sz w:val="14"/>
          <w:szCs w:val="14"/>
          <w:color w:val="auto"/>
        </w:rPr>
      </w:pPr>
    </w:p>
    <w:p>
      <w:pPr>
        <w:ind w:left="120" w:right="179" w:firstLine="1132"/>
        <w:spacing w:after="0" w:line="294" w:lineRule="auto"/>
        <w:tabs>
          <w:tab w:leader="none" w:pos="146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is proved that the Trustee was negligent in ascertaining the pertinent facts.</w:t>
      </w:r>
    </w:p>
    <w:p>
      <w:pPr>
        <w:spacing w:after="0" w:line="36" w:lineRule="exact"/>
        <w:rPr>
          <w:rFonts w:ascii="Times New Roman" w:cs="Times New Roman" w:eastAsia="Times New Roman" w:hAnsi="Times New Roman"/>
          <w:sz w:val="14"/>
          <w:szCs w:val="14"/>
          <w:color w:val="auto"/>
        </w:rPr>
      </w:pPr>
    </w:p>
    <w:p>
      <w:pPr>
        <w:ind w:left="120" w:right="199" w:firstLine="1132"/>
        <w:spacing w:after="0" w:line="269" w:lineRule="auto"/>
        <w:tabs>
          <w:tab w:leader="none" w:pos="145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7.1.4 Every provision of this Indenture that in any way relates to the Trustee is subject to paragraph (a), (b) and (c) of this Section.</w:t>
      </w:r>
    </w:p>
    <w:p>
      <w:pPr>
        <w:spacing w:after="0" w:line="97" w:lineRule="exact"/>
        <w:rPr>
          <w:sz w:val="20"/>
          <w:szCs w:val="20"/>
          <w:color w:val="auto"/>
        </w:rPr>
      </w:pPr>
    </w:p>
    <w:p>
      <w:pPr>
        <w:ind w:left="120" w:right="259" w:firstLine="791"/>
        <w:spacing w:after="0" w:line="294" w:lineRule="auto"/>
        <w:rPr>
          <w:sz w:val="20"/>
          <w:szCs w:val="20"/>
          <w:color w:val="auto"/>
        </w:rPr>
      </w:pPr>
      <w:r>
        <w:rPr>
          <w:rFonts w:ascii="Times New Roman" w:cs="Times New Roman" w:eastAsia="Times New Roman" w:hAnsi="Times New Roman"/>
          <w:sz w:val="14"/>
          <w:szCs w:val="14"/>
          <w:color w:val="auto"/>
        </w:rPr>
        <w:t>7.1.5 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7.1.6 The Trustee shall not be liable for interest on any money received by it except as the Trustee may agree in writing with the Company.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Money held in trust by the Trustee need not be segregated from other funds except to the extent required by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3" w:right="1440" w:bottom="1440" w:gutter="0" w:footer="0" w:header="0"/>
        </w:sectPr>
      </w:pPr>
    </w:p>
    <w:bookmarkStart w:id="80" w:name="page81"/>
    <w:bookmarkEnd w:id="80"/>
    <w:p>
      <w:pPr>
        <w:ind w:left="120" w:right="259" w:firstLine="791"/>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7.1.7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50" w:lineRule="exact"/>
        <w:rPr>
          <w:sz w:val="20"/>
          <w:szCs w:val="20"/>
          <w:color w:val="auto"/>
        </w:rPr>
      </w:pPr>
    </w:p>
    <w:p>
      <w:pPr>
        <w:ind w:left="120" w:right="539" w:firstLine="791"/>
        <w:spacing w:after="0" w:line="294" w:lineRule="auto"/>
        <w:rPr>
          <w:sz w:val="20"/>
          <w:szCs w:val="20"/>
          <w:color w:val="auto"/>
        </w:rPr>
      </w:pPr>
      <w:r>
        <w:rPr>
          <w:rFonts w:ascii="Times New Roman" w:cs="Times New Roman" w:eastAsia="Times New Roman" w:hAnsi="Times New Roman"/>
          <w:sz w:val="14"/>
          <w:szCs w:val="14"/>
          <w:color w:val="auto"/>
        </w:rPr>
        <w:t>7.1.8 The Paying Agent, the Notice Agent, the Registrar, any authenticating agent and the Trustee when acting in any other capacity hereunder shall be entitled to the protections and immunities as are set forth in this Article VII.</w:t>
      </w:r>
    </w:p>
    <w:p>
      <w:pPr>
        <w:spacing w:after="0" w:line="36" w:lineRule="exact"/>
        <w:rPr>
          <w:sz w:val="20"/>
          <w:szCs w:val="20"/>
          <w:color w:val="auto"/>
        </w:rPr>
      </w:pPr>
    </w:p>
    <w:p>
      <w:pPr>
        <w:ind w:left="120" w:right="299" w:firstLine="791"/>
        <w:spacing w:after="0" w:line="294" w:lineRule="auto"/>
        <w:rPr>
          <w:sz w:val="20"/>
          <w:szCs w:val="20"/>
          <w:color w:val="auto"/>
        </w:rPr>
      </w:pPr>
      <w:r>
        <w:rPr>
          <w:rFonts w:ascii="Times New Roman" w:cs="Times New Roman" w:eastAsia="Times New Roman" w:hAnsi="Times New Roman"/>
          <w:sz w:val="14"/>
          <w:szCs w:val="14"/>
          <w:color w:val="auto"/>
        </w:rPr>
        <w:t>7.1.9 The rights, privileges, protections, immunities and benefits given to the Trustee, including its right to be indemnified, are extended to, and will be enforceable by, the Trustee in each of its capacities under this Indenture.</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Rights of Trustee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jc w:val="both"/>
        <w:ind w:left="120" w:right="419" w:firstLine="791"/>
        <w:spacing w:after="0" w:line="275" w:lineRule="auto"/>
        <w:rPr>
          <w:sz w:val="20"/>
          <w:szCs w:val="20"/>
          <w:color w:val="auto"/>
        </w:rPr>
      </w:pPr>
      <w:r>
        <w:rPr>
          <w:rFonts w:ascii="Times New Roman" w:cs="Times New Roman" w:eastAsia="Times New Roman" w:hAnsi="Times New Roman"/>
          <w:sz w:val="14"/>
          <w:szCs w:val="14"/>
          <w:color w:val="auto"/>
        </w:rPr>
        <w:t>7.2.1 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50" w:lineRule="exact"/>
        <w:rPr>
          <w:sz w:val="20"/>
          <w:szCs w:val="20"/>
          <w:color w:val="auto"/>
        </w:rPr>
      </w:pPr>
    </w:p>
    <w:p>
      <w:pPr>
        <w:ind w:left="120" w:right="199" w:firstLine="791"/>
        <w:spacing w:after="0" w:line="294" w:lineRule="auto"/>
        <w:rPr>
          <w:sz w:val="20"/>
          <w:szCs w:val="20"/>
          <w:color w:val="auto"/>
        </w:rPr>
      </w:pPr>
      <w:r>
        <w:rPr>
          <w:rFonts w:ascii="Times New Roman" w:cs="Times New Roman" w:eastAsia="Times New Roman" w:hAnsi="Times New Roman"/>
          <w:sz w:val="14"/>
          <w:szCs w:val="14"/>
          <w:color w:val="auto"/>
        </w:rPr>
        <w:t>7.2.2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6" w:lineRule="exact"/>
        <w:rPr>
          <w:sz w:val="20"/>
          <w:szCs w:val="20"/>
          <w:color w:val="auto"/>
        </w:rPr>
      </w:pPr>
    </w:p>
    <w:p>
      <w:pPr>
        <w:ind w:left="120" w:right="299" w:firstLine="791"/>
        <w:spacing w:after="0" w:line="294" w:lineRule="auto"/>
        <w:rPr>
          <w:sz w:val="20"/>
          <w:szCs w:val="20"/>
          <w:color w:val="auto"/>
        </w:rPr>
      </w:pPr>
      <w:r>
        <w:rPr>
          <w:rFonts w:ascii="Times New Roman" w:cs="Times New Roman" w:eastAsia="Times New Roman" w:hAnsi="Times New Roman"/>
          <w:sz w:val="14"/>
          <w:szCs w:val="14"/>
          <w:color w:val="auto"/>
        </w:rPr>
        <w:t>7.2.3 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36" w:lineRule="exact"/>
        <w:rPr>
          <w:sz w:val="20"/>
          <w:szCs w:val="20"/>
          <w:color w:val="auto"/>
        </w:rPr>
      </w:pPr>
    </w:p>
    <w:p>
      <w:pPr>
        <w:ind w:left="120" w:right="379" w:firstLine="791"/>
        <w:spacing w:after="0" w:line="294" w:lineRule="auto"/>
        <w:rPr>
          <w:sz w:val="20"/>
          <w:szCs w:val="20"/>
          <w:color w:val="auto"/>
        </w:rPr>
      </w:pPr>
      <w:r>
        <w:rPr>
          <w:rFonts w:ascii="Times New Roman" w:cs="Times New Roman" w:eastAsia="Times New Roman" w:hAnsi="Times New Roman"/>
          <w:sz w:val="14"/>
          <w:szCs w:val="14"/>
          <w:color w:val="auto"/>
        </w:rPr>
        <w:t>7.2.4 The Trustee shall not be liable for any action it takes or omits to take in good faith which it believes to be authorized or within its rights or powers.</w:t>
      </w:r>
    </w:p>
    <w:p>
      <w:pPr>
        <w:spacing w:after="0" w:line="36" w:lineRule="exact"/>
        <w:rPr>
          <w:sz w:val="20"/>
          <w:szCs w:val="20"/>
          <w:color w:val="auto"/>
        </w:rPr>
      </w:pPr>
    </w:p>
    <w:p>
      <w:pPr>
        <w:ind w:left="120" w:right="739" w:firstLine="791"/>
        <w:spacing w:after="0" w:line="294" w:lineRule="auto"/>
        <w:rPr>
          <w:sz w:val="20"/>
          <w:szCs w:val="20"/>
          <w:color w:val="auto"/>
        </w:rPr>
      </w:pPr>
      <w:r>
        <w:rPr>
          <w:rFonts w:ascii="Times New Roman" w:cs="Times New Roman" w:eastAsia="Times New Roman" w:hAnsi="Times New Roman"/>
          <w:sz w:val="14"/>
          <w:szCs w:val="14"/>
          <w:color w:val="auto"/>
        </w:rPr>
        <w:t>7.2.5 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36" w:lineRule="exact"/>
        <w:rPr>
          <w:sz w:val="20"/>
          <w:szCs w:val="20"/>
          <w:color w:val="auto"/>
        </w:rPr>
      </w:pPr>
    </w:p>
    <w:p>
      <w:pPr>
        <w:ind w:left="120" w:right="439" w:firstLine="791"/>
        <w:spacing w:after="0" w:line="275" w:lineRule="auto"/>
        <w:rPr>
          <w:sz w:val="20"/>
          <w:szCs w:val="20"/>
          <w:color w:val="auto"/>
        </w:rPr>
      </w:pPr>
      <w:r>
        <w:rPr>
          <w:rFonts w:ascii="Times New Roman" w:cs="Times New Roman" w:eastAsia="Times New Roman" w:hAnsi="Times New Roman"/>
          <w:sz w:val="14"/>
          <w:szCs w:val="14"/>
          <w:color w:val="auto"/>
        </w:rPr>
        <w:t>7.2.6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50" w:lineRule="exact"/>
        <w:rPr>
          <w:sz w:val="20"/>
          <w:szCs w:val="20"/>
          <w:color w:val="auto"/>
        </w:rPr>
      </w:pPr>
    </w:p>
    <w:p>
      <w:pPr>
        <w:ind w:left="120" w:right="199" w:firstLine="791"/>
        <w:spacing w:after="0" w:line="275" w:lineRule="auto"/>
        <w:rPr>
          <w:sz w:val="20"/>
          <w:szCs w:val="20"/>
          <w:color w:val="auto"/>
        </w:rPr>
      </w:pPr>
      <w:r>
        <w:rPr>
          <w:rFonts w:ascii="Times New Roman" w:cs="Times New Roman" w:eastAsia="Times New Roman" w:hAnsi="Times New Roman"/>
          <w:sz w:val="14"/>
          <w:szCs w:val="14"/>
          <w:color w:val="auto"/>
        </w:rPr>
        <w:t>7.2.7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50" w:lineRule="exact"/>
        <w:rPr>
          <w:sz w:val="20"/>
          <w:szCs w:val="20"/>
          <w:color w:val="auto"/>
        </w:rPr>
      </w:pPr>
    </w:p>
    <w:p>
      <w:pPr>
        <w:ind w:left="120" w:right="179" w:firstLine="791"/>
        <w:spacing w:after="0" w:line="275" w:lineRule="auto"/>
        <w:rPr>
          <w:sz w:val="20"/>
          <w:szCs w:val="20"/>
          <w:color w:val="auto"/>
        </w:rPr>
      </w:pPr>
      <w:r>
        <w:rPr>
          <w:rFonts w:ascii="Times New Roman" w:cs="Times New Roman" w:eastAsia="Times New Roman" w:hAnsi="Times New Roman"/>
          <w:sz w:val="14"/>
          <w:szCs w:val="14"/>
          <w:color w:val="auto"/>
        </w:rPr>
        <w:t>7.2.8 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3" w:right="1440" w:bottom="1440" w:gutter="0" w:footer="0" w:header="0"/>
        </w:sectPr>
      </w:pPr>
    </w:p>
    <w:bookmarkStart w:id="81" w:name="page82"/>
    <w:bookmarkEnd w:id="81"/>
    <w:p>
      <w:pPr>
        <w:ind w:left="120" w:right="239" w:firstLine="791"/>
        <w:spacing w:after="0" w:line="29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7.2.9 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7.2.10 The permissive right of the Trustee to take the actions permitted by this Indenture shall not be construed as an obligation or duty to</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do so.</w:t>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7.2.11 The Trustee will not be required to give any bond or surety in respect of the execution of this Indenture or otherwise.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Individual Rights of Trustee</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jc w:val="both"/>
        <w:ind w:left="120" w:right="279" w:firstLine="351"/>
        <w:spacing w:after="0" w:line="275"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Trustee’s Disclaimer</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79" w:firstLine="351"/>
        <w:spacing w:after="0" w:line="275"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19" w:firstLine="351"/>
        <w:spacing w:after="0" w:line="262" w:lineRule="auto"/>
        <w:rPr>
          <w:sz w:val="20"/>
          <w:szCs w:val="20"/>
          <w:color w:val="auto"/>
        </w:rPr>
      </w:pPr>
      <w:r>
        <w:rPr>
          <w:rFonts w:ascii="Times New Roman" w:cs="Times New Roman" w:eastAsia="Times New Roman" w:hAnsi="Times New Roman"/>
          <w:sz w:val="14"/>
          <w:szCs w:val="14"/>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7.6 </w:t>
      </w:r>
      <w:r>
        <w:rPr>
          <w:rFonts w:ascii="Times New Roman" w:cs="Times New Roman" w:eastAsia="Times New Roman" w:hAnsi="Times New Roman"/>
          <w:sz w:val="14"/>
          <w:szCs w:val="14"/>
          <w:u w:val="single" w:color="auto"/>
          <w:color w:val="auto"/>
        </w:rPr>
        <w:t>Reports by Trustee to Holders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219" w:firstLine="351"/>
        <w:spacing w:after="0" w:line="294" w:lineRule="auto"/>
        <w:rPr>
          <w:sz w:val="20"/>
          <w:szCs w:val="20"/>
          <w:color w:val="auto"/>
        </w:rPr>
      </w:pPr>
      <w:r>
        <w:rPr>
          <w:rFonts w:ascii="Times New Roman" w:cs="Times New Roman" w:eastAsia="Times New Roman" w:hAnsi="Times New Roman"/>
          <w:sz w:val="14"/>
          <w:szCs w:val="14"/>
          <w:color w:val="auto"/>
        </w:rPr>
        <w:t>Within 60 days after each [[  ] commencing [  ], [  ]], the Trustee shall transmit by mail to all Holders, as their names and addresses appear on the register kept by the Registrar, a brief report dated as of such date, in accordance with, and to the extent required under, TIA § 313.</w:t>
      </w:r>
    </w:p>
    <w:p>
      <w:pPr>
        <w:spacing w:after="0" w:line="123" w:lineRule="exact"/>
        <w:rPr>
          <w:sz w:val="20"/>
          <w:szCs w:val="20"/>
          <w:color w:val="auto"/>
        </w:rPr>
      </w:pPr>
    </w:p>
    <w:p>
      <w:pPr>
        <w:ind w:left="120" w:right="279" w:firstLine="351"/>
        <w:spacing w:after="0" w:line="275" w:lineRule="auto"/>
        <w:rPr>
          <w:sz w:val="20"/>
          <w:szCs w:val="20"/>
          <w:color w:val="auto"/>
        </w:rPr>
      </w:pPr>
      <w:r>
        <w:rPr>
          <w:rFonts w:ascii="Times New Roman" w:cs="Times New Roman" w:eastAsia="Times New Roman" w:hAnsi="Times New Roman"/>
          <w:sz w:val="14"/>
          <w:szCs w:val="14"/>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3"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Section 7.7 </w:t>
      </w:r>
      <w:r>
        <w:rPr>
          <w:rFonts w:ascii="Times New Roman" w:cs="Times New Roman" w:eastAsia="Times New Roman" w:hAnsi="Times New Roman"/>
          <w:sz w:val="14"/>
          <w:szCs w:val="14"/>
          <w:u w:val="single" w:color="auto"/>
          <w:color w:val="auto"/>
        </w:rPr>
        <w:t>Compensation and Indemnity</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219" w:firstLine="351"/>
        <w:spacing w:after="0" w:line="269" w:lineRule="auto"/>
        <w:rPr>
          <w:sz w:val="20"/>
          <w:szCs w:val="20"/>
          <w:color w:val="auto"/>
        </w:rPr>
      </w:pPr>
      <w:r>
        <w:rPr>
          <w:rFonts w:ascii="Times New Roman" w:cs="Times New Roman" w:eastAsia="Times New Roman" w:hAnsi="Times New Roman"/>
          <w:sz w:val="14"/>
          <w:szCs w:val="14"/>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40"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45" w:lineRule="exact"/>
        <w:rPr>
          <w:sz w:val="20"/>
          <w:szCs w:val="20"/>
          <w:color w:val="auto"/>
        </w:rPr>
      </w:pPr>
    </w:p>
    <w:p>
      <w:pPr>
        <w:jc w:val="both"/>
        <w:ind w:left="120" w:right="519" w:firstLine="351"/>
        <w:spacing w:after="0" w:line="275" w:lineRule="auto"/>
        <w:rPr>
          <w:sz w:val="20"/>
          <w:szCs w:val="20"/>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36" w:lineRule="exact"/>
        <w:rPr>
          <w:sz w:val="20"/>
          <w:szCs w:val="20"/>
          <w:color w:val="auto"/>
        </w:rPr>
      </w:pPr>
    </w:p>
    <w:p>
      <w:pPr>
        <w:ind w:left="120" w:right="359" w:firstLine="351"/>
        <w:spacing w:after="0" w:line="294" w:lineRule="auto"/>
        <w:rPr>
          <w:sz w:val="20"/>
          <w:szCs w:val="20"/>
          <w:color w:val="auto"/>
        </w:rPr>
      </w:pPr>
      <w:r>
        <w:rPr>
          <w:rFonts w:ascii="Times New Roman" w:cs="Times New Roman" w:eastAsia="Times New Roman" w:hAnsi="Times New Roman"/>
          <w:sz w:val="14"/>
          <w:szCs w:val="14"/>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3" w:lineRule="exact"/>
        <w:rPr>
          <w:sz w:val="20"/>
          <w:szCs w:val="20"/>
          <w:color w:val="auto"/>
        </w:rPr>
      </w:pPr>
    </w:p>
    <w:p>
      <w:pPr>
        <w:ind w:left="120" w:right="459" w:firstLine="351"/>
        <w:spacing w:after="0" w:line="294" w:lineRule="auto"/>
        <w:rPr>
          <w:sz w:val="20"/>
          <w:szCs w:val="20"/>
          <w:color w:val="auto"/>
        </w:rPr>
      </w:pPr>
      <w:r>
        <w:rPr>
          <w:rFonts w:ascii="Times New Roman" w:cs="Times New Roman" w:eastAsia="Times New Roman" w:hAnsi="Times New Roman"/>
          <w:sz w:val="14"/>
          <w:szCs w:val="14"/>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provisions of this Section shall survive the termination of this Indenture and the resignation or removal of the Trustee.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7.8 </w:t>
      </w:r>
      <w:r>
        <w:rPr>
          <w:rFonts w:ascii="Times New Roman" w:cs="Times New Roman" w:eastAsia="Times New Roman" w:hAnsi="Times New Roman"/>
          <w:sz w:val="14"/>
          <w:szCs w:val="14"/>
          <w:u w:val="single" w:color="auto"/>
          <w:color w:val="auto"/>
        </w:rPr>
        <w:t>Replacement of Trustee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699" w:firstLine="351"/>
        <w:spacing w:after="0" w:line="294" w:lineRule="auto"/>
        <w:rPr>
          <w:sz w:val="20"/>
          <w:szCs w:val="20"/>
          <w:color w:val="auto"/>
        </w:rPr>
      </w:pPr>
      <w:r>
        <w:rPr>
          <w:rFonts w:ascii="Times New Roman" w:cs="Times New Roman" w:eastAsia="Times New Roman" w:hAnsi="Times New Roman"/>
          <w:sz w:val="14"/>
          <w:szCs w:val="14"/>
          <w:color w:val="auto"/>
        </w:rPr>
        <w:t>A resignation or removal of the Trustee and appointment of a successor Trustee shall become effective only upon the successor Trustee’s acceptance of appointment as provided in this Section.</w:t>
      </w:r>
    </w:p>
    <w:p>
      <w:pPr>
        <w:spacing w:after="0" w:line="123" w:lineRule="exact"/>
        <w:rPr>
          <w:sz w:val="20"/>
          <w:szCs w:val="20"/>
          <w:color w:val="auto"/>
        </w:rPr>
      </w:pPr>
    </w:p>
    <w:p>
      <w:pPr>
        <w:jc w:val="both"/>
        <w:ind w:left="120" w:right="299" w:firstLine="351"/>
        <w:spacing w:after="0" w:line="275" w:lineRule="auto"/>
        <w:rPr>
          <w:sz w:val="20"/>
          <w:szCs w:val="20"/>
          <w:color w:val="auto"/>
        </w:rPr>
      </w:pPr>
      <w:r>
        <w:rPr>
          <w:rFonts w:ascii="Times New Roman" w:cs="Times New Roman" w:eastAsia="Times New Roman" w:hAnsi="Times New Roman"/>
          <w:sz w:val="14"/>
          <w:szCs w:val="14"/>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7.8.1 the Trustee fails to comply with Section 7.10;</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7.8.2 the Trustee is adjudged a bankrupt or an insolvent or an order for relief is entered with respect to the Trustee under any Bankruptcy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Law;</w:t>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7.8.3 a Custodian or public officer takes charge of the Trustee or its property; or</w:t>
      </w:r>
    </w:p>
    <w:p>
      <w:pPr>
        <w:spacing w:after="0" w:line="1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3" w:right="1440" w:bottom="1440" w:gutter="0" w:footer="0" w:header="0"/>
        </w:sectPr>
      </w:pPr>
    </w:p>
    <w:bookmarkStart w:id="83" w:name="page84"/>
    <w:bookmarkEnd w:id="83"/>
    <w:p>
      <w:pPr>
        <w:ind w:left="9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7.8.4 the Trustee becomes incapable of acting.</w:t>
      </w:r>
    </w:p>
    <w:p>
      <w:pPr>
        <w:spacing w:after="0" w:line="184" w:lineRule="exact"/>
        <w:rPr>
          <w:sz w:val="20"/>
          <w:szCs w:val="20"/>
          <w:color w:val="auto"/>
        </w:rPr>
      </w:pPr>
    </w:p>
    <w:p>
      <w:pPr>
        <w:ind w:left="120" w:right="219" w:firstLine="351"/>
        <w:spacing w:after="0" w:line="275" w:lineRule="auto"/>
        <w:rPr>
          <w:sz w:val="20"/>
          <w:szCs w:val="20"/>
          <w:color w:val="auto"/>
        </w:rPr>
      </w:pPr>
      <w:r>
        <w:rPr>
          <w:rFonts w:ascii="Times New Roman" w:cs="Times New Roman" w:eastAsia="Times New Roman" w:hAnsi="Times New Roman"/>
          <w:sz w:val="14"/>
          <w:szCs w:val="14"/>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36" w:lineRule="exact"/>
        <w:rPr>
          <w:sz w:val="20"/>
          <w:szCs w:val="20"/>
          <w:color w:val="auto"/>
        </w:rPr>
      </w:pPr>
    </w:p>
    <w:p>
      <w:pPr>
        <w:jc w:val="both"/>
        <w:ind w:left="120" w:right="199" w:firstLine="351"/>
        <w:spacing w:after="0" w:line="275" w:lineRule="auto"/>
        <w:rPr>
          <w:sz w:val="20"/>
          <w:szCs w:val="20"/>
          <w:color w:val="auto"/>
        </w:rPr>
      </w:pPr>
      <w:r>
        <w:rPr>
          <w:rFonts w:ascii="Times New Roman" w:cs="Times New Roman" w:eastAsia="Times New Roman" w:hAnsi="Times New Roman"/>
          <w:sz w:val="14"/>
          <w:szCs w:val="14"/>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36"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7.9 </w:t>
      </w:r>
      <w:r>
        <w:rPr>
          <w:rFonts w:ascii="Times New Roman" w:cs="Times New Roman" w:eastAsia="Times New Roman" w:hAnsi="Times New Roman"/>
          <w:sz w:val="14"/>
          <w:szCs w:val="14"/>
          <w:u w:val="single" w:color="auto"/>
          <w:color w:val="auto"/>
        </w:rPr>
        <w:t>Successor Trustee by Merger, Etc</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79" w:firstLine="351"/>
        <w:spacing w:after="0" w:line="267" w:lineRule="auto"/>
        <w:rPr>
          <w:sz w:val="20"/>
          <w:szCs w:val="20"/>
          <w:color w:val="auto"/>
        </w:rPr>
      </w:pPr>
      <w:r>
        <w:rPr>
          <w:rFonts w:ascii="Times New Roman" w:cs="Times New Roman" w:eastAsia="Times New Roman" w:hAnsi="Times New Roman"/>
          <w:sz w:val="14"/>
          <w:szCs w:val="14"/>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u w:val="single" w:color="auto"/>
          <w:color w:val="auto"/>
        </w:rPr>
        <w:t>Eligibility; Disqualification</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59" w:firstLine="351"/>
        <w:spacing w:after="0" w:line="275"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Preferential Collection of Claims Against Company</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319" w:firstLine="351"/>
        <w:spacing w:after="0" w:line="294" w:lineRule="auto"/>
        <w:rPr>
          <w:sz w:val="20"/>
          <w:szCs w:val="20"/>
          <w:color w:val="auto"/>
        </w:rPr>
      </w:pPr>
      <w:r>
        <w:rPr>
          <w:rFonts w:ascii="Times New Roman" w:cs="Times New Roman" w:eastAsia="Times New Roman" w:hAnsi="Times New Roman"/>
          <w:sz w:val="14"/>
          <w:szCs w:val="14"/>
          <w:color w:val="auto"/>
        </w:rPr>
        <w:t>The Trustee is subject to TIA § 311(a), excluding any creditor relationship listed in TIA § 311(b). A Trustee who has resigned or been removed shall be subject to TIA § 311(a) to the extent indicated.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3"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ARTICLE VIII.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SATISFACTION AND DISCHARGE; DEFEASANCE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259" w:firstLine="351"/>
        <w:spacing w:after="0" w:line="275" w:lineRule="auto"/>
        <w:rPr>
          <w:sz w:val="20"/>
          <w:szCs w:val="20"/>
          <w:color w:val="auto"/>
        </w:rPr>
      </w:pPr>
      <w:r>
        <w:rPr>
          <w:rFonts w:ascii="Times New Roman" w:cs="Times New Roman" w:eastAsia="Times New Roman" w:hAnsi="Times New Roman"/>
          <w:sz w:val="14"/>
          <w:szCs w:val="14"/>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8.1.1 either</w:t>
      </w:r>
    </w:p>
    <w:p>
      <w:pPr>
        <w:spacing w:after="0" w:line="97" w:lineRule="exact"/>
        <w:rPr>
          <w:sz w:val="20"/>
          <w:szCs w:val="20"/>
          <w:color w:val="auto"/>
        </w:rPr>
      </w:pPr>
    </w:p>
    <w:p>
      <w:pPr>
        <w:ind w:left="120" w:right="179" w:firstLine="1132"/>
        <w:spacing w:after="0" w:line="294" w:lineRule="auto"/>
        <w:tabs>
          <w:tab w:leader="none" w:pos="145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36" w:lineRule="exact"/>
        <w:rPr>
          <w:rFonts w:ascii="Times New Roman" w:cs="Times New Roman" w:eastAsia="Times New Roman" w:hAnsi="Times New Roman"/>
          <w:sz w:val="14"/>
          <w:szCs w:val="14"/>
          <w:color w:val="auto"/>
        </w:rPr>
      </w:pPr>
    </w:p>
    <w:p>
      <w:pPr>
        <w:ind w:left="1460" w:hanging="208"/>
        <w:spacing w:after="0"/>
        <w:tabs>
          <w:tab w:leader="none" w:pos="146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such Series not theretofore delivered to the Trustee for cancellation:</w:t>
      </w:r>
    </w:p>
    <w:p>
      <w:pPr>
        <w:spacing w:after="0" w:line="97" w:lineRule="exact"/>
        <w:rPr>
          <w:rFonts w:ascii="Times New Roman" w:cs="Times New Roman" w:eastAsia="Times New Roman" w:hAnsi="Times New Roman"/>
          <w:sz w:val="14"/>
          <w:szCs w:val="14"/>
          <w:color w:val="auto"/>
        </w:rPr>
      </w:pPr>
    </w:p>
    <w:p>
      <w:pPr>
        <w:ind w:left="1860" w:hanging="168"/>
        <w:spacing w:after="0"/>
        <w:tabs>
          <w:tab w:leader="none" w:pos="1860" w:val="left"/>
        </w:tabs>
        <w:numPr>
          <w:ilvl w:val="2"/>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by reason of sending a notice of redemption or otherwise,</w:t>
      </w:r>
    </w:p>
    <w:p>
      <w:pPr>
        <w:spacing w:after="0" w:line="97" w:lineRule="exact"/>
        <w:rPr>
          <w:rFonts w:ascii="Times New Roman" w:cs="Times New Roman" w:eastAsia="Times New Roman" w:hAnsi="Times New Roman"/>
          <w:sz w:val="14"/>
          <w:szCs w:val="14"/>
          <w:color w:val="auto"/>
        </w:rPr>
      </w:pPr>
    </w:p>
    <w:p>
      <w:pPr>
        <w:ind w:left="1900" w:hanging="208"/>
        <w:spacing w:after="0"/>
        <w:tabs>
          <w:tab w:leader="none" w:pos="1900" w:val="left"/>
        </w:tabs>
        <w:numPr>
          <w:ilvl w:val="2"/>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w:t>
      </w:r>
    </w:p>
    <w:p>
      <w:pPr>
        <w:spacing w:after="0" w:line="97" w:lineRule="exact"/>
        <w:rPr>
          <w:rFonts w:ascii="Times New Roman" w:cs="Times New Roman" w:eastAsia="Times New Roman" w:hAnsi="Times New Roman"/>
          <w:sz w:val="14"/>
          <w:szCs w:val="14"/>
          <w:color w:val="auto"/>
        </w:rPr>
      </w:pPr>
    </w:p>
    <w:p>
      <w:pPr>
        <w:ind w:left="120" w:right="319" w:firstLine="1572"/>
        <w:spacing w:after="0" w:line="294" w:lineRule="auto"/>
        <w:tabs>
          <w:tab w:leader="none" w:pos="1953" w:val="left"/>
        </w:tabs>
        <w:numPr>
          <w:ilvl w:val="2"/>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36" w:lineRule="exact"/>
        <w:rPr>
          <w:rFonts w:ascii="Times New Roman" w:cs="Times New Roman" w:eastAsia="Times New Roman" w:hAnsi="Times New Roman"/>
          <w:sz w:val="14"/>
          <w:szCs w:val="14"/>
          <w:color w:val="auto"/>
        </w:rPr>
      </w:pPr>
    </w:p>
    <w:p>
      <w:pPr>
        <w:ind w:left="1940" w:hanging="248"/>
        <w:spacing w:after="0"/>
        <w:tabs>
          <w:tab w:leader="none" w:pos="1940" w:val="left"/>
        </w:tabs>
        <w:numPr>
          <w:ilvl w:val="2"/>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deemed paid and discharged pursuant to Section 8.3, as applicable; and the Company, in the case of (1), (2) or</w:t>
      </w:r>
    </w:p>
    <w:p>
      <w:pPr>
        <w:spacing w:after="0" w:line="24" w:lineRule="exact"/>
        <w:rPr>
          <w:rFonts w:ascii="Times New Roman" w:cs="Times New Roman" w:eastAsia="Times New Roman" w:hAnsi="Times New Roman"/>
          <w:sz w:val="14"/>
          <w:szCs w:val="14"/>
          <w:color w:val="auto"/>
        </w:rPr>
      </w:pPr>
    </w:p>
    <w:p>
      <w:pPr>
        <w:ind w:left="120" w:right="159" w:hanging="10"/>
        <w:spacing w:after="0" w:line="265" w:lineRule="auto"/>
        <w:tabs>
          <w:tab w:leader="none" w:pos="323"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8.1.2 the Company has paid or caused to be paid all other sums payable hereunder by the Company; and</w:t>
      </w:r>
    </w:p>
    <w:p>
      <w:pPr>
        <w:spacing w:after="0" w:line="97" w:lineRule="exact"/>
        <w:rPr>
          <w:sz w:val="20"/>
          <w:szCs w:val="20"/>
          <w:color w:val="auto"/>
        </w:rPr>
      </w:pPr>
    </w:p>
    <w:p>
      <w:pPr>
        <w:ind w:left="120" w:right="639" w:firstLine="791"/>
        <w:spacing w:after="0" w:line="294" w:lineRule="auto"/>
        <w:rPr>
          <w:sz w:val="20"/>
          <w:szCs w:val="20"/>
          <w:color w:val="auto"/>
        </w:rPr>
      </w:pPr>
      <w:r>
        <w:rPr>
          <w:rFonts w:ascii="Times New Roman" w:cs="Times New Roman" w:eastAsia="Times New Roman" w:hAnsi="Times New Roman"/>
          <w:sz w:val="14"/>
          <w:szCs w:val="14"/>
          <w:color w:val="auto"/>
        </w:rPr>
        <w:t>8.1.3 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123" w:lineRule="exact"/>
        <w:rPr>
          <w:sz w:val="20"/>
          <w:szCs w:val="20"/>
          <w:color w:val="auto"/>
        </w:rPr>
      </w:pPr>
    </w:p>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3"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Section 8.2 </w:t>
      </w:r>
      <w:r>
        <w:rPr>
          <w:rFonts w:ascii="Times New Roman" w:cs="Times New Roman" w:eastAsia="Times New Roman" w:hAnsi="Times New Roman"/>
          <w:sz w:val="14"/>
          <w:szCs w:val="14"/>
          <w:u w:val="single" w:color="auto"/>
          <w:color w:val="auto"/>
        </w:rPr>
        <w:t>Application of Trust Funds; Indemnification</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19" w:firstLine="791"/>
        <w:spacing w:after="0" w:line="263" w:lineRule="auto"/>
        <w:rPr>
          <w:sz w:val="20"/>
          <w:szCs w:val="20"/>
          <w:color w:val="auto"/>
        </w:rPr>
      </w:pPr>
      <w:r>
        <w:rPr>
          <w:rFonts w:ascii="Times New Roman" w:cs="Times New Roman" w:eastAsia="Times New Roman" w:hAnsi="Times New Roman"/>
          <w:sz w:val="14"/>
          <w:szCs w:val="14"/>
          <w:color w:val="auto"/>
        </w:rPr>
        <w:t>8.2.1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57" w:lineRule="exact"/>
        <w:rPr>
          <w:sz w:val="20"/>
          <w:szCs w:val="20"/>
          <w:color w:val="auto"/>
        </w:rPr>
      </w:pPr>
    </w:p>
    <w:p>
      <w:pPr>
        <w:ind w:left="120" w:right="139" w:firstLine="791"/>
        <w:spacing w:after="0" w:line="275" w:lineRule="auto"/>
        <w:rPr>
          <w:sz w:val="20"/>
          <w:szCs w:val="20"/>
          <w:color w:val="auto"/>
        </w:rPr>
      </w:pPr>
      <w:r>
        <w:rPr>
          <w:rFonts w:ascii="Times New Roman" w:cs="Times New Roman" w:eastAsia="Times New Roman" w:hAnsi="Times New Roman"/>
          <w:sz w:val="14"/>
          <w:szCs w:val="14"/>
          <w:color w:val="auto"/>
        </w:rPr>
        <w:t>8.2.2 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50" w:lineRule="exact"/>
        <w:rPr>
          <w:sz w:val="20"/>
          <w:szCs w:val="20"/>
          <w:color w:val="auto"/>
        </w:rPr>
      </w:pPr>
    </w:p>
    <w:p>
      <w:pPr>
        <w:ind w:left="120" w:right="139" w:firstLine="791"/>
        <w:spacing w:after="0" w:line="264" w:lineRule="auto"/>
        <w:rPr>
          <w:sz w:val="20"/>
          <w:szCs w:val="20"/>
          <w:color w:val="auto"/>
        </w:rPr>
      </w:pPr>
      <w:r>
        <w:rPr>
          <w:rFonts w:ascii="Times New Roman" w:cs="Times New Roman" w:eastAsia="Times New Roman" w:hAnsi="Times New Roman"/>
          <w:sz w:val="14"/>
          <w:szCs w:val="14"/>
          <w:color w:val="auto"/>
        </w:rPr>
        <w:t>8.2.3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8.3 </w:t>
      </w:r>
      <w:r>
        <w:rPr>
          <w:rFonts w:ascii="Times New Roman" w:cs="Times New Roman" w:eastAsia="Times New Roman" w:hAnsi="Times New Roman"/>
          <w:sz w:val="14"/>
          <w:szCs w:val="14"/>
          <w:u w:val="single" w:color="auto"/>
          <w:color w:val="auto"/>
        </w:rPr>
        <w:t>Legal Defeasance of Securities of any Series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39" w:firstLine="351"/>
        <w:spacing w:after="0" w:line="269" w:lineRule="auto"/>
        <w:rPr>
          <w:sz w:val="20"/>
          <w:szCs w:val="20"/>
          <w:color w:val="auto"/>
        </w:rPr>
      </w:pPr>
      <w:r>
        <w:rPr>
          <w:rFonts w:ascii="Times New Roman" w:cs="Times New Roman" w:eastAsia="Times New Roman" w:hAnsi="Times New Roman"/>
          <w:sz w:val="14"/>
          <w:szCs w:val="14"/>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54" w:lineRule="exact"/>
        <w:rPr>
          <w:sz w:val="20"/>
          <w:szCs w:val="20"/>
          <w:color w:val="auto"/>
        </w:rPr>
      </w:pPr>
    </w:p>
    <w:p>
      <w:pPr>
        <w:ind w:left="120" w:right="159" w:firstLine="791"/>
        <w:spacing w:after="0" w:line="269" w:lineRule="auto"/>
        <w:rPr>
          <w:sz w:val="20"/>
          <w:szCs w:val="20"/>
          <w:color w:val="auto"/>
        </w:rPr>
      </w:pPr>
      <w:r>
        <w:rPr>
          <w:rFonts w:ascii="Times New Roman" w:cs="Times New Roman" w:eastAsia="Times New Roman" w:hAnsi="Times New Roman"/>
          <w:sz w:val="14"/>
          <w:szCs w:val="14"/>
          <w:color w:val="auto"/>
        </w:rPr>
        <w:t>8.3.1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8.3.2 the provisions of Sections 2.4, 2.5, 2.7, 2.8, 7.7, 8.2, 8.3, 8.5 and 8.6; and</w:t>
      </w:r>
    </w:p>
    <w:p>
      <w:pPr>
        <w:spacing w:after="0" w:line="97" w:lineRule="exact"/>
        <w:rPr>
          <w:sz w:val="20"/>
          <w:szCs w:val="20"/>
          <w:color w:val="auto"/>
        </w:rPr>
      </w:pPr>
    </w:p>
    <w:p>
      <w:pPr>
        <w:ind w:left="120" w:right="239" w:firstLine="791"/>
        <w:spacing w:after="0" w:line="294" w:lineRule="auto"/>
        <w:rPr>
          <w:sz w:val="20"/>
          <w:szCs w:val="20"/>
          <w:color w:val="auto"/>
        </w:rPr>
      </w:pPr>
      <w:r>
        <w:rPr>
          <w:rFonts w:ascii="Times New Roman" w:cs="Times New Roman" w:eastAsia="Times New Roman" w:hAnsi="Times New Roman"/>
          <w:sz w:val="14"/>
          <w:szCs w:val="14"/>
          <w:color w:val="auto"/>
        </w:rPr>
        <w:t>8.3.3 the rights, powers, trusts and immunities of the Trustee hereunder and the Company’s obligations in connection therewith; provided that, the following conditions shall have been satisfied: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3" w:right="1440" w:bottom="1440" w:gutter="0" w:footer="0" w:header="0"/>
        </w:sectPr>
      </w:pPr>
    </w:p>
    <w:bookmarkStart w:id="86" w:name="page87"/>
    <w:bookmarkEnd w:id="86"/>
    <w:p>
      <w:pPr>
        <w:ind w:left="120" w:right="159" w:firstLine="791"/>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8.3.4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61" w:lineRule="exact"/>
        <w:rPr>
          <w:sz w:val="20"/>
          <w:szCs w:val="20"/>
          <w:color w:val="auto"/>
        </w:rPr>
      </w:pPr>
    </w:p>
    <w:p>
      <w:pPr>
        <w:ind w:left="120" w:right="659" w:firstLine="791"/>
        <w:spacing w:after="0" w:line="294" w:lineRule="auto"/>
        <w:rPr>
          <w:sz w:val="20"/>
          <w:szCs w:val="20"/>
          <w:color w:val="auto"/>
        </w:rPr>
      </w:pPr>
      <w:r>
        <w:rPr>
          <w:rFonts w:ascii="Times New Roman" w:cs="Times New Roman" w:eastAsia="Times New Roman" w:hAnsi="Times New Roman"/>
          <w:sz w:val="14"/>
          <w:szCs w:val="14"/>
          <w:color w:val="auto"/>
        </w:rPr>
        <w:t>8.3.5 such deposit will not result in a breach or violation of, or constitute a default under, this Indenture or any other agreement or instrument to which the Company is a party or by which it is bound;</w:t>
      </w:r>
    </w:p>
    <w:p>
      <w:pPr>
        <w:spacing w:after="0" w:line="36" w:lineRule="exact"/>
        <w:rPr>
          <w:sz w:val="20"/>
          <w:szCs w:val="20"/>
          <w:color w:val="auto"/>
        </w:rPr>
      </w:pPr>
    </w:p>
    <w:p>
      <w:pPr>
        <w:ind w:left="120" w:right="159" w:firstLine="791"/>
        <w:spacing w:after="0" w:line="294" w:lineRule="auto"/>
        <w:rPr>
          <w:sz w:val="20"/>
          <w:szCs w:val="20"/>
          <w:color w:val="auto"/>
        </w:rPr>
      </w:pPr>
      <w:r>
        <w:rPr>
          <w:rFonts w:ascii="Times New Roman" w:cs="Times New Roman" w:eastAsia="Times New Roman" w:hAnsi="Times New Roman"/>
          <w:sz w:val="14"/>
          <w:szCs w:val="14"/>
          <w:color w:val="auto"/>
        </w:rPr>
        <w:t>8.3.6 no Default or Event of Default with respect to the Securities of such Series shall have occurred and be continuing on the date of such deposit or during the period ending on the 91st day after such date;</w:t>
      </w:r>
    </w:p>
    <w:p>
      <w:pPr>
        <w:spacing w:after="0" w:line="36" w:lineRule="exact"/>
        <w:rPr>
          <w:sz w:val="20"/>
          <w:szCs w:val="20"/>
          <w:color w:val="auto"/>
        </w:rPr>
      </w:pPr>
    </w:p>
    <w:p>
      <w:pPr>
        <w:ind w:left="120" w:right="139" w:firstLine="791"/>
        <w:spacing w:after="0" w:line="264" w:lineRule="auto"/>
        <w:rPr>
          <w:sz w:val="20"/>
          <w:szCs w:val="20"/>
          <w:color w:val="auto"/>
        </w:rPr>
      </w:pPr>
      <w:r>
        <w:rPr>
          <w:rFonts w:ascii="Times New Roman" w:cs="Times New Roman" w:eastAsia="Times New Roman" w:hAnsi="Times New Roman"/>
          <w:sz w:val="14"/>
          <w:szCs w:val="14"/>
          <w:color w:val="auto"/>
        </w:rPr>
        <w:t>8.3.7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58" w:lineRule="exact"/>
        <w:rPr>
          <w:sz w:val="20"/>
          <w:szCs w:val="20"/>
          <w:color w:val="auto"/>
        </w:rPr>
      </w:pPr>
    </w:p>
    <w:p>
      <w:pPr>
        <w:ind w:left="120" w:right="219" w:firstLine="791"/>
        <w:spacing w:after="0" w:line="294" w:lineRule="auto"/>
        <w:rPr>
          <w:sz w:val="20"/>
          <w:szCs w:val="20"/>
          <w:color w:val="auto"/>
        </w:rPr>
      </w:pPr>
      <w:r>
        <w:rPr>
          <w:rFonts w:ascii="Times New Roman" w:cs="Times New Roman" w:eastAsia="Times New Roman" w:hAnsi="Times New Roman"/>
          <w:sz w:val="14"/>
          <w:szCs w:val="14"/>
          <w:color w:val="auto"/>
        </w:rPr>
        <w:t>8.3.8 the Company shall have delivered to the Trustee an Officer’s Certificate stating that the deposit was not made by the Company with the intent of defeating, hindering, delaying or defrauding any other creditors of the Company; and</w:t>
      </w:r>
    </w:p>
    <w:p>
      <w:pPr>
        <w:spacing w:after="0" w:line="36" w:lineRule="exact"/>
        <w:rPr>
          <w:sz w:val="20"/>
          <w:szCs w:val="20"/>
          <w:color w:val="auto"/>
        </w:rPr>
      </w:pPr>
    </w:p>
    <w:p>
      <w:pPr>
        <w:ind w:left="120" w:right="259" w:firstLine="791"/>
        <w:spacing w:after="0" w:line="294" w:lineRule="auto"/>
        <w:rPr>
          <w:sz w:val="20"/>
          <w:szCs w:val="20"/>
          <w:color w:val="auto"/>
        </w:rPr>
      </w:pPr>
      <w:r>
        <w:rPr>
          <w:rFonts w:ascii="Times New Roman" w:cs="Times New Roman" w:eastAsia="Times New Roman" w:hAnsi="Times New Roman"/>
          <w:sz w:val="14"/>
          <w:szCs w:val="14"/>
          <w:color w:val="auto"/>
        </w:rPr>
        <w:t>8.3.9 the Company shall have delivered to the Trustee an Officer’s Certificate and an Opinion of Counsel, each stating that all conditions precedent provided for relating to the defeasance contemplated by this Section have been complied with.</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19" w:firstLine="351"/>
        <w:spacing w:after="0" w:line="262" w:lineRule="auto"/>
        <w:rPr>
          <w:sz w:val="20"/>
          <w:szCs w:val="20"/>
          <w:color w:val="auto"/>
        </w:rPr>
      </w:pPr>
      <w:r>
        <w:rPr>
          <w:rFonts w:ascii="Times New Roman" w:cs="Times New Roman" w:eastAsia="Times New Roman" w:hAnsi="Times New Roman"/>
          <w:sz w:val="14"/>
          <w:szCs w:val="14"/>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3" w:right="1440" w:bottom="1440" w:gutter="0" w:footer="0" w:header="0"/>
        </w:sectPr>
      </w:pPr>
    </w:p>
    <w:bookmarkStart w:id="87" w:name="page88"/>
    <w:bookmarkEnd w:id="87"/>
    <w:p>
      <w:pPr>
        <w:ind w:left="120" w:right="179" w:firstLine="791"/>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8.4.1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234" w:lineRule="exact"/>
        <w:rPr>
          <w:sz w:val="20"/>
          <w:szCs w:val="20"/>
          <w:color w:val="auto"/>
        </w:rPr>
      </w:pPr>
    </w:p>
    <w:p>
      <w:pPr>
        <w:ind w:left="120" w:right="659" w:firstLine="791"/>
        <w:spacing w:after="0" w:line="294" w:lineRule="auto"/>
        <w:rPr>
          <w:sz w:val="20"/>
          <w:szCs w:val="20"/>
          <w:color w:val="auto"/>
        </w:rPr>
      </w:pPr>
      <w:r>
        <w:rPr>
          <w:rFonts w:ascii="Times New Roman" w:cs="Times New Roman" w:eastAsia="Times New Roman" w:hAnsi="Times New Roman"/>
          <w:sz w:val="14"/>
          <w:szCs w:val="14"/>
          <w:color w:val="auto"/>
        </w:rPr>
        <w:t>8.4.2 such deposit will not result in a breach or violation of, or constitute a default under, this Indenture or any other agreement or instrument to which the Company is a party or by which it is bound;</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8.4.3 no Default or Event of Default with respect to the Securities of such Series shall have occurred and be continuing on the date of such</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deposit;</w:t>
      </w:r>
    </w:p>
    <w:p>
      <w:pPr>
        <w:spacing w:after="0" w:line="84" w:lineRule="exact"/>
        <w:rPr>
          <w:sz w:val="20"/>
          <w:szCs w:val="20"/>
          <w:color w:val="auto"/>
        </w:rPr>
      </w:pPr>
    </w:p>
    <w:p>
      <w:pPr>
        <w:ind w:left="120" w:right="159" w:firstLine="791"/>
        <w:spacing w:after="0" w:line="269" w:lineRule="auto"/>
        <w:rPr>
          <w:sz w:val="20"/>
          <w:szCs w:val="20"/>
          <w:color w:val="auto"/>
        </w:rPr>
      </w:pPr>
      <w:r>
        <w:rPr>
          <w:rFonts w:ascii="Times New Roman" w:cs="Times New Roman" w:eastAsia="Times New Roman" w:hAnsi="Times New Roman"/>
          <w:sz w:val="14"/>
          <w:szCs w:val="14"/>
          <w:color w:val="auto"/>
        </w:rPr>
        <w:t>8.4.4 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54" w:lineRule="exact"/>
        <w:rPr>
          <w:sz w:val="20"/>
          <w:szCs w:val="20"/>
          <w:color w:val="auto"/>
        </w:rPr>
      </w:pPr>
    </w:p>
    <w:p>
      <w:pPr>
        <w:jc w:val="both"/>
        <w:ind w:left="120" w:right="219" w:firstLine="791"/>
        <w:spacing w:after="0" w:line="294" w:lineRule="auto"/>
        <w:rPr>
          <w:sz w:val="20"/>
          <w:szCs w:val="20"/>
          <w:color w:val="auto"/>
        </w:rPr>
      </w:pPr>
      <w:r>
        <w:rPr>
          <w:rFonts w:ascii="Times New Roman" w:cs="Times New Roman" w:eastAsia="Times New Roman" w:hAnsi="Times New Roman"/>
          <w:sz w:val="14"/>
          <w:szCs w:val="14"/>
          <w:color w:val="auto"/>
        </w:rPr>
        <w:t>8.4.5 The Company shall have delivered to the Trustee an Officer’s Certificate stating the deposit was not made by the Company with the intent of defeating, hindering, delaying or defrauding any other creditors of the Company; and</w:t>
      </w:r>
    </w:p>
    <w:p>
      <w:pPr>
        <w:spacing w:after="0" w:line="36" w:lineRule="exact"/>
        <w:rPr>
          <w:sz w:val="20"/>
          <w:szCs w:val="20"/>
          <w:color w:val="auto"/>
        </w:rPr>
      </w:pPr>
    </w:p>
    <w:p>
      <w:pPr>
        <w:jc w:val="both"/>
        <w:ind w:left="120" w:right="219" w:firstLine="791"/>
        <w:spacing w:after="0" w:line="294" w:lineRule="auto"/>
        <w:rPr>
          <w:sz w:val="20"/>
          <w:szCs w:val="20"/>
          <w:color w:val="auto"/>
        </w:rPr>
      </w:pPr>
      <w:r>
        <w:rPr>
          <w:rFonts w:ascii="Times New Roman" w:cs="Times New Roman" w:eastAsia="Times New Roman" w:hAnsi="Times New Roman"/>
          <w:sz w:val="14"/>
          <w:szCs w:val="14"/>
          <w:color w:val="auto"/>
        </w:rPr>
        <w:t>8.4.6 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8.5 </w:t>
      </w:r>
      <w:r>
        <w:rPr>
          <w:rFonts w:ascii="Times New Roman" w:cs="Times New Roman" w:eastAsia="Times New Roman" w:hAnsi="Times New Roman"/>
          <w:sz w:val="14"/>
          <w:szCs w:val="14"/>
          <w:u w:val="single" w:color="auto"/>
          <w:color w:val="auto"/>
        </w:rPr>
        <w:t>Repayment to Company</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jc w:val="both"/>
        <w:ind w:left="120" w:right="219" w:firstLine="351"/>
        <w:spacing w:after="0" w:line="275" w:lineRule="auto"/>
        <w:rPr>
          <w:sz w:val="20"/>
          <w:szCs w:val="20"/>
          <w:color w:val="auto"/>
        </w:rPr>
      </w:pPr>
      <w:r>
        <w:rPr>
          <w:rFonts w:ascii="Times New Roman" w:cs="Times New Roman" w:eastAsia="Times New Roman" w:hAnsi="Times New Roman"/>
          <w:sz w:val="14"/>
          <w:szCs w:val="14"/>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8.6 </w:t>
      </w:r>
      <w:r>
        <w:rPr>
          <w:rFonts w:ascii="Times New Roman" w:cs="Times New Roman" w:eastAsia="Times New Roman" w:hAnsi="Times New Roman"/>
          <w:sz w:val="14"/>
          <w:szCs w:val="14"/>
          <w:u w:val="single" w:color="auto"/>
          <w:color w:val="auto"/>
        </w:rPr>
        <w:t>Reinstatement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19" w:firstLine="351"/>
        <w:spacing w:after="0" w:line="262" w:lineRule="auto"/>
        <w:rPr>
          <w:sz w:val="20"/>
          <w:szCs w:val="20"/>
          <w:color w:val="auto"/>
        </w:rPr>
      </w:pPr>
      <w:r>
        <w:rPr>
          <w:rFonts w:ascii="Times New Roman" w:cs="Times New Roman" w:eastAsia="Times New Roman" w:hAnsi="Times New Roman"/>
          <w:sz w:val="14"/>
          <w:szCs w:val="14"/>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3"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AMENDMENTS AND WAIVERS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9.1 </w:t>
      </w:r>
      <w:r>
        <w:rPr>
          <w:rFonts w:ascii="Times New Roman" w:cs="Times New Roman" w:eastAsia="Times New Roman" w:hAnsi="Times New Roman"/>
          <w:sz w:val="14"/>
          <w:szCs w:val="14"/>
          <w:u w:val="single" w:color="auto"/>
          <w:color w:val="auto"/>
        </w:rPr>
        <w:t>Without Consent of Holders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Company and the Trustee may amend or supplement this Indenture or the Securities of one or more Series without the consent of any Holder:</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9.1.1 to cure any ambiguity, defect or inconsistency;</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9.1.2 to comply with Article V;</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9.1.3 to provide for uncertificated Securities in addition to or in place of certificated Securities;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9.1.4 to add guarantees with respect to Securities of any Series or secure Securities of any Series;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9.1.5 to surrender any of the Company’s rights or powers under this Indenture;</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9.1.6 to add covenants or events of default for the benefit of the holders of Securities of any Series;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9.1.7 to comply with the applicable procedures of the applicable depositary;</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9.1.8 to make any change that does not adversely affect the rights of any Holder;</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9.1.9 to provide for the issuance of and establish the form and terms and conditions of Securities of any Series as permitted by this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Indenture;</w:t>
      </w:r>
    </w:p>
    <w:p>
      <w:pPr>
        <w:spacing w:after="0" w:line="84" w:lineRule="exact"/>
        <w:rPr>
          <w:sz w:val="20"/>
          <w:szCs w:val="20"/>
          <w:color w:val="auto"/>
        </w:rPr>
      </w:pPr>
    </w:p>
    <w:p>
      <w:pPr>
        <w:ind w:left="120" w:right="179" w:firstLine="791"/>
        <w:spacing w:after="0" w:line="275" w:lineRule="auto"/>
        <w:rPr>
          <w:sz w:val="20"/>
          <w:szCs w:val="20"/>
          <w:color w:val="auto"/>
        </w:rPr>
      </w:pPr>
      <w:r>
        <w:rPr>
          <w:rFonts w:ascii="Times New Roman" w:cs="Times New Roman" w:eastAsia="Times New Roman" w:hAnsi="Times New Roman"/>
          <w:sz w:val="14"/>
          <w:szCs w:val="14"/>
          <w:color w:val="auto"/>
        </w:rPr>
        <w:t>9.1.10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9.1.11 to comply with requirements of the SEC in order to effect or maintain the qualification of this Indenture under the TIA.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u w:val="single" w:color="auto"/>
          <w:color w:val="auto"/>
        </w:rPr>
        <w:t>With Consent of Holders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3" w:right="1440" w:bottom="1440" w:gutter="0" w:footer="0" w:header="0"/>
        </w:sectPr>
      </w:pPr>
    </w:p>
    <w:bookmarkStart w:id="89" w:name="page90"/>
    <w:bookmarkEnd w:id="89"/>
    <w:p>
      <w:pPr>
        <w:ind w:left="120" w:right="239" w:firstLine="351"/>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9.3 </w:t>
      </w:r>
      <w:r>
        <w:rPr>
          <w:rFonts w:ascii="Times New Roman" w:cs="Times New Roman" w:eastAsia="Times New Roman" w:hAnsi="Times New Roman"/>
          <w:sz w:val="14"/>
          <w:szCs w:val="14"/>
          <w:u w:val="single" w:color="auto"/>
          <w:color w:val="auto"/>
        </w:rPr>
        <w:t>Limitations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Without the consent of each Holder affected, an amendment or waiver may not:</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9.3.1 reduce the principal amount of Securities whose Holders must consent to an amendment, supplement or waiver;</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9.3.2 reduce the rate of or extend the time for payment of interest (including default interest) on any Security;</w:t>
      </w:r>
    </w:p>
    <w:p>
      <w:pPr>
        <w:spacing w:after="0" w:line="97" w:lineRule="exact"/>
        <w:rPr>
          <w:sz w:val="20"/>
          <w:szCs w:val="20"/>
          <w:color w:val="auto"/>
        </w:rPr>
      </w:pPr>
    </w:p>
    <w:p>
      <w:pPr>
        <w:ind w:left="120" w:right="579" w:firstLine="791"/>
        <w:spacing w:after="0" w:line="294" w:lineRule="auto"/>
        <w:rPr>
          <w:sz w:val="20"/>
          <w:szCs w:val="20"/>
          <w:color w:val="auto"/>
        </w:rPr>
      </w:pPr>
      <w:r>
        <w:rPr>
          <w:rFonts w:ascii="Times New Roman" w:cs="Times New Roman" w:eastAsia="Times New Roman" w:hAnsi="Times New Roman"/>
          <w:sz w:val="14"/>
          <w:szCs w:val="14"/>
          <w:color w:val="auto"/>
        </w:rPr>
        <w:t>9.3.3 reduce the principal or change the Stated Maturity of any Security or reduce the amount of, or postpone the date fixed for, the payment of any sinking fund or analogous obligation;</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9.3.4 reduce the principal amount of Discount Securities payable upon acceleration of the maturity thereof;</w:t>
      </w:r>
    </w:p>
    <w:p>
      <w:pPr>
        <w:spacing w:after="0" w:line="97" w:lineRule="exact"/>
        <w:rPr>
          <w:sz w:val="20"/>
          <w:szCs w:val="20"/>
          <w:color w:val="auto"/>
        </w:rPr>
      </w:pPr>
    </w:p>
    <w:p>
      <w:pPr>
        <w:ind w:left="120" w:right="339" w:firstLine="791"/>
        <w:spacing w:after="0" w:line="275" w:lineRule="auto"/>
        <w:rPr>
          <w:sz w:val="20"/>
          <w:szCs w:val="20"/>
          <w:color w:val="auto"/>
        </w:rPr>
      </w:pPr>
      <w:r>
        <w:rPr>
          <w:rFonts w:ascii="Times New Roman" w:cs="Times New Roman" w:eastAsia="Times New Roman" w:hAnsi="Times New Roman"/>
          <w:sz w:val="14"/>
          <w:szCs w:val="14"/>
          <w:color w:val="auto"/>
        </w:rPr>
        <w:t>9.3.5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9.3.6 make the principal of or interest, if any, on any Security payable in any currency other than that stated in the Security;</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9.3.7 make any change in Sections 6.8, 6.13 or 9.3 (this sentence); or</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9.3.8 waive a redemption payment with respect to any Security, provided that such redemption is made at the Company’s option.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9.4 </w:t>
      </w:r>
      <w:r>
        <w:rPr>
          <w:rFonts w:ascii="Times New Roman" w:cs="Times New Roman" w:eastAsia="Times New Roman" w:hAnsi="Times New Roman"/>
          <w:sz w:val="14"/>
          <w:szCs w:val="14"/>
          <w:u w:val="single" w:color="auto"/>
          <w:color w:val="auto"/>
        </w:rPr>
        <w:t>Compliance with Trust Indenture Act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79" w:firstLine="351"/>
        <w:spacing w:after="0" w:line="294" w:lineRule="auto"/>
        <w:rPr>
          <w:sz w:val="20"/>
          <w:szCs w:val="20"/>
          <w:color w:val="auto"/>
        </w:rPr>
      </w:pPr>
      <w:r>
        <w:rPr>
          <w:rFonts w:ascii="Times New Roman" w:cs="Times New Roman" w:eastAsia="Times New Roman" w:hAnsi="Times New Roman"/>
          <w:sz w:val="14"/>
          <w:szCs w:val="14"/>
          <w:color w:val="auto"/>
        </w:rPr>
        <w:t>Every amendment to this Indenture or the Securities of one or more Series shall be set forth in a supplemental indenture hereto that complies with the TIA as then in effect.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9.5 </w:t>
      </w:r>
      <w:r>
        <w:rPr>
          <w:rFonts w:ascii="Times New Roman" w:cs="Times New Roman" w:eastAsia="Times New Roman" w:hAnsi="Times New Roman"/>
          <w:sz w:val="14"/>
          <w:szCs w:val="14"/>
          <w:u w:val="single" w:color="auto"/>
          <w:color w:val="auto"/>
        </w:rPr>
        <w:t>Revocation and Effect of Consents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19" w:firstLine="351"/>
        <w:spacing w:after="0" w:line="267" w:lineRule="auto"/>
        <w:rPr>
          <w:sz w:val="20"/>
          <w:szCs w:val="20"/>
          <w:color w:val="auto"/>
        </w:rPr>
      </w:pPr>
      <w:r>
        <w:rPr>
          <w:rFonts w:ascii="Times New Roman" w:cs="Times New Roman" w:eastAsia="Times New Roman" w:hAnsi="Times New Roman"/>
          <w:sz w:val="14"/>
          <w:szCs w:val="14"/>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3" w:right="1440" w:bottom="1440" w:gutter="0" w:footer="0" w:header="0"/>
        </w:sectPr>
      </w:pPr>
    </w:p>
    <w:bookmarkStart w:id="90" w:name="page91"/>
    <w:bookmarkEnd w:id="90"/>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36" w:lineRule="exact"/>
        <w:rPr>
          <w:sz w:val="20"/>
          <w:szCs w:val="20"/>
          <w:color w:val="auto"/>
        </w:rPr>
      </w:pPr>
    </w:p>
    <w:p>
      <w:pPr>
        <w:ind w:left="120" w:right="199" w:firstLine="351"/>
        <w:spacing w:after="0" w:line="266" w:lineRule="auto"/>
        <w:rPr>
          <w:sz w:val="20"/>
          <w:szCs w:val="20"/>
          <w:color w:val="auto"/>
        </w:rPr>
      </w:pPr>
      <w:r>
        <w:rPr>
          <w:rFonts w:ascii="Times New Roman" w:cs="Times New Roman" w:eastAsia="Times New Roman" w:hAnsi="Times New Roman"/>
          <w:sz w:val="14"/>
          <w:szCs w:val="14"/>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9.6 </w:t>
      </w:r>
      <w:r>
        <w:rPr>
          <w:rFonts w:ascii="Times New Roman" w:cs="Times New Roman" w:eastAsia="Times New Roman" w:hAnsi="Times New Roman"/>
          <w:sz w:val="14"/>
          <w:szCs w:val="14"/>
          <w:u w:val="single" w:color="auto"/>
          <w:color w:val="auto"/>
        </w:rPr>
        <w:t>Notation on or Exchange of Securities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9.7 </w:t>
      </w:r>
      <w:r>
        <w:rPr>
          <w:rFonts w:ascii="Times New Roman" w:cs="Times New Roman" w:eastAsia="Times New Roman" w:hAnsi="Times New Roman"/>
          <w:sz w:val="14"/>
          <w:szCs w:val="14"/>
          <w:u w:val="single" w:color="auto"/>
          <w:color w:val="auto"/>
        </w:rPr>
        <w:t>Trustee Protected</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59" w:firstLine="351"/>
        <w:spacing w:after="0" w:line="266" w:lineRule="auto"/>
        <w:rPr>
          <w:sz w:val="20"/>
          <w:szCs w:val="20"/>
          <w:color w:val="auto"/>
        </w:rPr>
      </w:pPr>
      <w:r>
        <w:rPr>
          <w:rFonts w:ascii="Times New Roman" w:cs="Times New Roman" w:eastAsia="Times New Roman" w:hAnsi="Times New Roman"/>
          <w:sz w:val="14"/>
          <w:szCs w:val="14"/>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MISCELLANEOUS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Trust Indenture Act Controls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219" w:firstLine="351"/>
        <w:spacing w:after="0" w:line="294" w:lineRule="auto"/>
        <w:rPr>
          <w:sz w:val="20"/>
          <w:szCs w:val="20"/>
          <w:color w:val="auto"/>
        </w:rPr>
      </w:pPr>
      <w:r>
        <w:rPr>
          <w:rFonts w:ascii="Times New Roman" w:cs="Times New Roman" w:eastAsia="Times New Roman" w:hAnsi="Times New Roman"/>
          <w:sz w:val="14"/>
          <w:szCs w:val="14"/>
          <w:color w:val="auto"/>
        </w:rPr>
        <w:t>If any provision of this Indenture limits, qualifies or conflicts with another provision which is required or deemed to be included in this Indenture by the TIA, such required or deemed provision shall control.</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19" w:firstLine="351"/>
        <w:spacing w:after="0" w:line="275" w:lineRule="auto"/>
        <w:rPr>
          <w:sz w:val="20"/>
          <w:szCs w:val="20"/>
          <w:color w:val="auto"/>
        </w:rPr>
      </w:pPr>
      <w:r>
        <w:rPr>
          <w:rFonts w:ascii="Times New Roman" w:cs="Times New Roman" w:eastAsia="Times New Roman" w:hAnsi="Times New Roman"/>
          <w:sz w:val="14"/>
          <w:szCs w:val="14"/>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3"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if to the Company: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LSB Industries, Inc.</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3503 NW 63rd St Ste 500</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Oklahoma City, Oklahoma, 73116</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Attention: Michael Foster</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Email: [____]</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Fax: [____]</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 a copy to:</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LSB Industries, Inc.</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3503 NW 63rd St Ste 500</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Oklahoma City, Oklahoma, 73116</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Attention: Kristy Carver</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Email: [____]</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Fax: [____]</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[_____]</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[_____]</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Attention: [____]</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Telephone: [____]</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 a copy to:</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[_____]</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Attention: [____]</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Telephone: [____]</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Company or the Trustee by notice to the other may designate additional or different addresses for subsequent notices or communications.</w:t>
      </w:r>
    </w:p>
    <w:p>
      <w:pPr>
        <w:spacing w:after="0" w:line="184" w:lineRule="exact"/>
        <w:rPr>
          <w:sz w:val="20"/>
          <w:szCs w:val="20"/>
          <w:color w:val="auto"/>
        </w:rPr>
      </w:pPr>
    </w:p>
    <w:p>
      <w:pPr>
        <w:jc w:val="both"/>
        <w:ind w:left="120" w:right="199" w:firstLine="351"/>
        <w:spacing w:after="0" w:line="275" w:lineRule="auto"/>
        <w:rPr>
          <w:sz w:val="20"/>
          <w:szCs w:val="20"/>
          <w:color w:val="auto"/>
        </w:rPr>
      </w:pPr>
      <w:r>
        <w:rPr>
          <w:rFonts w:ascii="Times New Roman" w:cs="Times New Roman" w:eastAsia="Times New Roman" w:hAnsi="Times New Roman"/>
          <w:sz w:val="14"/>
          <w:szCs w:val="14"/>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36" w:lineRule="exact"/>
        <w:rPr>
          <w:sz w:val="20"/>
          <w:szCs w:val="20"/>
          <w:color w:val="auto"/>
        </w:rPr>
      </w:pPr>
    </w:p>
    <w:p>
      <w:pPr>
        <w:ind w:left="120" w:right="379" w:firstLine="351"/>
        <w:spacing w:after="0" w:line="294" w:lineRule="auto"/>
        <w:rPr>
          <w:sz w:val="20"/>
          <w:szCs w:val="20"/>
          <w:color w:val="auto"/>
        </w:rPr>
      </w:pPr>
      <w:r>
        <w:rPr>
          <w:rFonts w:ascii="Times New Roman" w:cs="Times New Roman" w:eastAsia="Times New Roman" w:hAnsi="Times New Roman"/>
          <w:sz w:val="14"/>
          <w:szCs w:val="14"/>
          <w:color w:val="auto"/>
        </w:rPr>
        <w:t>If a notice or communication is sent or published in the manner provided above, within the time prescribed, it is duly given, whether or not the Holder receives it.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the Company sends a notice or communication to Holders, it shall send a copy to the Trustee and each Agent at the same time.</w:t>
      </w:r>
    </w:p>
    <w:p>
      <w:pPr>
        <w:spacing w:after="0" w:line="184" w:lineRule="exact"/>
        <w:rPr>
          <w:sz w:val="20"/>
          <w:szCs w:val="20"/>
          <w:color w:val="auto"/>
        </w:rPr>
      </w:pPr>
    </w:p>
    <w:p>
      <w:pPr>
        <w:ind w:left="120" w:right="239" w:firstLine="351"/>
        <w:spacing w:after="0" w:line="263" w:lineRule="auto"/>
        <w:rPr>
          <w:sz w:val="20"/>
          <w:szCs w:val="20"/>
          <w:color w:val="auto"/>
        </w:rPr>
      </w:pPr>
      <w:r>
        <w:rPr>
          <w:rFonts w:ascii="Times New Roman" w:cs="Times New Roman" w:eastAsia="Times New Roman" w:hAnsi="Times New Roman"/>
          <w:sz w:val="14"/>
          <w:szCs w:val="14"/>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3" w:right="1440" w:bottom="1440" w:gutter="0" w:footer="0" w:header="0"/>
        </w:sectPr>
      </w:pPr>
    </w:p>
    <w:bookmarkStart w:id="92" w:name="page93"/>
    <w:bookmarkEnd w:id="92"/>
    <w:p>
      <w:pPr>
        <w:jc w:val="both"/>
        <w:ind w:left="120" w:right="499" w:firstLine="351"/>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Communication by Holders with Other Holders</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79" w:firstLine="351"/>
        <w:spacing w:after="0" w:line="275" w:lineRule="auto"/>
        <w:rPr>
          <w:sz w:val="20"/>
          <w:szCs w:val="20"/>
          <w:color w:val="auto"/>
        </w:rPr>
      </w:pPr>
      <w:r>
        <w:rPr>
          <w:rFonts w:ascii="Times New Roman" w:cs="Times New Roman" w:eastAsia="Times New Roman" w:hAnsi="Times New Roman"/>
          <w:sz w:val="14"/>
          <w:szCs w:val="14"/>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Certificate and Opinion as to Conditions Precedent</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 Trustee:</w:t>
      </w:r>
    </w:p>
    <w:p>
      <w:pPr>
        <w:spacing w:after="0" w:line="97" w:lineRule="exact"/>
        <w:rPr>
          <w:sz w:val="20"/>
          <w:szCs w:val="20"/>
          <w:color w:val="auto"/>
        </w:rPr>
      </w:pPr>
    </w:p>
    <w:p>
      <w:pPr>
        <w:ind w:left="120" w:right="459" w:firstLine="791"/>
        <w:spacing w:after="0" w:line="294" w:lineRule="auto"/>
        <w:rPr>
          <w:sz w:val="20"/>
          <w:szCs w:val="20"/>
          <w:color w:val="auto"/>
        </w:rPr>
      </w:pPr>
      <w:r>
        <w:rPr>
          <w:rFonts w:ascii="Times New Roman" w:cs="Times New Roman" w:eastAsia="Times New Roman" w:hAnsi="Times New Roman"/>
          <w:sz w:val="14"/>
          <w:szCs w:val="14"/>
          <w:color w:val="auto"/>
        </w:rPr>
        <w:t>10.4.1 an Officer’s Certificate stating that, in the opinion of the signers, all conditions precedent, if any, provided for in this Indenture relating to the proposed action have been complied with; and</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10.4.2 an Opinion of Counsel stating that, in the opinion of such counsel, all such conditions precedent have been complied with.</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10.5 </w:t>
      </w:r>
      <w:r>
        <w:rPr>
          <w:rFonts w:ascii="Times New Roman" w:cs="Times New Roman" w:eastAsia="Times New Roman" w:hAnsi="Times New Roman"/>
          <w:sz w:val="14"/>
          <w:szCs w:val="14"/>
          <w:u w:val="single" w:color="auto"/>
          <w:color w:val="auto"/>
        </w:rPr>
        <w:t>Statements Required in Certificate or Opinion</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ind w:left="120" w:right="139" w:firstLine="351"/>
        <w:spacing w:after="0" w:line="294" w:lineRule="auto"/>
        <w:rPr>
          <w:sz w:val="20"/>
          <w:szCs w:val="20"/>
          <w:color w:val="auto"/>
        </w:rPr>
      </w:pPr>
      <w:r>
        <w:rPr>
          <w:rFonts w:ascii="Times New Roman" w:cs="Times New Roman" w:eastAsia="Times New Roman" w:hAnsi="Times New Roman"/>
          <w:sz w:val="14"/>
          <w:szCs w:val="14"/>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10.5.1 a statement that the person making such certificate or opinion has read such covenant or condition;</w:t>
      </w:r>
    </w:p>
    <w:p>
      <w:pPr>
        <w:spacing w:after="0" w:line="97" w:lineRule="exact"/>
        <w:rPr>
          <w:sz w:val="20"/>
          <w:szCs w:val="20"/>
          <w:color w:val="auto"/>
        </w:rPr>
      </w:pPr>
    </w:p>
    <w:p>
      <w:pPr>
        <w:ind w:left="120" w:right="219" w:firstLine="791"/>
        <w:spacing w:after="0" w:line="294" w:lineRule="auto"/>
        <w:rPr>
          <w:sz w:val="20"/>
          <w:szCs w:val="20"/>
          <w:color w:val="auto"/>
        </w:rPr>
      </w:pPr>
      <w:r>
        <w:rPr>
          <w:rFonts w:ascii="Times New Roman" w:cs="Times New Roman" w:eastAsia="Times New Roman" w:hAnsi="Times New Roman"/>
          <w:sz w:val="14"/>
          <w:szCs w:val="14"/>
          <w:color w:val="auto"/>
        </w:rPr>
        <w:t>10.5.2 a brief statement as to the nature and scope of the examination or investigation upon which the statements or opinions contained in such certificate or opinion are based;</w:t>
      </w:r>
    </w:p>
    <w:p>
      <w:pPr>
        <w:spacing w:after="0" w:line="36" w:lineRule="exact"/>
        <w:rPr>
          <w:sz w:val="20"/>
          <w:szCs w:val="20"/>
          <w:color w:val="auto"/>
        </w:rPr>
      </w:pPr>
    </w:p>
    <w:p>
      <w:pPr>
        <w:ind w:left="120" w:right="339" w:firstLine="791"/>
        <w:spacing w:after="0" w:line="294" w:lineRule="auto"/>
        <w:rPr>
          <w:sz w:val="20"/>
          <w:szCs w:val="20"/>
          <w:color w:val="auto"/>
        </w:rPr>
      </w:pPr>
      <w:r>
        <w:rPr>
          <w:rFonts w:ascii="Times New Roman" w:cs="Times New Roman" w:eastAsia="Times New Roman" w:hAnsi="Times New Roman"/>
          <w:sz w:val="14"/>
          <w:szCs w:val="14"/>
          <w:color w:val="auto"/>
        </w:rPr>
        <w:t>10.5.3 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10.5.4 a statement as to whether or not, in the opinion of such person, such condition or covenant has been complied with.</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10.6 </w:t>
      </w:r>
      <w:r>
        <w:rPr>
          <w:rFonts w:ascii="Times New Roman" w:cs="Times New Roman" w:eastAsia="Times New Roman" w:hAnsi="Times New Roman"/>
          <w:sz w:val="14"/>
          <w:szCs w:val="14"/>
          <w:u w:val="single" w:color="auto"/>
          <w:color w:val="auto"/>
        </w:rPr>
        <w:t>Rules by Trustee and Agents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99" w:firstLine="351"/>
        <w:spacing w:after="0" w:line="294" w:lineRule="auto"/>
        <w:rPr>
          <w:sz w:val="20"/>
          <w:szCs w:val="20"/>
          <w:color w:val="auto"/>
        </w:rPr>
      </w:pPr>
      <w:r>
        <w:rPr>
          <w:rFonts w:ascii="Times New Roman" w:cs="Times New Roman" w:eastAsia="Times New Roman" w:hAnsi="Times New Roman"/>
          <w:sz w:val="14"/>
          <w:szCs w:val="14"/>
          <w:color w:val="auto"/>
        </w:rPr>
        <w:t>The Trustee may make reasonable rules for action by or a meeting of Holders of one or more Series. Any Agent may make reasonable rules and set reasonable requirements for its functions.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3"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Section 10.7 </w:t>
      </w:r>
      <w:r>
        <w:rPr>
          <w:rFonts w:ascii="Times New Roman" w:cs="Times New Roman" w:eastAsia="Times New Roman" w:hAnsi="Times New Roman"/>
          <w:sz w:val="14"/>
          <w:szCs w:val="14"/>
          <w:u w:val="single" w:color="auto"/>
          <w:color w:val="auto"/>
        </w:rPr>
        <w:t>Legal Holidays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19" w:firstLine="351"/>
        <w:spacing w:after="0" w:line="294" w:lineRule="auto"/>
        <w:rPr>
          <w:sz w:val="20"/>
          <w:szCs w:val="20"/>
          <w:color w:val="auto"/>
        </w:rPr>
      </w:pPr>
      <w:r>
        <w:rPr>
          <w:rFonts w:ascii="Times New Roman" w:cs="Times New Roman" w:eastAsia="Times New Roman" w:hAnsi="Times New Roman"/>
          <w:sz w:val="14"/>
          <w:szCs w:val="14"/>
          <w:color w:val="auto"/>
        </w:rPr>
        <w:t>If a payment date for any payment made under this Indenture is not a Business Day, payment may be made on the next succeeding Business Day, and no interest shall accrue for the intervening period.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10.8 </w:t>
      </w:r>
      <w:r>
        <w:rPr>
          <w:rFonts w:ascii="Times New Roman" w:cs="Times New Roman" w:eastAsia="Times New Roman" w:hAnsi="Times New Roman"/>
          <w:sz w:val="14"/>
          <w:szCs w:val="14"/>
          <w:u w:val="single" w:color="auto"/>
          <w:color w:val="auto"/>
        </w:rPr>
        <w:t>No Recourse Against Others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75" w:lineRule="auto"/>
        <w:rPr>
          <w:sz w:val="20"/>
          <w:szCs w:val="20"/>
          <w:color w:val="auto"/>
        </w:rPr>
      </w:pPr>
      <w:r>
        <w:rPr>
          <w:rFonts w:ascii="Times New Roman" w:cs="Times New Roman" w:eastAsia="Times New Roman" w:hAnsi="Times New Roman"/>
          <w:sz w:val="14"/>
          <w:szCs w:val="14"/>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10.9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79" w:firstLine="351"/>
        <w:spacing w:after="0" w:line="266"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42"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10.10 </w:t>
      </w:r>
      <w:r>
        <w:rPr>
          <w:rFonts w:ascii="Times New Roman" w:cs="Times New Roman" w:eastAsia="Times New Roman" w:hAnsi="Times New Roman"/>
          <w:sz w:val="14"/>
          <w:szCs w:val="14"/>
          <w:u w:val="single" w:color="auto"/>
          <w:color w:val="auto"/>
        </w:rPr>
        <w:t>Governing Law; Waiver of Jury Trial; Consent to Jurisdiction</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120" w:right="259" w:firstLine="351"/>
        <w:spacing w:after="0" w:line="297" w:lineRule="auto"/>
        <w:rPr>
          <w:sz w:val="20"/>
          <w:szCs w:val="20"/>
          <w:color w:val="auto"/>
        </w:rPr>
      </w:pPr>
      <w:r>
        <w:rPr>
          <w:rFonts w:ascii="Times New Roman" w:cs="Times New Roman" w:eastAsia="Times New Roman" w:hAnsi="Times New Roman"/>
          <w:sz w:val="14"/>
          <w:szCs w:val="14"/>
          <w:b w:val="1"/>
          <w:bCs w:val="1"/>
          <w:color w:val="auto"/>
        </w:rPr>
        <w:t>THIS INDENTURE AND THE SECURITIES, INCLUDING ANY CLAIM OR CONTROVERSY ARISING OUT OF OR RELATING TO THE INDENTURE OR THE SECURITIES, SHALL BE GOVERNED BY THE LAWS OF THE STATE OF NEW YORK.</w:t>
      </w:r>
    </w:p>
    <w:p>
      <w:pPr>
        <w:spacing w:after="0" w:line="118" w:lineRule="exact"/>
        <w:rPr>
          <w:sz w:val="20"/>
          <w:szCs w:val="20"/>
          <w:color w:val="auto"/>
        </w:rPr>
      </w:pPr>
    </w:p>
    <w:p>
      <w:pPr>
        <w:ind w:left="120" w:right="399" w:firstLine="351"/>
        <w:spacing w:after="0" w:line="270" w:lineRule="auto"/>
        <w:rPr>
          <w:sz w:val="20"/>
          <w:szCs w:val="20"/>
          <w:color w:val="auto"/>
        </w:rPr>
      </w:pPr>
      <w:r>
        <w:rPr>
          <w:rFonts w:ascii="Times New Roman" w:cs="Times New Roman" w:eastAsia="Times New Roman" w:hAnsi="Times New Roman"/>
          <w:sz w:val="14"/>
          <w:szCs w:val="14"/>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39" w:lineRule="exact"/>
        <w:rPr>
          <w:sz w:val="20"/>
          <w:szCs w:val="20"/>
          <w:color w:val="auto"/>
        </w:rPr>
      </w:pPr>
    </w:p>
    <w:p>
      <w:pPr>
        <w:ind w:left="120" w:right="199" w:firstLine="351"/>
        <w:spacing w:after="0" w:line="266" w:lineRule="auto"/>
        <w:rPr>
          <w:sz w:val="20"/>
          <w:szCs w:val="20"/>
          <w:color w:val="auto"/>
        </w:rPr>
      </w:pPr>
      <w:r>
        <w:rPr>
          <w:rFonts w:ascii="Times New Roman" w:cs="Times New Roman" w:eastAsia="Times New Roman" w:hAnsi="Times New Roman"/>
          <w:sz w:val="14"/>
          <w:szCs w:val="14"/>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“Specified Courts”),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3" w:right="1440" w:bottom="1440" w:gutter="0" w:footer="0" w:header="0"/>
        </w:sectPr>
      </w:pPr>
    </w:p>
    <w:bookmarkStart w:id="94" w:name="page95"/>
    <w:bookmarkEnd w:id="94"/>
    <w:p>
      <w:pPr>
        <w:ind w:left="120" w:right="17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10.11 </w:t>
      </w:r>
      <w:r>
        <w:rPr>
          <w:rFonts w:ascii="Times New Roman" w:cs="Times New Roman" w:eastAsia="Times New Roman" w:hAnsi="Times New Roman"/>
          <w:sz w:val="14"/>
          <w:szCs w:val="14"/>
          <w:u w:val="single" w:color="auto"/>
          <w:color w:val="auto"/>
        </w:rPr>
        <w:t>No Adverse Interpretation of Other Agreements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99" w:firstLine="351"/>
        <w:spacing w:after="0" w:line="294" w:lineRule="auto"/>
        <w:rPr>
          <w:sz w:val="20"/>
          <w:szCs w:val="20"/>
          <w:color w:val="auto"/>
        </w:rPr>
      </w:pPr>
      <w:r>
        <w:rPr>
          <w:rFonts w:ascii="Times New Roman" w:cs="Times New Roman" w:eastAsia="Times New Roman" w:hAnsi="Times New Roman"/>
          <w:sz w:val="14"/>
          <w:szCs w:val="14"/>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10.12 </w:t>
      </w: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79" w:firstLine="351"/>
        <w:spacing w:after="0" w:line="294" w:lineRule="auto"/>
        <w:rPr>
          <w:sz w:val="20"/>
          <w:szCs w:val="20"/>
          <w:color w:val="auto"/>
        </w:rPr>
      </w:pPr>
      <w:r>
        <w:rPr>
          <w:rFonts w:ascii="Times New Roman" w:cs="Times New Roman" w:eastAsia="Times New Roman" w:hAnsi="Times New Roman"/>
          <w:sz w:val="14"/>
          <w:szCs w:val="14"/>
          <w:color w:val="auto"/>
        </w:rPr>
        <w:t>All agreements of the Company in this Indenture and the Securities shall bind its successor. All agreements of the Trustee in this Indenture shall bind its successor.</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10.13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39" w:firstLine="351"/>
        <w:spacing w:after="0" w:line="294"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10.14 </w:t>
      </w:r>
      <w:r>
        <w:rPr>
          <w:rFonts w:ascii="Times New Roman" w:cs="Times New Roman" w:eastAsia="Times New Roman" w:hAnsi="Times New Roman"/>
          <w:sz w:val="14"/>
          <w:szCs w:val="14"/>
          <w:u w:val="single" w:color="auto"/>
          <w:color w:val="auto"/>
        </w:rPr>
        <w:t>Table of Contents, Headings, Etc.</w:t>
      </w:r>
    </w:p>
    <w:p>
      <w:pPr>
        <w:spacing w:after="0" w:line="184" w:lineRule="exact"/>
        <w:rPr>
          <w:sz w:val="20"/>
          <w:szCs w:val="20"/>
          <w:color w:val="auto"/>
        </w:rPr>
      </w:pPr>
    </w:p>
    <w:p>
      <w:pPr>
        <w:ind w:left="120" w:right="499" w:firstLine="351"/>
        <w:spacing w:after="0" w:line="294" w:lineRule="auto"/>
        <w:rPr>
          <w:sz w:val="20"/>
          <w:szCs w:val="20"/>
          <w:color w:val="auto"/>
        </w:rPr>
      </w:pPr>
      <w:r>
        <w:rPr>
          <w:rFonts w:ascii="Times New Roman" w:cs="Times New Roman" w:eastAsia="Times New Roman" w:hAnsi="Times New Roman"/>
          <w:sz w:val="14"/>
          <w:szCs w:val="14"/>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10.15 </w:t>
      </w:r>
      <w:r>
        <w:rPr>
          <w:rFonts w:ascii="Times New Roman" w:cs="Times New Roman" w:eastAsia="Times New Roman" w:hAnsi="Times New Roman"/>
          <w:sz w:val="14"/>
          <w:szCs w:val="14"/>
          <w:u w:val="single" w:color="auto"/>
          <w:color w:val="auto"/>
        </w:rPr>
        <w:t>Securities in a Foreign Currency</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19" w:firstLine="351"/>
        <w:spacing w:after="0" w:line="260" w:lineRule="auto"/>
        <w:rPr>
          <w:sz w:val="20"/>
          <w:szCs w:val="20"/>
          <w:color w:val="auto"/>
        </w:rPr>
      </w:pPr>
      <w:r>
        <w:rPr>
          <w:rFonts w:ascii="Times New Roman" w:cs="Times New Roman" w:eastAsia="Times New Roman" w:hAnsi="Times New Roman"/>
          <w:sz w:val="14"/>
          <w:szCs w:val="14"/>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3" w:right="1440" w:bottom="1440" w:gutter="0" w:footer="0" w:header="0"/>
        </w:sectPr>
      </w:pPr>
    </w:p>
    <w:bookmarkStart w:id="95" w:name="page96"/>
    <w:bookmarkEnd w:id="95"/>
    <w:p>
      <w:pPr>
        <w:ind w:left="120" w:right="179" w:firstLine="351"/>
        <w:spacing w:after="0" w:line="29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 decisions and determinations provided for in the preceding paragraph shall, in the absence of manifest error, to the extent permitted by law, be conclusive for all purposes and irrevocably binding upon the Trustee and all Holders.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10.16 </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10.17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19" w:firstLine="351"/>
        <w:spacing w:after="0" w:line="266"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10.18 </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19" w:firstLine="351"/>
        <w:spacing w:after="0" w:line="269"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3"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ARTICLE XI.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SINKING FUNDS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11.1 </w:t>
      </w:r>
      <w:r>
        <w:rPr>
          <w:rFonts w:ascii="Times New Roman" w:cs="Times New Roman" w:eastAsia="Times New Roman" w:hAnsi="Times New Roman"/>
          <w:sz w:val="14"/>
          <w:szCs w:val="14"/>
          <w:u w:val="single" w:color="auto"/>
          <w:color w:val="auto"/>
        </w:rPr>
        <w:t>Applicability of Article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239" w:firstLine="351"/>
        <w:spacing w:after="0" w:line="287" w:lineRule="auto"/>
        <w:rPr>
          <w:sz w:val="20"/>
          <w:szCs w:val="20"/>
          <w:color w:val="auto"/>
        </w:rPr>
      </w:pPr>
      <w:r>
        <w:rPr>
          <w:rFonts w:ascii="Times New Roman" w:cs="Times New Roman" w:eastAsia="Times New Roman" w:hAnsi="Times New Roman"/>
          <w:sz w:val="14"/>
          <w:szCs w:val="14"/>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304" w:lineRule="exact"/>
        <w:rPr>
          <w:sz w:val="20"/>
          <w:szCs w:val="20"/>
          <w:color w:val="auto"/>
        </w:rPr>
      </w:pPr>
    </w:p>
    <w:p>
      <w:pPr>
        <w:ind w:left="120" w:right="139" w:firstLine="351"/>
        <w:spacing w:after="0" w:line="266"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11.2 </w:t>
      </w:r>
      <w:r>
        <w:rPr>
          <w:rFonts w:ascii="Times New Roman" w:cs="Times New Roman" w:eastAsia="Times New Roman" w:hAnsi="Times New Roman"/>
          <w:sz w:val="14"/>
          <w:szCs w:val="14"/>
          <w:u w:val="single" w:color="auto"/>
          <w:color w:val="auto"/>
        </w:rPr>
        <w:t>Satisfaction of Sinking Fund Payments with Securities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11.3 </w:t>
      </w:r>
      <w:r>
        <w:rPr>
          <w:rFonts w:ascii="Times New Roman" w:cs="Times New Roman" w:eastAsia="Times New Roman" w:hAnsi="Times New Roman"/>
          <w:sz w:val="14"/>
          <w:szCs w:val="14"/>
          <w:u w:val="single" w:color="auto"/>
          <w:color w:val="auto"/>
        </w:rPr>
        <w:t>Redemption of Securities for Sinking Fund</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79" w:firstLine="351"/>
        <w:spacing w:after="0" w:line="264" w:lineRule="auto"/>
        <w:rPr>
          <w:sz w:val="20"/>
          <w:szCs w:val="20"/>
          <w:color w:val="auto"/>
        </w:rPr>
      </w:pPr>
      <w:r>
        <w:rPr>
          <w:rFonts w:ascii="Times New Roman" w:cs="Times New Roman" w:eastAsia="Times New Roman" w:hAnsi="Times New Roman"/>
          <w:sz w:val="14"/>
          <w:szCs w:val="14"/>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3" w:right="1440" w:bottom="1440" w:gutter="0" w:footer="0" w:header="0"/>
        </w:sectPr>
      </w:pPr>
    </w:p>
    <w:bookmarkStart w:id="97" w:name="page98"/>
    <w:bookmarkEnd w:id="97"/>
    <w:p>
      <w:pPr>
        <w:ind w:left="120" w:right="1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3"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IN WITNESS WHEREOF, the parties hereto have caused this Indenture to be duly executed as of the day and year first above written.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LSB INDUSTRIES, INC.</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16510</wp:posOffset>
            </wp:positionV>
            <wp:extent cx="19145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1914525" cy="6985"/>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16510</wp:posOffset>
            </wp:positionV>
            <wp:extent cx="19145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1914525" cy="6985"/>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16510</wp:posOffset>
            </wp:positionV>
            <wp:extent cx="19145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1914525" cy="6985"/>
                    </a:xfrm>
                    <a:prstGeom prst="rect">
                      <a:avLst/>
                    </a:prstGeom>
                    <a:noFill/>
                  </pic:spPr>
                </pic:pic>
              </a:graphicData>
            </a:graphic>
          </wp:anchor>
        </w:drawing>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as Trustee</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16510</wp:posOffset>
            </wp:positionV>
            <wp:extent cx="19145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1914525" cy="6985"/>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16510</wp:posOffset>
            </wp:positionV>
            <wp:extent cx="19145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1914525" cy="6985"/>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16510</wp:posOffset>
            </wp:positionV>
            <wp:extent cx="19145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1914525" cy="6985"/>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3" w:right="1440" w:bottom="1440" w:gutter="0" w:footer="0" w:header="0"/>
        </w:sectPr>
      </w:pPr>
    </w:p>
    <w:bookmarkStart w:id="99" w:name="page100"/>
    <w:bookmarkEnd w:id="99"/>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140970</wp:posOffset>
            </wp:positionV>
            <wp:extent cx="1641475" cy="3352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1641475" cy="33528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140970</wp:posOffset>
            </wp:positionV>
            <wp:extent cx="362585" cy="3352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362585"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May 14, 2026</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LSB Industries, Inc.</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3503 NW 63rd Street, Suite 500</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Oklahoma City, Oklahoma 73116</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0"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We have acted as counsel for LSB Industries,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on the date hereof,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by the Company relating to (a) the issuance and sale by the Company of (i) unsecured debt securities of the Company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(ii) shares of preferred stock, par value $100.00 per share, of the Company (the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and (iii) shares of common stock, par value $0.10 per share, of the Company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and, collectively with the Debt Securities and the Preferred Stock,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and individually a “</w:t>
      </w:r>
      <w:r>
        <w:rPr>
          <w:rFonts w:ascii="Times New Roman" w:cs="Times New Roman" w:eastAsia="Times New Roman" w:hAnsi="Times New Roman"/>
          <w:sz w:val="14"/>
          <w:szCs w:val="14"/>
          <w:b w:val="1"/>
          <w:bCs w:val="1"/>
          <w:i w:val="1"/>
          <w:iCs w:val="1"/>
          <w:color w:val="auto"/>
        </w:rPr>
        <w:t>Security</w:t>
      </w:r>
      <w:r>
        <w:rPr>
          <w:rFonts w:ascii="Times New Roman" w:cs="Times New Roman" w:eastAsia="Times New Roman" w:hAnsi="Times New Roman"/>
          <w:sz w:val="14"/>
          <w:szCs w:val="14"/>
          <w:color w:val="auto"/>
        </w:rPr>
        <w:t>”) that may be issued and sold from time to time pursuant to Rule 415 under the Act for an aggregate initial offering price to be determined at a later date by the Company Board (as defined below) and (b) the resale from time to time of Common Stock by certain securityholders of the Company (the “</w:t>
      </w:r>
      <w:r>
        <w:rPr>
          <w:rFonts w:ascii="Times New Roman" w:cs="Times New Roman" w:eastAsia="Times New Roman" w:hAnsi="Times New Roman"/>
          <w:sz w:val="14"/>
          <w:szCs w:val="14"/>
          <w:b w:val="1"/>
          <w:bCs w:val="1"/>
          <w:i w:val="1"/>
          <w:iCs w:val="1"/>
          <w:color w:val="auto"/>
        </w:rPr>
        <w:t>Resale Securities</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For purposes of the opinions we express below, we have examined originals, or copies certified or otherwise identified, of (i) the Company’s Restated Certificate of Incorporation and the Company’s Third Amended and Restated Bylaws, each as amended to date (the “</w:t>
      </w:r>
      <w:r>
        <w:rPr>
          <w:rFonts w:ascii="Times New Roman" w:cs="Times New Roman" w:eastAsia="Times New Roman" w:hAnsi="Times New Roman"/>
          <w:sz w:val="14"/>
          <w:szCs w:val="14"/>
          <w:b w:val="1"/>
          <w:bCs w:val="1"/>
          <w:i w:val="1"/>
          <w:iCs w:val="1"/>
          <w:color w:val="auto"/>
        </w:rPr>
        <w:t>Company Charter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Documents</w:t>
      </w:r>
      <w:r>
        <w:rPr>
          <w:rFonts w:ascii="Times New Roman" w:cs="Times New Roman" w:eastAsia="Times New Roman" w:hAnsi="Times New Roman"/>
          <w:sz w:val="14"/>
          <w:szCs w:val="14"/>
          <w:color w:val="auto"/>
        </w:rPr>
        <w:t>”); (ii) the Form of Indenture filed as Exhibit 4.6 to the Registration Statement to be executed by the Company, as issuer, and the trustee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thereunder (referred to herein, together with any supplements to such Indenture entered into in the future, collectively, as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pursuant to which the Debt Securities may be issued; (iii) the Registration Statement and all exhibits thereto; (iv) the specimen Common Stock certificate of the Company and (v) such other corporate records of the Company as we have deemed necessary or appropriate for purposes of the opinions hereafter expressed.</w:t>
      </w:r>
    </w:p>
    <w:p>
      <w:pPr>
        <w:spacing w:after="0" w:line="144" w:lineRule="exact"/>
        <w:rPr>
          <w:sz w:val="20"/>
          <w:szCs w:val="20"/>
          <w:color w:val="auto"/>
        </w:rPr>
      </w:pPr>
    </w:p>
    <w:p>
      <w:pPr>
        <w:ind w:left="120" w:right="139" w:firstLine="351"/>
        <w:spacing w:after="0" w:line="275" w:lineRule="auto"/>
        <w:rPr>
          <w:sz w:val="20"/>
          <w:szCs w:val="20"/>
          <w:color w:val="auto"/>
        </w:rPr>
      </w:pPr>
      <w:r>
        <w:rPr>
          <w:rFonts w:ascii="Times New Roman" w:cs="Times New Roman" w:eastAsia="Times New Roman" w:hAnsi="Times New Roman"/>
          <w:sz w:val="14"/>
          <w:szCs w:val="14"/>
          <w:color w:val="auto"/>
        </w:rPr>
        <w:t>As to questions of fact material to the opinions expressed below, we have, without independent verification of their accuracy, relied to the extent we deem reasonably appropriate upon the representations and warranties of the Company contained in such documents, records, certificates, instruments or representations furnished or made available to us by the Company.</w:t>
      </w:r>
    </w:p>
    <w:p>
      <w:pPr>
        <w:spacing w:after="0" w:line="136" w:lineRule="exact"/>
        <w:rPr>
          <w:sz w:val="20"/>
          <w:szCs w:val="20"/>
          <w:color w:val="auto"/>
        </w:rPr>
      </w:pPr>
    </w:p>
    <w:p>
      <w:pPr>
        <w:ind w:left="120" w:right="199" w:firstLine="351"/>
        <w:spacing w:after="0" w:line="269" w:lineRule="auto"/>
        <w:rPr>
          <w:sz w:val="20"/>
          <w:szCs w:val="20"/>
          <w:color w:val="auto"/>
        </w:rPr>
      </w:pPr>
      <w:r>
        <w:rPr>
          <w:rFonts w:ascii="Times New Roman" w:cs="Times New Roman" w:eastAsia="Times New Roman" w:hAnsi="Times New Roman"/>
          <w:sz w:val="14"/>
          <w:szCs w:val="14"/>
          <w:color w:val="auto"/>
        </w:rPr>
        <w:t>In making the foregoing examination,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have also assumed that (i) the Company will continue to be incorporated and in existence and good standing in its jurisdiction of organization;</w:t>
      </w:r>
    </w:p>
    <w:p>
      <w:pPr>
        <w:spacing w:after="0" w:line="25" w:lineRule="exact"/>
        <w:rPr>
          <w:sz w:val="20"/>
          <w:szCs w:val="20"/>
          <w:color w:val="auto"/>
        </w:rPr>
      </w:pPr>
    </w:p>
    <w:p>
      <w:pPr>
        <w:ind w:left="120" w:right="139" w:hanging="10"/>
        <w:spacing w:after="0" w:line="258" w:lineRule="auto"/>
        <w:tabs>
          <w:tab w:leader="none" w:pos="33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supplement will have been prepared and filed with the Commission properly describing the Securities and the Resale Securities offered thereby and will have been delivered to the purchaser(s) of the Securities and the Resale Securities as required in accordance with applicable law; (v) all Securities and the Resale Securities will be offered, issued and sold in compliance with applicable federal and state securities laws and in the manner stated in the Registration Statement and the appropriate prospectus supplement; (vi) a definitive purchase, underwriting or similar agreement with respect to any Securities offered will have been duly authorized and validly executed and delivered by the Company and the other parties thereto and will be an enforceable obligation of the parties thereto; (vii) any applicable indenture and indenture supplement entered into in connection with the issuance of the Debt Securities will comply with applicable law and be enforceable in all respects in accordance with its terms; (viii) any securities issuable upon conversion, exchange, redemption or exercise of any Securities being offered will be duly and validly authorized, created and, if appropriate, reserved for issuance upon such conversion, exchange, redemption or exercise; and (ix) with respect to shares of Common Stock or Preferred Stock, there will be sufficient shares of Common Stock or Preferred Stock authorized under the Company Charter Documents and not otherwise reserved for issuance.</w:t>
      </w:r>
    </w:p>
    <w:p>
      <w:pPr>
        <w:sectPr>
          <w:pgSz w:w="11900" w:h="16838" w:orient="portrait"/>
          <w:cols w:equalWidth="0" w:num="1">
            <w:col w:w="9019"/>
          </w:cols>
          <w:pgMar w:left="1440" w:top="123" w:right="1440" w:bottom="1440" w:gutter="0" w:footer="0" w:header="0"/>
        </w:sectPr>
      </w:pP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Haynes and Boone, LLP</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2801 N. Harwood Street | Suite 2300 | Dallas, TX 75201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5" w:lineRule="exact"/>
        <w:rPr>
          <w:sz w:val="20"/>
          <w:szCs w:val="20"/>
          <w:color w:val="auto"/>
        </w:rPr>
      </w:pPr>
    </w:p>
    <w:p>
      <w:pPr>
        <w:sectPr>
          <w:pgSz w:w="11900" w:h="16838" w:orient="portrait"/>
          <w:cols w:equalWidth="0" w:num="4">
            <w:col w:w="3620" w:space="720"/>
            <w:col w:w="3240" w:space="700"/>
            <w:col w:w="40" w:space="100"/>
            <w:col w:w="599"/>
          </w:cols>
          <w:pgMar w:left="1440" w:top="123" w:right="1440"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4"/>
          <w:szCs w:val="14"/>
          <w:color w:val="auto"/>
        </w:rPr>
        <w:t>T: 214.651.5000 | haynesboone.com</w:t>
      </w:r>
    </w:p>
    <w:p>
      <w:pPr>
        <w:sectPr>
          <w:pgSz w:w="11900" w:h="16838" w:orient="portrait"/>
          <w:cols w:equalWidth="0" w:num="1">
            <w:col w:w="9019"/>
          </w:cols>
          <w:pgMar w:left="1440" w:top="123"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98995" cy="33020"/>
                    </a:xfrm>
                    <a:prstGeom prst="rect">
                      <a:avLst/>
                    </a:prstGeom>
                    <a:noFill/>
                  </pic:spPr>
                </pic:pic>
              </a:graphicData>
            </a:graphic>
          </wp:anchor>
        </w:drawing>
        <w:drawing>
          <wp:anchor simplePos="0" relativeHeight="251657728" behindDoc="1" locked="0" layoutInCell="0" allowOverlap="1">
            <wp:simplePos x="0" y="0"/>
            <wp:positionH relativeFrom="page">
              <wp:posOffset>987425</wp:posOffset>
            </wp:positionH>
            <wp:positionV relativeFrom="page">
              <wp:posOffset>163830</wp:posOffset>
            </wp:positionV>
            <wp:extent cx="1641475" cy="3352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641475" cy="335280"/>
                    </a:xfrm>
                    <a:prstGeom prst="rect">
                      <a:avLst/>
                    </a:prstGeom>
                    <a:noFill/>
                  </pic:spPr>
                </pic:pic>
              </a:graphicData>
            </a:graphic>
          </wp:anchor>
        </w:drawing>
        <w:drawing>
          <wp:anchor simplePos="0" relativeHeight="251657728" behindDoc="1" locked="0" layoutInCell="0" allowOverlap="1">
            <wp:simplePos x="0" y="0"/>
            <wp:positionH relativeFrom="page">
              <wp:posOffset>6205855</wp:posOffset>
            </wp:positionH>
            <wp:positionV relativeFrom="page">
              <wp:posOffset>163830</wp:posOffset>
            </wp:positionV>
            <wp:extent cx="362585" cy="3352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362585" cy="335280"/>
                    </a:xfrm>
                    <a:prstGeom prst="rect">
                      <a:avLst/>
                    </a:prstGeom>
                    <a:noFill/>
                  </pic:spPr>
                </pic:pic>
              </a:graphicData>
            </a:graphic>
          </wp:anchor>
        </w:drawing>
        <w:t>Based on the foregoing, and subject to the limitations and qualifications set forth herein, we are of the opinion that:</w:t>
      </w:r>
    </w:p>
    <w:p>
      <w:pPr>
        <w:spacing w:after="0" w:line="184" w:lineRule="exact"/>
        <w:rPr>
          <w:sz w:val="20"/>
          <w:szCs w:val="20"/>
          <w:color w:val="auto"/>
        </w:rPr>
      </w:pPr>
    </w:p>
    <w:p>
      <w:pPr>
        <w:ind w:left="460" w:right="139" w:firstLine="339"/>
        <w:spacing w:after="0" w:line="260" w:lineRule="auto"/>
        <w:tabs>
          <w:tab w:leader="none" w:pos="941"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shares of Common Stock, when (i) the Board of Directors of the Company or, to the extent permitted by the General Corporation Law of the State of Delaware and the Company Charter Documents, a duly constituted and acting committee thereof (such Board of Directors or committee being hereinafter referred to as the “</w:t>
      </w:r>
      <w:r>
        <w:rPr>
          <w:rFonts w:ascii="Times New Roman" w:cs="Times New Roman" w:eastAsia="Times New Roman" w:hAnsi="Times New Roman"/>
          <w:sz w:val="14"/>
          <w:szCs w:val="14"/>
          <w:b w:val="1"/>
          <w:bCs w:val="1"/>
          <w:i w:val="1"/>
          <w:iCs w:val="1"/>
          <w:color w:val="auto"/>
        </w:rPr>
        <w:t>Company Board</w:t>
      </w:r>
      <w:r>
        <w:rPr>
          <w:rFonts w:ascii="Times New Roman" w:cs="Times New Roman" w:eastAsia="Times New Roman" w:hAnsi="Times New Roman"/>
          <w:sz w:val="14"/>
          <w:szCs w:val="14"/>
          <w:color w:val="auto"/>
        </w:rPr>
        <w:t>”) has taken all necessary corporate action to approve the issuance thereof and the terms of the offering of shares of Common Stock and related matters, and (ii) certificates representing the shares of Common Stock have been duly executed, countersigned, registered and delivered, or if uncertificated, valid book-entry notations have been made in the share register of the Company, in each case in accordance with the provisions of the Company Charter Documents, either (a) in accordance with the applicable definitive purchase, underwriting or similar agreement approved by the Company Board and upon payment of the consideration therefor (which shall not be less than the par value of the Common Stock) provided for therein, all in accordance with the Registration Statement and any applicable prospectus supplement, or (b) upon conversion, exchange, redemption or exercise of any other Security, in accordance with the terms of such Security or the instrument governing such Security providing for such conversion, exchange, redemption or exercise as approved by the Company Board, and for the consideration approved by the Company Board (which shall not be less than the par value of the Common Stock), all in accordance with the Registration Statement and any applicable prospectus supplement, the shares of Common Stock will be validly issued, fully paid and non-assessable.</w:t>
      </w:r>
    </w:p>
    <w:p>
      <w:pPr>
        <w:spacing w:after="0" w:line="233" w:lineRule="exact"/>
        <w:rPr>
          <w:rFonts w:ascii="Times New Roman" w:cs="Times New Roman" w:eastAsia="Times New Roman" w:hAnsi="Times New Roman"/>
          <w:sz w:val="14"/>
          <w:szCs w:val="14"/>
          <w:color w:val="auto"/>
        </w:rPr>
      </w:pPr>
    </w:p>
    <w:p>
      <w:pPr>
        <w:ind w:left="460" w:right="119" w:firstLine="339"/>
        <w:spacing w:after="0" w:line="260" w:lineRule="auto"/>
        <w:tabs>
          <w:tab w:leader="none" w:pos="941"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shares of Preferred Stock, when (i) the Company Board has taken all necessary corporate action to approve and establish the terms of the shares of Preferred Stock, to approve the issuance thereof and the terms of the offering thereof and related matters, including the adoption of a Certificate of Designations relating to such Preferred Stock (a “</w:t>
      </w:r>
      <w:r>
        <w:rPr>
          <w:rFonts w:ascii="Times New Roman" w:cs="Times New Roman" w:eastAsia="Times New Roman" w:hAnsi="Times New Roman"/>
          <w:sz w:val="14"/>
          <w:szCs w:val="14"/>
          <w:b w:val="1"/>
          <w:bCs w:val="1"/>
          <w:i w:val="1"/>
          <w:iCs w:val="1"/>
          <w:color w:val="auto"/>
        </w:rPr>
        <w:t>Certificate of Designations</w:t>
      </w:r>
      <w:r>
        <w:rPr>
          <w:rFonts w:ascii="Times New Roman" w:cs="Times New Roman" w:eastAsia="Times New Roman" w:hAnsi="Times New Roman"/>
          <w:sz w:val="14"/>
          <w:szCs w:val="14"/>
          <w:color w:val="auto"/>
        </w:rPr>
        <w:t>”), and such Certificate of Designations has been filed with the Secretary of State of the State of Delaware, and (ii) certificates representing the shares of Preferred Stock have been duly executed, countersigned, registered and delivered, or if uncertificated, valid book-entry notations have been made in the share register of the Company, in each case in accordance with the provisions of the Company Charter Documents, either (a) in accordance with the applicable definitive purchase, underwriting or similar agreement approved by the Company Board and upon payment of the consideration therefor (which shall not be less than the par value of the Preferred Stock) provided for therein, all in accordance with the Registration Statement and any applicable prospectus supplement, or (b) upon conversion, exchange, redemption or exercise of any other Security, in accordance with the terms of such Security or the instrument governing such Security providing for such conversion, exchange, redemption or exercise as approved by the Company Board, and for the consideration approved by the Company Board (which shall not be less than the par value of the Preferred Stock), all in accordance with the Registration Statement and any applicable prospectus supplement, the shares of Preferred Stock will be validly issued, fully paid and non-assessable.</w:t>
      </w:r>
    </w:p>
    <w:p>
      <w:pPr>
        <w:spacing w:after="0" w:line="233" w:lineRule="exact"/>
        <w:rPr>
          <w:rFonts w:ascii="Times New Roman" w:cs="Times New Roman" w:eastAsia="Times New Roman" w:hAnsi="Times New Roman"/>
          <w:sz w:val="14"/>
          <w:szCs w:val="14"/>
          <w:color w:val="auto"/>
        </w:rPr>
      </w:pPr>
    </w:p>
    <w:p>
      <w:pPr>
        <w:ind w:left="460" w:right="159" w:firstLine="339"/>
        <w:spacing w:after="0" w:line="267" w:lineRule="auto"/>
        <w:tabs>
          <w:tab w:leader="none" w:pos="941"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Debt Securities to be issued under the Indenture, when (i) the Indenture has been duly authorized and validly executed and delivered by the Company and the trustee thereunder, (ii) the trustee under the Indenture is qualified to act as trustee under the Indenture,</w:t>
      </w:r>
    </w:p>
    <w:p>
      <w:pPr>
        <w:ind w:left="460" w:right="219" w:firstLine="1"/>
        <w:spacing w:after="0" w:line="258" w:lineRule="auto"/>
        <w:tabs>
          <w:tab w:leader="none" w:pos="711"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Indenture has been duly qualified under the Trust Indenture Act of 1939, as amended (the “</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(iv) the Company Board has taken all necessary corporate action to approve and establish the terms of such Debt Securities, to approve the issuance thereof and the terms of the offering thereof and related matters and such Debt Securities do not include any provision that is unenforceable, and (v) such Debt Securities have been duly established, executed, authenticated, issued and delivered in accordance with both the provisions of the Indenture and either (a) the provisions of the applicable definitive purchase, underwriting or similar agreement approved by the Company Board and upon payment of the consideration therefor provided for therein or (b) upon conversion, exchange, redemption or exercise of any other Security, in accordance with the terms of such Security or the instrument governing such Security providing for such conversion, exchange, redemption or exercise as approved by the Company Board and for the consideration approved by the Company Board, all in accordance with the Registration Statement and any applicable prospectus supplement, such Debt Securities will constitute legal, valid and binding obligations of the Company.</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889" w:right="1440" w:bottom="1440" w:gutter="0" w:footer="0" w:header="0"/>
        </w:sectPr>
      </w:pPr>
    </w:p>
    <w:bookmarkStart w:id="101" w:name="page102"/>
    <w:bookmarkEnd w:id="101"/>
    <w:p>
      <w:pPr>
        <w:ind w:left="460" w:right="459" w:firstLine="339"/>
        <w:spacing w:after="0" w:line="294" w:lineRule="auto"/>
        <w:tabs>
          <w:tab w:leader="none" w:pos="94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98995" cy="33020"/>
                    </a:xfrm>
                    <a:prstGeom prst="rect">
                      <a:avLst/>
                    </a:prstGeom>
                    <a:noFill/>
                  </pic:spPr>
                </pic:pic>
              </a:graphicData>
            </a:graphic>
          </wp:anchor>
        </w:drawing>
        <w:drawing>
          <wp:anchor simplePos="0" relativeHeight="251657728" behindDoc="1" locked="0" layoutInCell="0" allowOverlap="1">
            <wp:simplePos x="0" y="0"/>
            <wp:positionH relativeFrom="page">
              <wp:posOffset>987425</wp:posOffset>
            </wp:positionH>
            <wp:positionV relativeFrom="page">
              <wp:posOffset>163830</wp:posOffset>
            </wp:positionV>
            <wp:extent cx="1641475" cy="3352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641475" cy="335280"/>
                    </a:xfrm>
                    <a:prstGeom prst="rect">
                      <a:avLst/>
                    </a:prstGeom>
                    <a:noFill/>
                  </pic:spPr>
                </pic:pic>
              </a:graphicData>
            </a:graphic>
          </wp:anchor>
        </w:drawing>
        <w:drawing>
          <wp:anchor simplePos="0" relativeHeight="251657728" behindDoc="1" locked="0" layoutInCell="0" allowOverlap="1">
            <wp:simplePos x="0" y="0"/>
            <wp:positionH relativeFrom="page">
              <wp:posOffset>6205855</wp:posOffset>
            </wp:positionH>
            <wp:positionV relativeFrom="page">
              <wp:posOffset>163830</wp:posOffset>
            </wp:positionV>
            <wp:extent cx="362585" cy="3352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362585" cy="335280"/>
                    </a:xfrm>
                    <a:prstGeom prst="rect">
                      <a:avLst/>
                    </a:prstGeom>
                    <a:noFill/>
                  </pic:spPr>
                </pic:pic>
              </a:graphicData>
            </a:graphic>
          </wp:anchor>
        </w:drawing>
        <w:t>When an issuance of Resale Securities constituting Common Stock has been duly authorized by all necessary action of the Company Board, such Resale Securities will be validly issued, fully paid and non-assessable.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opinions set forth above are subject to the following qualifications, limitations and exceptions:</w:t>
      </w:r>
    </w:p>
    <w:p>
      <w:pPr>
        <w:spacing w:after="0" w:line="97" w:lineRule="exact"/>
        <w:rPr>
          <w:sz w:val="20"/>
          <w:szCs w:val="20"/>
          <w:color w:val="auto"/>
        </w:rPr>
      </w:pPr>
    </w:p>
    <w:p>
      <w:pPr>
        <w:ind w:left="120" w:right="239" w:firstLine="341"/>
        <w:spacing w:after="0" w:line="266" w:lineRule="auto"/>
        <w:tabs>
          <w:tab w:leader="none" w:pos="66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opinions are subject to (i) the effect of any applicable bankruptcy, insolvency, reorganization, moratorium, rearrangement, liquidation, conservatorship or other similar laws now or hereafter in effect relating to or affecting the rights of creditors generally, (ii) provisions of applicable law pertaining to the voidability of preferential or fraudulent transfers and conveyances and (iii) the fact that the remedy of specific performance and injunctive and other forms of equitable relief may be subject to equitable defenses and to the discretion of the court before which any proceeding therefor may be brought.</w:t>
      </w:r>
    </w:p>
    <w:p>
      <w:pPr>
        <w:spacing w:after="0" w:line="55" w:lineRule="exact"/>
        <w:rPr>
          <w:rFonts w:ascii="Times New Roman" w:cs="Times New Roman" w:eastAsia="Times New Roman" w:hAnsi="Times New Roman"/>
          <w:sz w:val="14"/>
          <w:szCs w:val="14"/>
          <w:color w:val="auto"/>
        </w:rPr>
      </w:pPr>
    </w:p>
    <w:p>
      <w:pPr>
        <w:ind w:left="120" w:right="199" w:firstLine="341"/>
        <w:spacing w:after="0" w:line="266" w:lineRule="auto"/>
        <w:tabs>
          <w:tab w:leader="none" w:pos="67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opinions are subject to the effect of (i) general principles of equity, including (without limitation) concepts of materiality, reasonableness, good faith and fair dealing, general matters of public policy and other similar doctrines generally affecting the enforceability of agreements (regardless of whether considered in a proceeding in equity or at law), (ii) obligations of good faith and fair dealing under New York law and (iii) other commonly-recognized statutory and judicial constraints on enforceability, including statutes of limitation, limitations on rights to indemnification that contravene law or public policy and the effectiveness of waivers of rights or benefits that cannot be effectively waived under applicable law.</w:t>
      </w:r>
    </w:p>
    <w:p>
      <w:pPr>
        <w:spacing w:after="0" w:line="55" w:lineRule="exact"/>
        <w:rPr>
          <w:rFonts w:ascii="Times New Roman" w:cs="Times New Roman" w:eastAsia="Times New Roman" w:hAnsi="Times New Roman"/>
          <w:sz w:val="14"/>
          <w:szCs w:val="14"/>
          <w:color w:val="auto"/>
        </w:rPr>
      </w:pPr>
    </w:p>
    <w:p>
      <w:pPr>
        <w:ind w:left="120" w:right="299" w:firstLine="341"/>
        <w:spacing w:after="0" w:line="275" w:lineRule="auto"/>
        <w:tabs>
          <w:tab w:leader="none" w:pos="66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rendering the opinions, we have assumed that, at the time of the sale of the Securities, (i) the resolutions of the Company Board or similar governing body, as reflected in the minutes and proceedings of the Company, will not have been modified or rescinded and (ii) there will not have occurred any change in the laws affecting the authorization, execution, delivery, issuance, sale, ranking, validity or enforceability of the Securities.</w:t>
      </w:r>
    </w:p>
    <w:p>
      <w:pPr>
        <w:spacing w:after="0" w:line="136" w:lineRule="exact"/>
        <w:rPr>
          <w:sz w:val="20"/>
          <w:szCs w:val="20"/>
          <w:color w:val="auto"/>
        </w:rPr>
      </w:pPr>
    </w:p>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t>The opinions expressed herein are limited to the federal laws of the United States of America, and, to the extent relevant to the opinions expressed herein, (i) the Delaware General Corporation Law and (ii) the laws of the State of New York, in each case as in effect on the date hereof (all of the foregoing being referred to as the “</w:t>
      </w:r>
      <w:r>
        <w:rPr>
          <w:rFonts w:ascii="Times New Roman" w:cs="Times New Roman" w:eastAsia="Times New Roman" w:hAnsi="Times New Roman"/>
          <w:sz w:val="14"/>
          <w:szCs w:val="14"/>
          <w:b w:val="1"/>
          <w:bCs w:val="1"/>
          <w:i w:val="1"/>
          <w:iCs w:val="1"/>
          <w:color w:val="auto"/>
        </w:rPr>
        <w:t>Opined on Law</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120" w:right="199" w:firstLine="351"/>
        <w:spacing w:after="0" w:line="275" w:lineRule="auto"/>
        <w:rPr>
          <w:sz w:val="20"/>
          <w:szCs w:val="20"/>
          <w:color w:val="auto"/>
        </w:rPr>
      </w:pPr>
      <w:r>
        <w:rPr>
          <w:rFonts w:ascii="Times New Roman" w:cs="Times New Roman" w:eastAsia="Times New Roman" w:hAnsi="Times New Roman"/>
          <w:sz w:val="14"/>
          <w:szCs w:val="14"/>
          <w:color w:val="auto"/>
        </w:rPr>
        <w:t>We do not express any opinion with respect to any other laws, or the laws of any other jurisdiction (including, without limitation, any laws of any other jurisdiction which might be referenced by the choice-of-law rules of the Opined on Law), other than the Opined on Law or as to the effect of any such other laws on the opinions herein stated.</w:t>
      </w:r>
    </w:p>
    <w:p>
      <w:pPr>
        <w:spacing w:after="0" w:line="136" w:lineRule="exact"/>
        <w:rPr>
          <w:sz w:val="20"/>
          <w:szCs w:val="20"/>
          <w:color w:val="auto"/>
        </w:rPr>
      </w:pPr>
    </w:p>
    <w:p>
      <w:pPr>
        <w:jc w:val="both"/>
        <w:ind w:left="120" w:right="139" w:firstLine="351"/>
        <w:spacing w:after="0" w:line="275" w:lineRule="auto"/>
        <w:rPr>
          <w:sz w:val="20"/>
          <w:szCs w:val="20"/>
          <w:color w:val="auto"/>
        </w:rPr>
      </w:pPr>
      <w:r>
        <w:rPr>
          <w:rFonts w:ascii="Times New Roman" w:cs="Times New Roman" w:eastAsia="Times New Roman" w:hAnsi="Times New Roman"/>
          <w:sz w:val="14"/>
          <w:szCs w:val="14"/>
          <w:color w:val="auto"/>
        </w:rPr>
        <w:t>We hereby consent to the filing of this opinion as Exhibit 5.1 to the Registration Statement and to the reference to our firm contained therein under the heading “Legal Matters.” In giving this consent, we do not hereby admit we are in the category of persons whose consent is required under Section 7 of the Act or the rules and regulations of the Commission thereunder.</w:t>
      </w:r>
    </w:p>
    <w:p>
      <w:pPr>
        <w:spacing w:after="0" w:line="1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Haynes and Boone, LLP</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889" w:right="1440" w:bottom="1440" w:gutter="0" w:footer="0" w:header="0"/>
        </w:sectPr>
      </w:pPr>
    </w:p>
    <w:bookmarkStart w:id="102" w:name="page103"/>
    <w:bookmarkEnd w:id="102"/>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4" w:lineRule="exact"/>
        <w:rPr>
          <w:sz w:val="20"/>
          <w:szCs w:val="20"/>
          <w:color w:val="auto"/>
        </w:rPr>
      </w:pPr>
    </w:p>
    <w:p>
      <w:pPr>
        <w:ind w:left="120" w:right="219"/>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LSB Industries, Inc. for the registration of Common Stock, Preferred Stock, and Debt Securities and to the incorporation by reference therein of our reports</w:t>
      </w:r>
    </w:p>
    <w:p>
      <w:pPr>
        <w:ind w:left="120" w:right="279"/>
        <w:spacing w:after="0" w:line="265" w:lineRule="auto"/>
        <w:rPr>
          <w:sz w:val="20"/>
          <w:szCs w:val="20"/>
          <w:color w:val="auto"/>
        </w:rPr>
      </w:pPr>
      <w:r>
        <w:rPr>
          <w:rFonts w:ascii="Times New Roman" w:cs="Times New Roman" w:eastAsia="Times New Roman" w:hAnsi="Times New Roman"/>
          <w:sz w:val="14"/>
          <w:szCs w:val="14"/>
          <w:color w:val="auto"/>
        </w:rPr>
        <w:t>dated February 26, 2026, with respect to the consolidated financial statements of LSB Industries, Inc., and the effectiveness of internal control over financial reporting of LSB Industries, Inc., included in its Annual Report (Form 10-K) for the year ended December 31, 2025, filed with the Securities and Exchange Commission.</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Oklahoma City, Oklahoma</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May 14, 2026</w:t>
      </w:r>
    </w:p>
    <w:p>
      <w:pPr>
        <w:sectPr>
          <w:pgSz w:w="11900" w:h="16838" w:orient="portrait"/>
          <w:cols w:equalWidth="0" w:num="1">
            <w:col w:w="9019"/>
          </w:cols>
          <w:pgMar w:left="1440" w:top="123" w:right="1440" w:bottom="1440" w:gutter="0" w:footer="0" w:header="0"/>
        </w:sectPr>
      </w:pPr>
    </w:p>
    <w:bookmarkStart w:id="103" w:name="page104"/>
    <w:bookmarkEnd w:id="103"/>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LSB INDUSTRIES,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3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14"/>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4"/>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8"/>
                <w:szCs w:val="18"/>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19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40" w:type="dxa"/>
            <w:vAlign w:val="bottom"/>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31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9" w:lineRule="exact"/>
        <w:rPr>
          <w:sz w:val="20"/>
          <w:szCs w:val="20"/>
          <w:color w:val="auto"/>
        </w:rPr>
      </w:pPr>
    </w:p>
    <w:p>
      <w:pPr>
        <w:ind w:left="220" w:right="140" w:hanging="182"/>
        <w:spacing w:after="0" w:line="232" w:lineRule="auto"/>
        <w:tabs>
          <w:tab w:leader="none" w:pos="220" w:val="left"/>
        </w:tabs>
        <w:numPr>
          <w:ilvl w:val="0"/>
          <w:numId w:val="65"/>
        </w:numPr>
        <w:rPr>
          <w:rFonts w:ascii="Arial" w:cs="Arial" w:eastAsia="Arial" w:hAnsi="Arial"/>
          <w:sz w:val="22"/>
          <w:szCs w:val="22"/>
          <w:color w:val="auto"/>
          <w:vertAlign w:val="superscript"/>
        </w:rPr>
      </w:pPr>
      <w:r>
        <w:rPr>
          <w:rFonts w:ascii="Arial" w:cs="Arial" w:eastAsia="Arial" w:hAnsi="Arial"/>
          <w:sz w:val="17"/>
          <w:szCs w:val="17"/>
          <w:color w:val="auto"/>
        </w:rPr>
        <w:t>The registrant is relying on Rule 456(b) and Rule 457(r) under the Securities Act of 1933, as amended, to defer payment of all of the registration fee. In connection with the securities offered hereby, the registrant will subsequently pay registration fees on a "pay as you go basis" in accordance with Rule 456(b). The registrant will calculate the registration fee applicable to an offer of securities pursuant to this registration statement based on the fee payment rate in effect on the date of such fee payment. An unspecified aggregate initial offering price and number of securities of each identified class is being registered and may from time to time be offered at unspecified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4438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29" w:lineRule="exact"/>
        <w:rPr>
          <w:sz w:val="20"/>
          <w:szCs w:val="20"/>
          <w:color w:val="auto"/>
        </w:rPr>
      </w:pPr>
    </w:p>
    <w:p>
      <w:pPr>
        <w:ind w:left="220" w:right="140" w:hanging="182"/>
        <w:spacing w:after="0" w:line="232" w:lineRule="auto"/>
        <w:tabs>
          <w:tab w:leader="none" w:pos="220" w:val="left"/>
        </w:tabs>
        <w:numPr>
          <w:ilvl w:val="0"/>
          <w:numId w:val="66"/>
        </w:numPr>
        <w:rPr>
          <w:rFonts w:ascii="Arial" w:cs="Arial" w:eastAsia="Arial" w:hAnsi="Arial"/>
          <w:sz w:val="22"/>
          <w:szCs w:val="22"/>
          <w:color w:val="auto"/>
          <w:vertAlign w:val="superscript"/>
        </w:rPr>
      </w:pPr>
      <w:r>
        <w:rPr>
          <w:rFonts w:ascii="Arial" w:cs="Arial" w:eastAsia="Arial" w:hAnsi="Arial"/>
          <w:sz w:val="17"/>
          <w:szCs w:val="17"/>
          <w:color w:val="auto"/>
        </w:rPr>
        <w:t>The registrant is relying on Rule 456(b) and Rule 457(r) under the Securities Act of 1933, as amended, to defer payment of all of the registration fee. In connection with the securities offered hereby, the registrant will subsequently pay registration fees on a "pay as you go basis" in accordance with Rule 456(b). The registrant will calculate the registration fee applicable to an offer of securities pursuant to this registration statement based on the fee payment rate in effect on the date of such fee payment. An unspecified aggregate initial offering price and number of securities of each identified class is being registered and may from time to time be offered at unspecified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4438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29" w:lineRule="exact"/>
        <w:rPr>
          <w:sz w:val="20"/>
          <w:szCs w:val="20"/>
          <w:color w:val="auto"/>
        </w:rPr>
      </w:pPr>
    </w:p>
    <w:p>
      <w:pPr>
        <w:ind w:left="220" w:right="140" w:hanging="182"/>
        <w:spacing w:after="0" w:line="232" w:lineRule="auto"/>
        <w:tabs>
          <w:tab w:leader="none" w:pos="220" w:val="left"/>
        </w:tabs>
        <w:numPr>
          <w:ilvl w:val="0"/>
          <w:numId w:val="67"/>
        </w:numPr>
        <w:rPr>
          <w:rFonts w:ascii="Arial" w:cs="Arial" w:eastAsia="Arial" w:hAnsi="Arial"/>
          <w:sz w:val="22"/>
          <w:szCs w:val="22"/>
          <w:color w:val="auto"/>
          <w:vertAlign w:val="superscript"/>
        </w:rPr>
      </w:pPr>
      <w:r>
        <w:rPr>
          <w:rFonts w:ascii="Arial" w:cs="Arial" w:eastAsia="Arial" w:hAnsi="Arial"/>
          <w:sz w:val="17"/>
          <w:szCs w:val="17"/>
          <w:color w:val="auto"/>
        </w:rPr>
        <w:t>The registrant is relying on Rule 456(b) and Rule 457(r) under the Securities Act of 1933, as amended, to defer payment of all of the registration fee. In connection with the securities offered hereby, the registrant will subsequently pay registration fees on a "pay as you go basis" in accordance with Rule 456(b). The registrant will calculate the registration fee applicable to an offer of securities pursuant to this registration statement based on the fee payment rate in effect on the date of such fee payment. An unspecified aggregate initial offering price and number of securities of each identified class is being registered and may from time to time be offered at unspecified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4438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260" w:type="dxa"/>
            <w:vAlign w:val="bottom"/>
            <w:tcBorders>
              <w:bottom w:val="single" w:sz="8" w:color="auto"/>
            </w:tcBorders>
            <w:gridSpan w:val="7"/>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-1021080</wp:posOffset>
            </wp:positionV>
            <wp:extent cx="7165975" cy="2440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65975" cy="244030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ectPr>
          <w:pgSz w:w="11900" w:h="16838" w:orient="portrait"/>
          <w:cols w:equalWidth="0" w:num="1">
            <w:col w:w="11360"/>
          </w:cols>
          <w:pgMar w:left="300" w:top="140" w:right="239" w:bottom="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83"/>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68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20"/>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continue"/>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8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E7E7E2"/>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8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405"/>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lowerRoman"/>
      <w:start w:val="3"/>
    </w:lvl>
  </w:abstractNum>
  <w:abstractNum w:abstractNumId="10">
    <w:nsid w:val="5E884ADC"/>
    <w:multiLevelType w:val="hybridMultilevel"/>
    <w:lvl w:ilvl="0">
      <w:lvlJc w:val="left"/>
      <w:lvlText w:val="(%1)"/>
      <w:numFmt w:val="lowerRoman"/>
      <w:start w:val="10"/>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4"/>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decimal"/>
      <w:start w:val="1"/>
    </w:lvl>
    <w:lvl w:ilvl="1">
      <w:lvlJc w:val="left"/>
      <w:lvlText w:val="(%2)"/>
      <w:numFmt w:val="lowerRoman"/>
      <w:start w:val="1"/>
    </w:lvl>
  </w:abstractNum>
  <w:abstractNum w:abstractNumId="38">
    <w:nsid w:val="70C6A529"/>
    <w:multiLevelType w:val="hybridMultilevel"/>
    <w:lvl w:ilvl="0">
      <w:lvlJc w:val="left"/>
      <w:lvlText w:val="(%1)"/>
      <w:numFmt w:val="decimal"/>
      <w:start w:val="2"/>
    </w:lvl>
    <w:lvl w:ilvl="1">
      <w:lvlJc w:val="left"/>
      <w:lvlText w:val="(%2)"/>
      <w:numFmt w:val="lowerRoman"/>
      <w:start w:val="1"/>
    </w:lvl>
  </w:abstractNum>
  <w:abstractNum w:abstractNumId="39">
    <w:nsid w:val="520EEDD1"/>
    <w:multiLevelType w:val="hybridMultilevel"/>
    <w:lvl w:ilvl="0">
      <w:lvlJc w:val="left"/>
      <w:lvlText w:val="%1"/>
      <w:numFmt w:val="lowerLetter"/>
      <w:start w:val="1"/>
    </w:lvl>
    <w:lvl w:ilvl="1">
      <w:lvlJc w:val="left"/>
      <w:lvlText w:val="(%2)"/>
      <w:numFmt w:val="lowerRoman"/>
      <w:start w:val="2"/>
    </w:lvl>
  </w:abstractNum>
  <w:abstractNum w:abstractNumId="40">
    <w:nsid w:val="374A3FE6"/>
    <w:multiLevelType w:val="hybridMultilevel"/>
    <w:lvl w:ilvl="0">
      <w:lvlJc w:val="left"/>
      <w:lvlText w:val="(%1)"/>
      <w:numFmt w:val="lowerLetter"/>
      <w:start w:val="2"/>
    </w:lvl>
    <w:lvl w:ilvl="1">
      <w:lvlJc w:val="left"/>
      <w:lvlText w:val="%2"/>
      <w:numFmt w:val="lowerRoman"/>
      <w:start w:val="1"/>
    </w:lvl>
  </w:abstractNum>
  <w:abstractNum w:abstractNumId="41">
    <w:nsid w:val="4F4EF005"/>
    <w:multiLevelType w:val="hybridMultilevel"/>
    <w:lvl w:ilvl="0">
      <w:lvlJc w:val="left"/>
      <w:lvlText w:val="(%1)"/>
      <w:numFmt w:val="lowerLetter"/>
      <w:start w:val="8"/>
    </w:lvl>
  </w:abstractNum>
  <w:abstractNum w:abstractNumId="42">
    <w:nsid w:val="23F9C13C"/>
    <w:multiLevelType w:val="hybridMultilevel"/>
    <w:lvl w:ilvl="0">
      <w:lvlJc w:val="left"/>
      <w:lvlText w:val="(%1)"/>
      <w:numFmt w:val="lowerLetter"/>
      <w:start w:val="10"/>
    </w:lvl>
  </w:abstractNum>
  <w:abstractNum w:abstractNumId="43">
    <w:nsid w:val="649BB77C"/>
    <w:multiLevelType w:val="hybridMultilevel"/>
    <w:lvl w:ilvl="0">
      <w:lvlJc w:val="left"/>
      <w:lvlText w:val="(%1)"/>
      <w:numFmt w:val="lowerRoman"/>
      <w:start w:val="3"/>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
      <w:numFmt w:val="bullet"/>
      <w:start w:val="1"/>
    </w:lvl>
    <w:lvl w:ilvl="1">
      <w:lvlJc w:val="left"/>
      <w:lvlText w:val=" "/>
      <w:numFmt w:val="bullet"/>
      <w:start w:val="1"/>
    </w:lvl>
    <w:lvl w:ilvl="2">
      <w:lvlJc w:val="left"/>
      <w:lvlText w:val="§"/>
      <w:numFmt w:val="bullet"/>
      <w:start w:val="1"/>
    </w:lvl>
  </w:abstractNum>
  <w:abstractNum w:abstractNumId="50">
    <w:nsid w:val="354FE9F9"/>
    <w:multiLevelType w:val="hybridMultilevel"/>
    <w:lvl w:ilvl="0">
      <w:lvlJc w:val="left"/>
      <w:lvlText w:val="§"/>
      <w:numFmt w:val="bullet"/>
      <w:start w:val="1"/>
    </w:lvl>
    <w:lvl w:ilvl="1">
      <w:lvlJc w:val="left"/>
      <w:lvlText w:val=" "/>
      <w:numFmt w:val="bullet"/>
      <w:start w:val="1"/>
    </w:lvl>
    <w:lvl w:ilvl="2">
      <w:lvlJc w:val="left"/>
      <w:lvlText w:val=" "/>
      <w:numFmt w:val="bullet"/>
      <w:start w:val="1"/>
    </w:lvl>
    <w:lvl w:ilvl="3">
      <w:lvlJc w:val="left"/>
      <w:lvlText w:val=" "/>
      <w:numFmt w:val="bullet"/>
      <w:start w:val="1"/>
    </w:lvl>
    <w:lvl w:ilvl="4">
      <w:lvlJc w:val="left"/>
      <w:lvlText w:val=" "/>
      <w:numFmt w:val="bullet"/>
      <w:start w:val="1"/>
    </w:lvl>
    <w:lvl w:ilvl="5">
      <w:lvlJc w:val="left"/>
      <w:lvlText w:val="§"/>
      <w:numFmt w:val="bullet"/>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Roman"/>
      <w:start w:val="2"/>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5"/>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77AE35E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9">
    <w:nsid w:val="579BE4F1"/>
    <w:multiLevelType w:val="hybridMultilevel"/>
    <w:lvl w:ilvl="0">
      <w:lvlJc w:val="left"/>
      <w:lvlText w:val="(%1)"/>
      <w:numFmt w:val="lowerRoman"/>
      <w:start w:val="2"/>
    </w:lvl>
  </w:abstractNum>
  <w:abstractNum w:abstractNumId="60">
    <w:nsid w:val="310C50B3"/>
    <w:multiLevelType w:val="hybridMultilevel"/>
    <w:lvl w:ilvl="0">
      <w:lvlJc w:val="left"/>
      <w:lvlText w:val="%1"/>
      <w:numFmt w:val="lowerRoman"/>
      <w:start w:val="1"/>
    </w:lvl>
    <w:lvl w:ilvl="1">
      <w:lvlJc w:val="left"/>
      <w:lvlText w:val="%2."/>
      <w:numFmt w:val="decimal"/>
      <w:start w:val="1"/>
    </w:lvl>
  </w:abstractNum>
  <w:abstractNum w:abstractNumId="61">
    <w:nsid w:val="5FF87E05"/>
    <w:multiLevelType w:val="hybridMultilevel"/>
    <w:lvl w:ilvl="0">
      <w:lvlJc w:val="left"/>
      <w:lvlText w:val="(%1)"/>
      <w:numFmt w:val="lowerRoman"/>
      <w:start w:val="3"/>
    </w:lvl>
    <w:lvl w:ilvl="1">
      <w:lvlJc w:val="left"/>
      <w:lvlText w:val="%2"/>
      <w:numFmt w:val="decimal"/>
      <w:start w:val="1"/>
    </w:lvl>
  </w:abstractNum>
  <w:abstractNum w:abstractNumId="62">
    <w:nsid w:val="2F305DEF"/>
    <w:multiLevelType w:val="hybridMultilevel"/>
    <w:lvl w:ilvl="0">
      <w:lvlJc w:val="left"/>
      <w:lvlText w:val="%1."/>
      <w:numFmt w:val="decimal"/>
      <w:start w:val="4"/>
    </w:lvl>
  </w:abstractNum>
  <w:abstractNum w:abstractNumId="63">
    <w:nsid w:val="25A70BF7"/>
    <w:multiLevelType w:val="hybridMultilevel"/>
    <w:lvl w:ilvl="0">
      <w:lvlJc w:val="left"/>
      <w:lvlText w:val="(%1)"/>
      <w:numFmt w:val="lowerLetter"/>
      <w:start w:val="1"/>
    </w:lvl>
  </w:abstractNum>
  <w:abstractNum w:abstractNumId="64">
    <w:nsid w:val="1DBABF00"/>
    <w:multiLevelType w:val="hybridMultilevel"/>
    <w:lvl w:ilvl="0">
      <w:lvlJc w:val="left"/>
      <w:lvlText w:val="1"/>
      <w:numFmt w:val="bullet"/>
      <w:start w:val="1"/>
    </w:lvl>
  </w:abstractNum>
  <w:abstractNum w:abstractNumId="65">
    <w:nsid w:val="4AD084E9"/>
    <w:multiLevelType w:val="hybridMultilevel"/>
    <w:lvl w:ilvl="0">
      <w:lvlJc w:val="left"/>
      <w:lvlText w:val="2"/>
      <w:numFmt w:val="bullet"/>
      <w:start w:val="1"/>
    </w:lvl>
  </w:abstractNum>
  <w:abstractNum w:abstractNumId="66">
    <w:nsid w:val="1F48EAA1"/>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jpe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jpeg"/><Relationship Id="rId155" Type="http://schemas.openxmlformats.org/officeDocument/2006/relationships/image" Target="media/image135.jpeg"/><Relationship Id="rId156" Type="http://schemas.openxmlformats.org/officeDocument/2006/relationships/image" Target="media/image136.png"/><Relationship Id="rId157" Type="http://schemas.openxmlformats.org/officeDocument/2006/relationships/image" Target="media/image137.jpeg"/><Relationship Id="rId158" Type="http://schemas.openxmlformats.org/officeDocument/2006/relationships/image" Target="media/image138.jpeg"/><Relationship Id="rId159" Type="http://schemas.openxmlformats.org/officeDocument/2006/relationships/image" Target="media/image139.png"/><Relationship Id="rId160" Type="http://schemas.openxmlformats.org/officeDocument/2006/relationships/image" Target="media/image140.jpeg"/><Relationship Id="rId161" Type="http://schemas.openxmlformats.org/officeDocument/2006/relationships/image" Target="media/image141.jpe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56" Type="http://schemas.openxmlformats.org/officeDocument/2006/relationships/hyperlink" Target="http://www.sec.gov/ix?doc=/Archives/edgar/data/60714/000119312526076810/lxu-20251231.htm" TargetMode="External"/><Relationship Id="rId57" Type="http://schemas.openxmlformats.org/officeDocument/2006/relationships/hyperlink" Target="http://www.sec.gov/ix?doc=/Archives/edgar/data/60714/000119312526151347/lxu-20260409.htm" TargetMode="External"/><Relationship Id="rId58" Type="http://schemas.openxmlformats.org/officeDocument/2006/relationships/hyperlink" Target="http://www.sec.gov/ix?doc=/Archives/edgar/data/0000060714/000119312526197288/lxu-20260331.htm" TargetMode="External"/><Relationship Id="rId59" Type="http://schemas.openxmlformats.org/officeDocument/2006/relationships/hyperlink" Target="http://www.sec.gov/ix?doc=/Archives/edgar/data/60714/000119312526145611/lxu-20260402.htm" TargetMode="External"/><Relationship Id="rId60" Type="http://schemas.openxmlformats.org/officeDocument/2006/relationships/hyperlink" Target="http://www.sec.gov/ix?doc=/Archives/edgar/data/60714/000119312526182194/lxu-20260424.htm" TargetMode="External"/><Relationship Id="rId61" Type="http://schemas.openxmlformats.org/officeDocument/2006/relationships/hyperlink" Target="http://www.sec.gov/Archives/edgar/data/60714/000156459022006694/lxu-ex417_382.htm" TargetMode="External"/><Relationship Id="rId81" Type="http://schemas.openxmlformats.org/officeDocument/2006/relationships/hyperlink" Target="http://www.sec.gov/Archives/edgar/data/60714/000119312513084410/d447083dex3i1.htm" TargetMode="External"/><Relationship Id="rId82" Type="http://schemas.openxmlformats.org/officeDocument/2006/relationships/hyperlink" Target="http://www.sec.gov/Archives/edgar/data/60714/000119312521331386/d173096dex3i2.htm" TargetMode="External"/><Relationship Id="rId83" Type="http://schemas.openxmlformats.org/officeDocument/2006/relationships/hyperlink" Target="http://www.sec.gov/Archives/edgar/data/60714/000156459020031834/lxu-ex31_6.htm" TargetMode="External"/><Relationship Id="rId84" Type="http://schemas.openxmlformats.org/officeDocument/2006/relationships/hyperlink" Target="http://www.sec.gov/Archives/edgar/data/60714/000119312526197288/lxu-ex3_1.htm" TargetMode="External"/><Relationship Id="rId85" Type="http://schemas.openxmlformats.org/officeDocument/2006/relationships/hyperlink" Target="http://www.sec.gov/Archives/edgar/data/60714/000119312512474073/d440760dex43.htm" TargetMode="External"/><Relationship Id="rId86" Type="http://schemas.openxmlformats.org/officeDocument/2006/relationships/hyperlink" Target="http://www.sec.gov/Archives/edgar/data/60714/000095017023044575/lxu-ex4_1.htm" TargetMode="External"/><Relationship Id="rId87" Type="http://schemas.openxmlformats.org/officeDocument/2006/relationships/hyperlink" Target="http://www.sec.gov/Archives/edgar/data/60714/000119312524130861/d80885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2026-05-14T16:04:24Z</dcterms:created>
  <dcterms:modified xsi:type="dcterms:W3CDTF">2026-05-14T16:04:24Z</dcterms:modified>
</cp:coreProperties>
</file>